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Summary of Findings Table - GRADE approach</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32"/>
          <w:szCs w:val="32"/>
        </w:rPr>
      </w:pPr>
      <w:r w:rsidDel="00000000" w:rsidR="00000000" w:rsidRPr="00000000">
        <w:rPr>
          <w:rtl w:val="0"/>
        </w:rPr>
      </w:r>
    </w:p>
    <w:tbl>
      <w:tblPr>
        <w:tblStyle w:val="Table1"/>
        <w:tblW w:w="14400.000000000002" w:type="dxa"/>
        <w:jc w:val="left"/>
        <w:tblLayout w:type="fixed"/>
        <w:tblLook w:val="0400"/>
      </w:tblPr>
      <w:tblGrid>
        <w:gridCol w:w="1231"/>
        <w:gridCol w:w="785"/>
        <w:gridCol w:w="1406"/>
        <w:gridCol w:w="1281"/>
        <w:gridCol w:w="1227"/>
        <w:gridCol w:w="1361"/>
        <w:gridCol w:w="1074"/>
        <w:gridCol w:w="924"/>
        <w:gridCol w:w="1310"/>
        <w:gridCol w:w="1362"/>
        <w:gridCol w:w="1074"/>
        <w:gridCol w:w="1365"/>
        <w:tblGridChange w:id="0">
          <w:tblGrid>
            <w:gridCol w:w="1231"/>
            <w:gridCol w:w="785"/>
            <w:gridCol w:w="1406"/>
            <w:gridCol w:w="1281"/>
            <w:gridCol w:w="1227"/>
            <w:gridCol w:w="1361"/>
            <w:gridCol w:w="1074"/>
            <w:gridCol w:w="924"/>
            <w:gridCol w:w="1310"/>
            <w:gridCol w:w="1362"/>
            <w:gridCol w:w="1074"/>
            <w:gridCol w:w="1365"/>
          </w:tblGrid>
        </w:tblGridChange>
      </w:tblGrid>
      <w:tr>
        <w:trPr>
          <w:cantSplit w:val="1"/>
          <w:tblHeader w:val="1"/>
        </w:trPr>
        <w:tc>
          <w:tcPr>
            <w:gridSpan w:val="12"/>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Alcohol consumption compared to no alcohol use in Chronic Kidney Disease (CKD) in Meso-america</w:t>
            </w:r>
          </w:p>
          <w:p w:rsidR="00000000" w:rsidDel="00000000" w:rsidP="00000000" w:rsidRDefault="00000000" w:rsidRPr="00000000" w14:paraId="00000004">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7">
              <w:r w:rsidDel="00000000" w:rsidR="00000000" w:rsidRPr="00000000">
                <w:rPr>
                  <w:rFonts w:ascii="Verdana" w:cs="Verdana" w:eastAsia="Verdana" w:hAnsi="Verdana"/>
                  <w:color w:val="000000"/>
                  <w:sz w:val="16"/>
                  <w:szCs w:val="16"/>
                  <w:u w:val="none"/>
                  <w:rtl w:val="0"/>
                </w:rPr>
                <w:t xml:space="preserve">González-Quiroz M, Pearce N, Caplin B, Nitsch D. What do epidemiological studies tell us about chronic kidney disease of undetermined cause in Meso-America? A systematic review and meta-analysis. Clin Kidney J. 2018 Aug;11(4):496–506.</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no alcohol use</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alcohol consumption</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no alcohol use</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alcohol consumption</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4">
            <w:pPr>
              <w:rPr>
                <w:rFonts w:ascii="Verdana" w:cs="Verdana" w:eastAsia="Verdana" w:hAnsi="Verdana"/>
                <w:sz w:val="16"/>
                <w:szCs w:val="16"/>
              </w:rPr>
            </w:pPr>
            <w:r w:rsidDel="00000000" w:rsidR="00000000" w:rsidRPr="00000000">
              <w:rPr>
                <w:rFonts w:ascii="Verdana" w:cs="Verdana" w:eastAsia="Verdana" w:hAnsi="Verdana"/>
                <w:b w:val="1"/>
                <w:rtl w:val="0"/>
              </w:rPr>
              <w:t xml:space="preserve">Chronic Kidney Disease (CKD) (assessed with: OR)</w:t>
            </w:r>
            <w:r w:rsidDel="00000000" w:rsidR="00000000" w:rsidRPr="00000000">
              <w:rPr>
                <w:rtl w:val="0"/>
              </w:rPr>
            </w:r>
          </w:p>
        </w:tc>
      </w:tr>
      <w:tr>
        <w:trPr>
          <w:cantSplit w:val="1"/>
          <w:tblHeader w:val="0"/>
        </w:trPr>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98 cases 221 controls 146/477 exposed 73/571 unexposed</w:t>
              <w:br w:type="textWrapping"/>
              <w:t xml:space="preserve">(3 observational studies)</w:t>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a</w:t>
            </w: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b</w:t>
            </w: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c</w:t>
            </w: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publication bias strongly suspected</w:t>
            </w:r>
            <w:r w:rsidDel="00000000" w:rsidR="00000000" w:rsidRPr="00000000">
              <w:rPr>
                <w:rFonts w:ascii="Verdana" w:cs="Verdana" w:eastAsia="Verdana" w:hAnsi="Verdana"/>
                <w:sz w:val="16"/>
                <w:szCs w:val="16"/>
                <w:vertAlign w:val="superscript"/>
                <w:rtl w:val="0"/>
              </w:rPr>
              <w:t xml:space="preserve">d</w:t>
            </w: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6">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gridSpan w:val="2"/>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98 cases 221 controls 146/477 exposed 73/571 unexposed</w:t>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9">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OR 1.34</w:t>
            </w:r>
            <w:r w:rsidDel="00000000" w:rsidR="00000000" w:rsidRPr="00000000">
              <w:rPr>
                <w:rFonts w:ascii="Verdana" w:cs="Verdana" w:eastAsia="Verdana" w:hAnsi="Verdana"/>
                <w:sz w:val="16"/>
                <w:szCs w:val="16"/>
                <w:rtl w:val="0"/>
              </w:rPr>
              <w:br w:type="textWrapping"/>
              <w:t xml:space="preserve">(0.84 to 1.84)</w:t>
            </w:r>
          </w:p>
        </w:tc>
        <w:tc>
          <w:tcPr>
            <w:gridSpan w:val="2"/>
            <w:tcBorders>
              <w:top w:color="000000" w:space="0" w:sz="6" w:val="single"/>
              <w:left w:color="000000" w:space="0" w:sz="6" w:val="single"/>
              <w:bottom w:color="000000" w:space="0" w:sz="6" w:val="single"/>
              <w:right w:color="000000" w:space="0" w:sz="6" w:val="single"/>
            </w:tcBorders>
            <w:shd w:fill="e0e0e0" w:val="clear"/>
          </w:tcPr>
          <w:p w:rsidR="00000000" w:rsidDel="00000000" w:rsidP="00000000" w:rsidRDefault="00000000" w:rsidRPr="00000000" w14:paraId="0000004A">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Study population</w:t>
            </w:r>
          </w:p>
        </w:tc>
      </w:tr>
      <w:tr>
        <w:trPr>
          <w:cantSplit w:val="1"/>
          <w:tblHeader w:val="0"/>
        </w:trPr>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128 per 1.000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7">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36 more per 1.000</w:t>
            </w:r>
            <w:r w:rsidDel="00000000" w:rsidR="00000000" w:rsidRPr="00000000">
              <w:rPr>
                <w:rFonts w:ascii="Verdana" w:cs="Verdana" w:eastAsia="Verdana" w:hAnsi="Verdana"/>
                <w:sz w:val="16"/>
                <w:szCs w:val="16"/>
                <w:rtl w:val="0"/>
              </w:rPr>
              <w:br w:type="textWrapping"/>
              <w:t xml:space="preserve">(from 18 fewer to 85 more)</w:t>
            </w:r>
          </w:p>
        </w:tc>
      </w:tr>
      <w:tr>
        <w:trPr>
          <w:cantSplit w:val="1"/>
          <w:tblHeader w:val="0"/>
        </w:trPr>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6"/>
                <w:szCs w:val="16"/>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e0e0e0" w:val="clear"/>
          </w:tcPr>
          <w:p w:rsidR="00000000" w:rsidDel="00000000" w:rsidP="00000000" w:rsidRDefault="00000000" w:rsidRPr="00000000" w14:paraId="00000062">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Low</w:t>
            </w:r>
          </w:p>
        </w:tc>
      </w:tr>
      <w:tr>
        <w:trPr>
          <w:cantSplit w:val="1"/>
          <w:tblHeader w:val="0"/>
        </w:trPr>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per 1.000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F">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0 fewer per 1.000</w:t>
            </w:r>
            <w:r w:rsidDel="00000000" w:rsidR="00000000" w:rsidRPr="00000000">
              <w:rPr>
                <w:rFonts w:ascii="Verdana" w:cs="Verdana" w:eastAsia="Verdana" w:hAnsi="Verdana"/>
                <w:sz w:val="16"/>
                <w:szCs w:val="16"/>
                <w:rtl w:val="0"/>
              </w:rPr>
              <w:br w:type="textWrapping"/>
              <w:t xml:space="preserve">(from 0 fewer to 0 fewer)</w:t>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 </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OR:</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odds ratio</w:t>
      </w:r>
    </w:p>
    <w:p w:rsidR="00000000" w:rsidDel="00000000" w:rsidP="00000000" w:rsidRDefault="00000000" w:rsidRPr="00000000" w14:paraId="00000071">
      <w:pPr>
        <w:pStyle w:val="Heading4"/>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072">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The risk of bias summary has several not applicable/unclear/high risk fields.</w:t>
      </w:r>
    </w:p>
    <w:p w:rsidR="00000000" w:rsidDel="00000000" w:rsidP="00000000" w:rsidRDefault="00000000" w:rsidRPr="00000000" w14:paraId="00000073">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The summary estimate for alcohol consumption was 1.34 (95% CI 0.84–1.84; P = 0.088, I2 ¼ 45.5%). The studies reveal statistics with variation of punctual estimates, overlap between all evaluated 95%CI and absence of statistical significance between all values. Possibly due to the important variation between the participants' ages - even with statistical readjustment -, severity of exposure to alcohol and the variation in outcomes between reduction in eGFR &lt;60 mL/min/1.73 m2 and SCr &gt;1.5 mg/dL. (study 1 - OR adjusted by Age and Sex = 1.97 [CI95% 0.86 - 4.48]; study 2 - OR adjusted by Age and Local = 0,69 [CI95% 0,39 - 1,22]; study 3 - OR crude for men = 1,36 [0,74 - 2,48] and OR crude for women = 1,80 [CI95% 0,46 - 6,95]). </w:t>
      </w:r>
    </w:p>
    <w:p w:rsidR="00000000" w:rsidDel="00000000" w:rsidP="00000000" w:rsidRDefault="00000000" w:rsidRPr="00000000" w14:paraId="00000074">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Small sample size and large/very large effect size; IC 95% crossing the central axis.</w:t>
      </w:r>
    </w:p>
    <w:p w:rsidR="00000000" w:rsidDel="00000000" w:rsidP="00000000" w:rsidRDefault="00000000" w:rsidRPr="00000000" w14:paraId="00000075">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The funnel plot for studies that have assessed the above risk factors provides evidence for potential publication bias for alcohol consumption (P &lt; 0.048).</w:t>
      </w:r>
    </w:p>
    <w:p w:rsidR="00000000" w:rsidDel="00000000" w:rsidP="00000000" w:rsidRDefault="00000000" w:rsidRPr="00000000" w14:paraId="00000076">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77">
      <w:pPr>
        <w:rPr>
          <w:rFonts w:ascii="Verdana" w:cs="Verdana" w:eastAsia="Verdana" w:hAnsi="Verdana"/>
          <w:color w:val="000000"/>
          <w:sz w:val="16"/>
          <w:szCs w:val="16"/>
        </w:rPr>
      </w:pPr>
      <w:r w:rsidDel="00000000" w:rsidR="00000000" w:rsidRPr="00000000">
        <w:rPr>
          <w:rtl w:val="0"/>
        </w:rPr>
      </w:r>
    </w:p>
    <w:tbl>
      <w:tblPr>
        <w:tblStyle w:val="Table2"/>
        <w:tblW w:w="14400.0" w:type="dxa"/>
        <w:jc w:val="left"/>
        <w:tblLayout w:type="fixed"/>
        <w:tblLook w:val="0400"/>
      </w:tblPr>
      <w:tblGrid>
        <w:gridCol w:w="1231"/>
        <w:gridCol w:w="796"/>
        <w:gridCol w:w="1406"/>
        <w:gridCol w:w="1281"/>
        <w:gridCol w:w="1227"/>
        <w:gridCol w:w="1373"/>
        <w:gridCol w:w="1085"/>
        <w:gridCol w:w="1285"/>
        <w:gridCol w:w="1280"/>
        <w:gridCol w:w="881"/>
        <w:gridCol w:w="1268"/>
        <w:gridCol w:w="1287"/>
        <w:tblGridChange w:id="0">
          <w:tblGrid>
            <w:gridCol w:w="1231"/>
            <w:gridCol w:w="796"/>
            <w:gridCol w:w="1406"/>
            <w:gridCol w:w="1281"/>
            <w:gridCol w:w="1227"/>
            <w:gridCol w:w="1373"/>
            <w:gridCol w:w="1085"/>
            <w:gridCol w:w="1285"/>
            <w:gridCol w:w="1280"/>
            <w:gridCol w:w="881"/>
            <w:gridCol w:w="1268"/>
            <w:gridCol w:w="1287"/>
          </w:tblGrid>
        </w:tblGridChange>
      </w:tblGrid>
      <w:tr>
        <w:trPr>
          <w:cantSplit w:val="1"/>
          <w:tblHeader w:val="1"/>
        </w:trPr>
        <w:tc>
          <w:tcPr>
            <w:gridSpan w:val="12"/>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Documented severe childhood malnutrition compared to no exposure to severe childhood malnutrition for NCDs prevention in older children and adults in LMICs</w:t>
            </w:r>
          </w:p>
          <w:p w:rsidR="00000000" w:rsidDel="00000000" w:rsidP="00000000" w:rsidRDefault="00000000" w:rsidRPr="00000000" w14:paraId="00000079">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8">
              <w:r w:rsidDel="00000000" w:rsidR="00000000" w:rsidRPr="00000000">
                <w:rPr>
                  <w:rFonts w:ascii="Verdana" w:cs="Verdana" w:eastAsia="Verdana" w:hAnsi="Verdana"/>
                  <w:color w:val="000000"/>
                  <w:sz w:val="16"/>
                  <w:szCs w:val="16"/>
                  <w:u w:val="none"/>
                  <w:rtl w:val="0"/>
                </w:rPr>
                <w:t xml:space="preserve">Grey K, Gonzales GB, Abera M, Lelijveld N, Thompson D, Berhane M, et al. Severe malnutrition or famine exposure in childhood and cardiometabolic non-communicable disease later in life: a systematic review. BMJ Glob Health. 2021 Mar;6(3):e003161.</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no exposure to severe childhood malnutrition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documented severe childhood malnutrition</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no exposure to severe childhood malnutrition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documented severe childhood malnutrition</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9">
            <w:pPr>
              <w:rPr>
                <w:rFonts w:ascii="Verdana" w:cs="Verdana" w:eastAsia="Verdana" w:hAnsi="Verdana"/>
                <w:sz w:val="16"/>
                <w:szCs w:val="16"/>
              </w:rPr>
            </w:pPr>
            <w:r w:rsidDel="00000000" w:rsidR="00000000" w:rsidRPr="00000000">
              <w:rPr>
                <w:rFonts w:ascii="Verdana" w:cs="Verdana" w:eastAsia="Verdana" w:hAnsi="Verdana"/>
                <w:b w:val="1"/>
                <w:rtl w:val="0"/>
              </w:rPr>
              <w:t xml:space="preserve">Cardiovascular non-communicable diseases and events </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cases 0 controls 0/0 exposed 0/0 unexposed</w:t>
              <w:br w:type="textWrapping"/>
              <w:t xml:space="preserve">(14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6">
            <w:pPr>
              <w:jc w:val="center"/>
              <w:rPr>
                <w:rFonts w:ascii="Verdana" w:cs="Verdana" w:eastAsia="Verdana" w:hAnsi="Verdana"/>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7">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8">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9">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A">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C">
            <w:pPr>
              <w:jc w:val="center"/>
              <w:rPr>
                <w:rFonts w:ascii="Verdana" w:cs="Verdana" w:eastAsia="Verdana" w:hAnsi="Verdana"/>
                <w:sz w:val="16"/>
                <w:szCs w:val="16"/>
              </w:rPr>
            </w:pPr>
            <w:r w:rsidDel="00000000" w:rsidR="00000000" w:rsidRPr="00000000">
              <w:rPr>
                <w:rtl w:val="0"/>
              </w:rPr>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1">
            <w:pPr>
              <w:rPr>
                <w:rFonts w:ascii="Verdana" w:cs="Verdana" w:eastAsia="Verdana" w:hAnsi="Verdana"/>
                <w:sz w:val="16"/>
                <w:szCs w:val="16"/>
              </w:rPr>
            </w:pPr>
            <w:r w:rsidDel="00000000" w:rsidR="00000000" w:rsidRPr="00000000">
              <w:rPr>
                <w:rFonts w:ascii="Verdana" w:cs="Verdana" w:eastAsia="Verdana" w:hAnsi="Verdana"/>
                <w:b w:val="1"/>
                <w:rtl w:val="0"/>
              </w:rPr>
              <w:t xml:space="preserve">Blood Pressure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4">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"Cardiovascular outcomes examined in studies of severe childhood malnutrition survivors largely focused on BP. These studies found mixed effects on BP outcomes, with one Jamaican study finding higher diastolic blood pressure (dBP) (d=4.3 mm Hg; p=0.007), but no differences in sBP, in survivors compared with controls at ~30 years, while a Mexican study found lower dBP (p=0.001) and sBP (p&lt;0.0001) in survivors at ~20 years. Among Malawian survivors at ~9 years, dBP was higher than sibling controls (d=1.91 mm Hg, p=0.03). Meanwhile, a Gambian study showed no association between decreasing WAZ (Low weight-for-age z-score) in the malnourished range in childhood and sBP or dBP at ~36 years in women."</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9">
            <w:pPr>
              <w:rPr>
                <w:rFonts w:ascii="Verdana" w:cs="Verdana" w:eastAsia="Verdana" w:hAnsi="Verdana"/>
                <w:sz w:val="16"/>
                <w:szCs w:val="16"/>
              </w:rPr>
            </w:pPr>
            <w:r w:rsidDel="00000000" w:rsidR="00000000" w:rsidRPr="00000000">
              <w:rPr>
                <w:rFonts w:ascii="Verdana" w:cs="Verdana" w:eastAsia="Verdana" w:hAnsi="Verdana"/>
                <w:b w:val="1"/>
                <w:rtl w:val="0"/>
              </w:rPr>
              <w:t xml:space="preserve">Cardiovascular Structure and Function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C">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single study that examined cardiovascular structure and function found reduced left ventricular ejection, stroke volume, cardiac output, and pulse wave velocity, together with increased systemic vascular resistance in survivors versus controls."</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1">
            <w:pPr>
              <w:rPr>
                <w:rFonts w:ascii="Verdana" w:cs="Verdana" w:eastAsia="Verdana" w:hAnsi="Verdana"/>
                <w:sz w:val="16"/>
                <w:szCs w:val="16"/>
              </w:rPr>
            </w:pPr>
            <w:r w:rsidDel="00000000" w:rsidR="00000000" w:rsidRPr="00000000">
              <w:rPr>
                <w:rFonts w:ascii="Verdana" w:cs="Verdana" w:eastAsia="Verdana" w:hAnsi="Verdana"/>
                <w:b w:val="1"/>
                <w:rtl w:val="0"/>
              </w:rPr>
              <w:t xml:space="preserve">Lipid Metabolism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4">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"Three studies of severe malnutrition survivors examined lipid metabolism, with two finding no differences between the lipid profiles of controls and survivors at ~9 years (Malawi) and ~20 years (Mexico), respectively. One study found reduced apolipoprotein A1 in Senegalese marasmus survivors compared with well-nourished controls (p&lt;0.05) but no difference compared with sibling controls."</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9">
            <w:pPr>
              <w:rPr>
                <w:rFonts w:ascii="Verdana" w:cs="Verdana" w:eastAsia="Verdana" w:hAnsi="Verdana"/>
                <w:sz w:val="16"/>
                <w:szCs w:val="16"/>
              </w:rPr>
            </w:pPr>
            <w:r w:rsidDel="00000000" w:rsidR="00000000" w:rsidRPr="00000000">
              <w:rPr>
                <w:rFonts w:ascii="Verdana" w:cs="Verdana" w:eastAsia="Verdana" w:hAnsi="Verdana"/>
                <w:b w:val="1"/>
                <w:rtl w:val="0"/>
              </w:rPr>
              <w:t xml:space="preserve">Obesity - not measured</w:t>
            </w:r>
            <w:r w:rsidDel="00000000" w:rsidR="00000000" w:rsidRPr="00000000">
              <w:rPr>
                <w:rtl w:val="0"/>
              </w:rPr>
            </w:r>
          </w:p>
        </w:tc>
      </w:tr>
      <w:tr>
        <w:trPr>
          <w:cantSplit w:val="1"/>
          <w:trHeight w:val="202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C">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 contrast with famine survivors, evidence on anthropometric outcomes in severe malnutrition survivors indicates that they remain thinner than unexposed controls through childhood to adulthood. Of six studies, five reported that survivors had lower BMI (Body Mass Index), WFA (low weight-for-age), MUAC (low mid-upper arm circumference) or WAZ (Low weight-for-age z-score) than controls when measured as older children or adults. However, two studies noted that WFA and WAZ were lower in severe malnutrition survivors compared with well-nourished controls but observed no difference when compared with chronically malnourished or sibling controls, respectively."</w:t>
            </w:r>
          </w:p>
        </w:tc>
      </w:tr>
    </w:tbl>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w:t>
      </w:r>
    </w:p>
    <w:p w:rsidR="00000000" w:rsidDel="00000000" w:rsidP="00000000" w:rsidRDefault="00000000" w:rsidRPr="00000000" w14:paraId="00000122">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23">
      <w:pPr>
        <w:pStyle w:val="Heading4"/>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124">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Studies with a small sample group, highly susceptible to memory bias (due to the evaluation of birth data with a low confidence level) and important confounding factors not evaluated.</w:t>
      </w:r>
    </w:p>
    <w:p w:rsidR="00000000" w:rsidDel="00000000" w:rsidP="00000000" w:rsidRDefault="00000000" w:rsidRPr="00000000" w14:paraId="00000125">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The narrated outcomes present clinical associations only with the statistical significance of each of the 4 studies included in the report. 2 studies rely only on considerable statistical significance to establish association between variables. On the other hand, the 2 remaining studies present highly variable and little overlapping 95% CI, recognizing the outcome statistically. However, the degree of imprecision is very high for mean BP differences and with lower bounds very close to statistical insignificance.</w:t>
      </w:r>
    </w:p>
    <w:p w:rsidR="00000000" w:rsidDel="00000000" w:rsidP="00000000" w:rsidRDefault="00000000" w:rsidRPr="00000000" w14:paraId="00000126">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Indirectness justified by population, exposition and outcomes.</w:t>
      </w:r>
    </w:p>
    <w:p w:rsidR="00000000" w:rsidDel="00000000" w:rsidP="00000000" w:rsidRDefault="00000000" w:rsidRPr="00000000" w14:paraId="00000127">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95% CI demonstrating statistical insignificance inserted with association values in limiar thresholds.</w:t>
      </w:r>
    </w:p>
    <w:tbl>
      <w:tblPr>
        <w:tblStyle w:val="Table3"/>
        <w:tblW w:w="14400.0" w:type="dxa"/>
        <w:jc w:val="left"/>
        <w:tblLayout w:type="fixed"/>
        <w:tblLook w:val="0400"/>
      </w:tblPr>
      <w:tblGrid>
        <w:gridCol w:w="1231"/>
        <w:gridCol w:w="796"/>
        <w:gridCol w:w="1406"/>
        <w:gridCol w:w="1281"/>
        <w:gridCol w:w="1227"/>
        <w:gridCol w:w="1373"/>
        <w:gridCol w:w="1085"/>
        <w:gridCol w:w="1285"/>
        <w:gridCol w:w="1280"/>
        <w:gridCol w:w="881"/>
        <w:gridCol w:w="1268"/>
        <w:gridCol w:w="1287"/>
        <w:tblGridChange w:id="0">
          <w:tblGrid>
            <w:gridCol w:w="1231"/>
            <w:gridCol w:w="796"/>
            <w:gridCol w:w="1406"/>
            <w:gridCol w:w="1281"/>
            <w:gridCol w:w="1227"/>
            <w:gridCol w:w="1373"/>
            <w:gridCol w:w="1085"/>
            <w:gridCol w:w="1285"/>
            <w:gridCol w:w="1280"/>
            <w:gridCol w:w="881"/>
            <w:gridCol w:w="1268"/>
            <w:gridCol w:w="1287"/>
          </w:tblGrid>
        </w:tblGridChange>
      </w:tblGrid>
      <w:tr>
        <w:trPr>
          <w:cantSplit w:val="1"/>
          <w:tblHeader w:val="1"/>
        </w:trPr>
        <w:tc>
          <w:tcPr>
            <w:gridSpan w:val="12"/>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Documented severe childhood malnutrition compared to no exposure to severe childhood malnutrition for NCDs prevention in older children and adults in LMICs</w:t>
            </w:r>
          </w:p>
          <w:p w:rsidR="00000000" w:rsidDel="00000000" w:rsidP="00000000" w:rsidRDefault="00000000" w:rsidRPr="00000000" w14:paraId="00000129">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9">
              <w:r w:rsidDel="00000000" w:rsidR="00000000" w:rsidRPr="00000000">
                <w:rPr>
                  <w:rFonts w:ascii="Verdana" w:cs="Verdana" w:eastAsia="Verdana" w:hAnsi="Verdana"/>
                  <w:color w:val="000000"/>
                  <w:sz w:val="16"/>
                  <w:szCs w:val="16"/>
                  <w:u w:val="none"/>
                  <w:rtl w:val="0"/>
                </w:rPr>
                <w:t xml:space="preserve">Grey K, Gonzales GB, Abera M, Lelijveld N, Thompson D, Berhane M, et al. Severe malnutrition or famine exposure in childhood and cardiometabolic non-communicable disease later in life: a systematic review. BMJ Glob Health. 2021 Mar;6(3):e003161.</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no exposure to severe childhood malnutrition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documented severe childhood malnutrition</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no exposure to severe childhood malnutrition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documented severe childhood malnutrition</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59">
            <w:pPr>
              <w:rPr>
                <w:rFonts w:ascii="Verdana" w:cs="Verdana" w:eastAsia="Verdana" w:hAnsi="Verdana"/>
                <w:sz w:val="16"/>
                <w:szCs w:val="16"/>
              </w:rPr>
            </w:pPr>
            <w:r w:rsidDel="00000000" w:rsidR="00000000" w:rsidRPr="00000000">
              <w:rPr>
                <w:rFonts w:ascii="Verdana" w:cs="Verdana" w:eastAsia="Verdana" w:hAnsi="Verdana"/>
                <w:b w:val="1"/>
                <w:rtl w:val="0"/>
              </w:rPr>
              <w:t xml:space="preserve">Glucose Metabolism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C">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evidence indicates that severe childhood malnutrition is associated with impaired glucose metabolism in survivors, with 6/9 studies reporting a positive association with diabetes, reduced insulin sensitivity, or glucose intolerance." and "The remaining 3/9 studies found no differences in glucose metabolism between severe malnutrition survivors and controls; however, these studies assessed outcomes in children, adolescents, and lean adults on a low-fat diet, respectively, which may have led to underestimation of the long-term effects of severe malnutrition."</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1">
            <w:pPr>
              <w:rPr>
                <w:rFonts w:ascii="Verdana" w:cs="Verdana" w:eastAsia="Verdana" w:hAnsi="Verdana"/>
                <w:sz w:val="16"/>
                <w:szCs w:val="16"/>
              </w:rPr>
            </w:pPr>
            <w:r w:rsidDel="00000000" w:rsidR="00000000" w:rsidRPr="00000000">
              <w:rPr>
                <w:rFonts w:ascii="Verdana" w:cs="Verdana" w:eastAsia="Verdana" w:hAnsi="Verdana"/>
                <w:b w:val="1"/>
                <w:rtl w:val="0"/>
              </w:rPr>
              <w:t xml:space="preserve">Insulin Sensitivity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4">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 a Mexican study, insulin sensitivity was reduced in survivors with high levels of abdominal fat even when matched to controls with similar levels of abdominal obesity; however, when matched for low amounts of abdominal fat, survivors and controls had similar insulin sensitivity." Furthermore, absence of report of a study included for analysis. </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9">
            <w:pPr>
              <w:rPr>
                <w:rFonts w:ascii="Verdana" w:cs="Verdana" w:eastAsia="Verdana" w:hAnsi="Verdana"/>
                <w:sz w:val="16"/>
                <w:szCs w:val="16"/>
              </w:rPr>
            </w:pPr>
            <w:r w:rsidDel="00000000" w:rsidR="00000000" w:rsidRPr="00000000">
              <w:rPr>
                <w:rFonts w:ascii="Verdana" w:cs="Verdana" w:eastAsia="Verdana" w:hAnsi="Verdana"/>
                <w:b w:val="1"/>
                <w:rtl w:val="0"/>
              </w:rPr>
              <w:t xml:space="preserve">Glucose Intolerance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C">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"Notably, a Jamaican study that differentiated between survivors of marasmus and kwashiorkor reported greater fasting insulin, increased glucose intolerance, and reduced insulin sensitivity in adult marasmus survivors only. Conversely, a Ugandan study showed that glucose tolerance was impaired in kwashiorkor survivors compared with healthy controls." Furthermore, absence of report of a study included for analysis. </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1">
            <w:pPr>
              <w:rPr>
                <w:rFonts w:ascii="Verdana" w:cs="Verdana" w:eastAsia="Verdana" w:hAnsi="Verdana"/>
                <w:sz w:val="16"/>
                <w:szCs w:val="16"/>
              </w:rPr>
            </w:pPr>
            <w:r w:rsidDel="00000000" w:rsidR="00000000" w:rsidRPr="00000000">
              <w:rPr>
                <w:rFonts w:ascii="Verdana" w:cs="Verdana" w:eastAsia="Verdana" w:hAnsi="Verdana"/>
                <w:b w:val="1"/>
                <w:rtl w:val="0"/>
              </w:rPr>
              <w:t xml:space="preserve">Diabetes Mellitus type 2 -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4">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"Severe childhood malnutrition was a risk factor for type 2 and insulinrequiring diabetes in two case-control studies of patients with diabetes in Kenya and Ethiopia".</w:t>
            </w:r>
          </w:p>
        </w:tc>
      </w:tr>
    </w:tbl>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w:t>
      </w:r>
    </w:p>
    <w:p w:rsidR="00000000" w:rsidDel="00000000" w:rsidP="00000000" w:rsidRDefault="00000000" w:rsidRPr="00000000" w14:paraId="000001BA">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BB">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BC">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BD">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BE">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BF">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0">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1">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2">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3">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4">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5">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6">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7">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1C8">
      <w:pPr>
        <w:rPr>
          <w:rFonts w:ascii="Verdana" w:cs="Verdana" w:eastAsia="Verdana" w:hAnsi="Verdana"/>
          <w:color w:val="000000"/>
          <w:sz w:val="16"/>
          <w:szCs w:val="16"/>
        </w:rPr>
      </w:pPr>
      <w:r w:rsidDel="00000000" w:rsidR="00000000" w:rsidRPr="00000000">
        <w:rPr>
          <w:rtl w:val="0"/>
        </w:rPr>
      </w:r>
    </w:p>
    <w:tbl>
      <w:tblPr>
        <w:tblStyle w:val="Table4"/>
        <w:tblW w:w="14400.000000000002" w:type="dxa"/>
        <w:jc w:val="left"/>
        <w:tblLayout w:type="fixed"/>
        <w:tblLook w:val="0400"/>
      </w:tblPr>
      <w:tblGrid>
        <w:gridCol w:w="1231"/>
        <w:gridCol w:w="779"/>
        <w:gridCol w:w="1406"/>
        <w:gridCol w:w="1281"/>
        <w:gridCol w:w="1227"/>
        <w:gridCol w:w="1355"/>
        <w:gridCol w:w="1068"/>
        <w:gridCol w:w="2711"/>
        <w:gridCol w:w="2314"/>
        <w:gridCol w:w="872"/>
        <w:gridCol w:w="156"/>
        <w:tblGridChange w:id="0">
          <w:tblGrid>
            <w:gridCol w:w="1231"/>
            <w:gridCol w:w="779"/>
            <w:gridCol w:w="1406"/>
            <w:gridCol w:w="1281"/>
            <w:gridCol w:w="1227"/>
            <w:gridCol w:w="1355"/>
            <w:gridCol w:w="1068"/>
            <w:gridCol w:w="2711"/>
            <w:gridCol w:w="2314"/>
            <w:gridCol w:w="872"/>
            <w:gridCol w:w="156"/>
          </w:tblGrid>
        </w:tblGridChange>
      </w:tblGrid>
      <w:tr>
        <w:trPr>
          <w:cantSplit w:val="1"/>
          <w:tblHeader w:val="1"/>
        </w:trPr>
        <w:tc>
          <w:tcPr>
            <w:gridSpan w:val="11"/>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Exposure to famine in early life (0 to 18 years) compared to no exposure to famine in childhood and adolescence for NCDs prevention in older children and adults in LMICs</w:t>
            </w:r>
          </w:p>
          <w:p w:rsidR="00000000" w:rsidDel="00000000" w:rsidP="00000000" w:rsidRDefault="00000000" w:rsidRPr="00000000" w14:paraId="000001CA">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0">
              <w:r w:rsidDel="00000000" w:rsidR="00000000" w:rsidRPr="00000000">
                <w:rPr>
                  <w:rFonts w:ascii="Verdana" w:cs="Verdana" w:eastAsia="Verdana" w:hAnsi="Verdana"/>
                  <w:color w:val="000000"/>
                  <w:sz w:val="16"/>
                  <w:szCs w:val="16"/>
                  <w:u w:val="none"/>
                  <w:rtl w:val="0"/>
                </w:rPr>
                <w:t xml:space="preserve">Grey K, Gonzales GB, Abera M, Lelijveld N, Thompson D, Berhane M, et al. Severe malnutrition or famine exposure in childhood and cardiometabolic non-communicable disease later in life: a systematic review. BMJ Glob Health. 2021 Mar;6(3):e003161.</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4"/>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Impact</w:t>
            </w:r>
          </w:p>
        </w:tc>
        <w:tc>
          <w:tcPr>
            <w:vAlign w:val="center"/>
          </w:tcPr>
          <w:p w:rsidR="00000000" w:rsidDel="00000000" w:rsidP="00000000" w:rsidRDefault="00000000" w:rsidRPr="00000000" w14:paraId="000001EA">
            <w:pPr>
              <w:rPr>
                <w:sz w:val="20"/>
                <w:szCs w:val="20"/>
              </w:rPr>
            </w:pPr>
            <w:r w:rsidDel="00000000" w:rsidR="00000000" w:rsidRPr="00000000">
              <w:rPr>
                <w:rtl w:val="0"/>
              </w:rPr>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no exposure to famine in childhood and adolescence</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exposure to famine in early life (0 to 18 years)</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5">
            <w:pPr>
              <w:rPr>
                <w:sz w:val="20"/>
                <w:szCs w:val="20"/>
              </w:rPr>
            </w:pPr>
            <w:r w:rsidDel="00000000" w:rsidR="00000000" w:rsidRPr="00000000">
              <w:rPr>
                <w:rtl w:val="0"/>
              </w:rPr>
            </w:r>
          </w:p>
        </w:tc>
      </w:tr>
      <w:tr>
        <w:trPr>
          <w:cantSplit w:val="1"/>
          <w:tblHeader w:val="0"/>
        </w:trPr>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6">
            <w:pPr>
              <w:rPr>
                <w:rFonts w:ascii="Verdana" w:cs="Verdana" w:eastAsia="Verdana" w:hAnsi="Verdana"/>
                <w:sz w:val="16"/>
                <w:szCs w:val="16"/>
              </w:rPr>
            </w:pPr>
            <w:r w:rsidDel="00000000" w:rsidR="00000000" w:rsidRPr="00000000">
              <w:rPr>
                <w:rFonts w:ascii="Verdana" w:cs="Verdana" w:eastAsia="Verdana" w:hAnsi="Verdana"/>
                <w:b w:val="1"/>
                <w:rtl w:val="0"/>
              </w:rPr>
              <w:t xml:space="preserve">Cardiovascular non-communicable diseases and events</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cases 0 controls 0/0 exposed 0/0 unexposed</w:t>
              <w:br w:type="textWrapping"/>
              <w:t xml:space="preserve">(52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2">
            <w:pPr>
              <w:jc w:val="center"/>
              <w:rPr>
                <w:rFonts w:ascii="Verdana" w:cs="Verdana" w:eastAsia="Verdana" w:hAnsi="Verdana"/>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3">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4">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5">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6">
            <w:pP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4"/>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8">
            <w:pPr>
              <w:jc w:val="center"/>
              <w:rPr>
                <w:rFonts w:ascii="Verdana" w:cs="Verdana" w:eastAsia="Verdana" w:hAnsi="Verdana"/>
                <w:sz w:val="16"/>
                <w:szCs w:val="16"/>
              </w:rPr>
            </w:pPr>
            <w:r w:rsidDel="00000000" w:rsidR="00000000" w:rsidRPr="00000000">
              <w:rPr>
                <w:rtl w:val="0"/>
              </w:rPr>
            </w:r>
          </w:p>
        </w:tc>
      </w:tr>
      <w:tr>
        <w:trPr>
          <w:cantSplit w:val="1"/>
          <w:tblHeader w:val="0"/>
        </w:trPr>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0C">
            <w:pPr>
              <w:rPr>
                <w:rFonts w:ascii="Verdana" w:cs="Verdana" w:eastAsia="Verdana" w:hAnsi="Verdana"/>
                <w:sz w:val="16"/>
                <w:szCs w:val="16"/>
              </w:rPr>
            </w:pPr>
            <w:r w:rsidDel="00000000" w:rsidR="00000000" w:rsidRPr="00000000">
              <w:rPr>
                <w:rFonts w:ascii="Verdana" w:cs="Verdana" w:eastAsia="Verdana" w:hAnsi="Verdana"/>
                <w:b w:val="1"/>
                <w:rtl w:val="0"/>
              </w:rPr>
              <w:t xml:space="preserve">Hypertension and Elevated Blood Pressure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4"/>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E">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"Famine exposure during childhood and adolescence was associated with increased risk of CVD (e.g., myocardial infarction, coronary artery calcification) in 7/8 studies from the UK, China, Russia and the Netherlands, with only one study of Leningrad Siege survivors finding no difference in the prevalence of CVD. A sex-specific effect was noted in 2/3 studies; one study reported increased risk of peripheral arterial disease among women exposed to the Dutch Hunger Winter in adolescence, and another found higher mortality from cerebrovascular disease and ischaemic heart disease in men exposed to the Leningrad Siege at ages 9–15 years and 6–8 years, respectively. There was also consistent evidence of positive association between famine exposure and elevated blood pressure (BP) and hypertension in 8/11 studies from China, Nigeria and Russia. However, three Chinese studies found no difference in BP or hypertension risk between unexposed controls and those exposed to famine in infancy, early childhood, and late childhood, respectively. While the findings primarily indicate that famine exposure during infancy and childhood are associated with increased BP in adulthood, the two studies that included adolescents found positive associations between adolescent famine exposure (9–15 years) and increased BP."</w:t>
            </w:r>
          </w:p>
        </w:tc>
      </w:tr>
      <w:tr>
        <w:trPr>
          <w:cantSplit w:val="1"/>
          <w:tblHeader w:val="0"/>
        </w:trPr>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2">
            <w:pPr>
              <w:rPr>
                <w:rFonts w:ascii="Verdana" w:cs="Verdana" w:eastAsia="Verdana" w:hAnsi="Verdana"/>
                <w:sz w:val="16"/>
                <w:szCs w:val="16"/>
              </w:rPr>
            </w:pPr>
            <w:r w:rsidDel="00000000" w:rsidR="00000000" w:rsidRPr="00000000">
              <w:rPr>
                <w:rFonts w:ascii="Verdana" w:cs="Verdana" w:eastAsia="Verdana" w:hAnsi="Verdana"/>
                <w:b w:val="1"/>
                <w:rtl w:val="0"/>
              </w:rPr>
              <w:t xml:space="preserve">Glucose Metabolism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4"/>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4">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evidence shows a positive association between childhood famine exposure and impaired glucose metabolism, with 2/15 studies finding increased risk of hyperglycaemia and 7/15 showing increased diabetes risk. The five studies that stratified analyses by sex found increased risk of glucose metabolism disorders in women only. Increased risk of hyperglycaemia in famine-exposed women was found in two Chinese studies. Both found similarly increased risk as a result of early childhood famine exposure (0–3 years; OR 1.48; 95% CI 1.15 to 1.948; OR 1.55; 95% CI 1.10 to 2.1949), with one study finding further associations with exposure in mid-childhood (4–6 years; OR 1.38; 95% CI 1.06 to 1.79) and late childhood (7–10 years; OR 1.57; 95% CI 1.25 to 1.98). By contrast, one of these studies found a decreased risk of diabetes in men exposed to famine in early (OR 0.65; 95% CI 0.49 to 0.86) and late childhood (OR 0.74; 95% CI 0.56 to 0.98) compared with controls. Increased diabetes risk was found in seven studies from China and the Netherlands (5/7 and 2/7, respectively) after childhood famine exposure, with three studies reporting an effect in women only. Increased diabetes risk was mainly observed among participants exposed to famine in early and late childhood (0–10 years); however, one Dutch study reported increased risk in the female adolescent exposure group (11–14 years) only. Of the remaining six studies, five reported null findings and one reported a negative relationship between famine exposure and impaired glucose metabolism in adulthood. Studies from Bangladesh, Nigeria, China and Russia found no association between childhood famine exposure and impaired glucose metabolism when outcomes were assessed between ~30 and 80 years. Finally, one study of Ukrainian famine survivors reported reduced diabetes risk in childhoodexposed participants (OR 0.063; 95% CI 0.007 to 0.55) compared with unexposed controls."</w:t>
            </w:r>
          </w:p>
        </w:tc>
      </w:tr>
      <w:tr>
        <w:trPr>
          <w:cantSplit w:val="1"/>
          <w:tblHeader w:val="0"/>
        </w:trPr>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8">
            <w:pPr>
              <w:rPr>
                <w:rFonts w:ascii="Verdana" w:cs="Verdana" w:eastAsia="Verdana" w:hAnsi="Verdana"/>
                <w:sz w:val="16"/>
                <w:szCs w:val="16"/>
              </w:rPr>
            </w:pPr>
            <w:r w:rsidDel="00000000" w:rsidR="00000000" w:rsidRPr="00000000">
              <w:rPr>
                <w:rFonts w:ascii="Verdana" w:cs="Verdana" w:eastAsia="Verdana" w:hAnsi="Verdana"/>
                <w:b w:val="1"/>
                <w:rtl w:val="0"/>
              </w:rPr>
              <w:t xml:space="preserve">Lipid Metabolism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4"/>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A">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"Of eight studies that reported on lipid metabolism outcomes, four reported no difference in lipid profiles between famine-exposed participants and controls. Three Chinese studies found increased risk of dyslipidaemia after childhood famine exposure between 0 and 12 years, with one also reporting an effect in the adolescent group (13–20 years). A study of Leningrad Siege survivors found higher high-density lipoprotein (HDL) in exposed participants (p=0.008) but no difference in triglycerides compared with controls. Only one Chinese study stratified analyses by sex and it found an increased risk of dyslipidaemia in women only." </w:t>
            </w:r>
          </w:p>
        </w:tc>
      </w:tr>
      <w:tr>
        <w:trPr>
          <w:cantSplit w:val="1"/>
          <w:tblHeader w:val="0"/>
        </w:trPr>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4E">
            <w:pPr>
              <w:rPr>
                <w:rFonts w:ascii="Verdana" w:cs="Verdana" w:eastAsia="Verdana" w:hAnsi="Verdana"/>
                <w:sz w:val="16"/>
                <w:szCs w:val="16"/>
              </w:rPr>
            </w:pPr>
            <w:r w:rsidDel="00000000" w:rsidR="00000000" w:rsidRPr="00000000">
              <w:rPr>
                <w:rFonts w:ascii="Verdana" w:cs="Verdana" w:eastAsia="Verdana" w:hAnsi="Verdana"/>
                <w:b w:val="1"/>
                <w:rtl w:val="0"/>
              </w:rPr>
              <w:t xml:space="preserve">Metabolic Syndrome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4"/>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60">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"All five studies of metabolic syndrome (MetS) in Chinese famine survivors showed an increased risk in participants exposed between 0 and 9 years. Four studies stratified analyses by sex and found increased risk exclusively in women. Another Chinese study used a different method to assess MetS-related outcomes called the ‘visceral adiposity index’ (VAI), a sex-specific equation based on waist circumference, BMI, and triglyceride and HDL levels. They found a positive association between childhood famine exposure (0–9 years) and VAI in women only." </w:t>
            </w:r>
          </w:p>
        </w:tc>
      </w:tr>
      <w:tr>
        <w:trPr>
          <w:cantSplit w:val="1"/>
          <w:tblHeader w:val="0"/>
        </w:trPr>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4">
            <w:pPr>
              <w:rPr>
                <w:rFonts w:ascii="Verdana" w:cs="Verdana" w:eastAsia="Verdana" w:hAnsi="Verdana"/>
                <w:sz w:val="16"/>
                <w:szCs w:val="16"/>
              </w:rPr>
            </w:pPr>
            <w:r w:rsidDel="00000000" w:rsidR="00000000" w:rsidRPr="00000000">
              <w:rPr>
                <w:rFonts w:ascii="Verdana" w:cs="Verdana" w:eastAsia="Verdana" w:hAnsi="Verdana"/>
                <w:b w:val="1"/>
                <w:rtl w:val="0"/>
              </w:rPr>
              <w:t xml:space="preserve">Obesity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6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4"/>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6">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"Evidence on obesity-related outcomes in famine survivors showed mixed effects. Four Chinese studies reported increased BMI, obesity or overweight among those exposed to famine between 0 and 9 years and followed up in late adulthood. Conversely, three studies found no association between famine exposure between 0 and 3 years and overweight, obesity, BMI or waist circumference."</w:t>
            </w:r>
          </w:p>
        </w:tc>
      </w:tr>
    </w:tbl>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w:t>
      </w:r>
    </w:p>
    <w:p w:rsidR="00000000" w:rsidDel="00000000" w:rsidP="00000000" w:rsidRDefault="00000000" w:rsidRPr="00000000" w14:paraId="0000027B">
      <w:pPr>
        <w:pStyle w:val="Heading4"/>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27C">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All articles have an important overlapping memory bias, followed by biases such as confusion and memory.</w:t>
      </w:r>
    </w:p>
    <w:p w:rsidR="00000000" w:rsidDel="00000000" w:rsidP="00000000" w:rsidRDefault="00000000" w:rsidRPr="00000000" w14:paraId="0000027D">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Very high variation of the OR and overlap estimates of the 95% CI, presence of statistical insignificance in some articles and lack of measurement of the heterogeneity of the effects. The values of the statistical variables even refer to different exposed subgroups (fetal exposure; infant exposure; fetal-infant exposure; and preschool exposure), obtained by different methods of statistical calculation (for example, multivariate regression). Most articles correct the values based on different confounding variables (e.g., smoking, alcohol, gender, BMI), but without considering some of the most important ones (e.g., sodium consumption and level of physical activity).</w:t>
      </w:r>
    </w:p>
    <w:p w:rsidR="00000000" w:rsidDel="00000000" w:rsidP="00000000" w:rsidRDefault="00000000" w:rsidRPr="00000000" w14:paraId="0000027E">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Use of non-uniform methods for sample selection, with some having low diagnostic capacity (e.g., single blood pressure measurements, pressure levels other than those recommended by the main diagnostic guidelines or diagnostic self-report), as well as the lack of assessment of their severity (e.g., mild, moderate or severe). Inclusion of individuals belonging to very different populations (Russian, Chinese and Nigerian), with a high possibility of different physiological responses to exposure and of all being genetically more resistant, as they were survivors of the famine period. In addition, mention is made of the fact that some studies have the inclusion of large populations and small sample selection; single sex for analysis; measuring the severity of exposure absent or in different and inappropriate ways; inability to accurately define the beginning and end of the exposure period; and lack of control over the origin of those not exposed.</w:t>
      </w:r>
    </w:p>
    <w:p w:rsidR="00000000" w:rsidDel="00000000" w:rsidP="00000000" w:rsidRDefault="00000000" w:rsidRPr="00000000" w14:paraId="0000027F">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Lack of effect size that represents the evaluated studies, with many studies demonstrating statistical insignificance in favor of the association between hunger and hypertension and within the vital threshold.</w:t>
      </w:r>
    </w:p>
    <w:p w:rsidR="00000000" w:rsidDel="00000000" w:rsidP="00000000" w:rsidRDefault="00000000" w:rsidRPr="00000000" w14:paraId="00000280">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1">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2">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3">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4">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5">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6">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7">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8">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9">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A">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B">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C">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D">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E">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8F">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90">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91">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92">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93">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294">
      <w:pPr>
        <w:rPr>
          <w:rFonts w:ascii="Verdana" w:cs="Verdana" w:eastAsia="Verdana" w:hAnsi="Verdana"/>
          <w:color w:val="000000"/>
          <w:sz w:val="16"/>
          <w:szCs w:val="16"/>
        </w:rPr>
      </w:pPr>
      <w:r w:rsidDel="00000000" w:rsidR="00000000" w:rsidRPr="00000000">
        <w:rPr>
          <w:rtl w:val="0"/>
        </w:rPr>
      </w:r>
    </w:p>
    <w:tbl>
      <w:tblPr>
        <w:tblStyle w:val="Table5"/>
        <w:tblW w:w="14400.000000000002" w:type="dxa"/>
        <w:jc w:val="left"/>
        <w:tblLayout w:type="fixed"/>
        <w:tblLook w:val="0400"/>
      </w:tblPr>
      <w:tblGrid>
        <w:gridCol w:w="1231"/>
        <w:gridCol w:w="820"/>
        <w:gridCol w:w="1406"/>
        <w:gridCol w:w="1281"/>
        <w:gridCol w:w="1227"/>
        <w:gridCol w:w="1349"/>
        <w:gridCol w:w="1085"/>
        <w:gridCol w:w="1099"/>
        <w:gridCol w:w="1099"/>
        <w:gridCol w:w="1345"/>
        <w:gridCol w:w="1099"/>
        <w:gridCol w:w="1359"/>
        <w:tblGridChange w:id="0">
          <w:tblGrid>
            <w:gridCol w:w="1231"/>
            <w:gridCol w:w="820"/>
            <w:gridCol w:w="1406"/>
            <w:gridCol w:w="1281"/>
            <w:gridCol w:w="1227"/>
            <w:gridCol w:w="1349"/>
            <w:gridCol w:w="1085"/>
            <w:gridCol w:w="1099"/>
            <w:gridCol w:w="1099"/>
            <w:gridCol w:w="1345"/>
            <w:gridCol w:w="1099"/>
            <w:gridCol w:w="1359"/>
          </w:tblGrid>
        </w:tblGridChange>
      </w:tblGrid>
      <w:tr>
        <w:trPr>
          <w:cantSplit w:val="1"/>
          <w:tblHeader w:val="1"/>
        </w:trPr>
        <w:tc>
          <w:tcPr>
            <w:gridSpan w:val="12"/>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Behavioral risk factors by gender compared to no exposure to behavioral risk factors by gender for diabetes prevention in Caribbean</w:t>
            </w:r>
          </w:p>
          <w:p w:rsidR="00000000" w:rsidDel="00000000" w:rsidP="00000000" w:rsidRDefault="00000000" w:rsidRPr="00000000" w14:paraId="00000296">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1">
              <w:r w:rsidDel="00000000" w:rsidR="00000000" w:rsidRPr="00000000">
                <w:rPr>
                  <w:rFonts w:ascii="Verdana" w:cs="Verdana" w:eastAsia="Verdana" w:hAnsi="Verdana"/>
                  <w:color w:val="000000"/>
                  <w:sz w:val="16"/>
                  <w:szCs w:val="16"/>
                  <w:u w:val="none"/>
                  <w:rtl w:val="0"/>
                </w:rPr>
                <w:t xml:space="preserve">Guariguata L, Brown C, Sobers N, Hambleton I, Samuels TA, Unwin N. An updated systematic review and meta-analysis on the social determinants of diabetes and related risk factors in the Caribbean. Rev Panam Salud Publica Pan Am J Public Health. 2018;42:e171.</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no exposure to behavioral risk factors by gender</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behavioral risk factors by gender</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no exposure to behavioral risk factors by gender</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behavioral risk factors by gender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C6">
            <w:pPr>
              <w:rPr>
                <w:rFonts w:ascii="Verdana" w:cs="Verdana" w:eastAsia="Verdana" w:hAnsi="Verdana"/>
                <w:sz w:val="16"/>
                <w:szCs w:val="16"/>
              </w:rPr>
            </w:pPr>
            <w:r w:rsidDel="00000000" w:rsidR="00000000" w:rsidRPr="00000000">
              <w:rPr>
                <w:rFonts w:ascii="Verdana" w:cs="Verdana" w:eastAsia="Verdana" w:hAnsi="Verdana"/>
                <w:b w:val="1"/>
                <w:rtl w:val="0"/>
              </w:rPr>
              <w:t xml:space="preserve">Obesity by gender, women vs men (ref) (assessed with: Odds Ratio)</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92546</w:t>
              <w:br w:type="textWrapping"/>
              <w:t xml:space="preserve">(20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8">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-/46273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-/46273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B">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OR 2.10</w:t>
            </w:r>
            <w:r w:rsidDel="00000000" w:rsidR="00000000" w:rsidRPr="00000000">
              <w:rPr>
                <w:rFonts w:ascii="Verdana" w:cs="Verdana" w:eastAsia="Verdana" w:hAnsi="Verdana"/>
                <w:sz w:val="16"/>
                <w:szCs w:val="16"/>
                <w:rtl w:val="0"/>
              </w:rPr>
              <w:br w:type="textWrapping"/>
              <w:t xml:space="preserve">(1.65 to 2.69)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per 1.000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D">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0 fewer per 1.000</w:t>
            </w:r>
            <w:r w:rsidDel="00000000" w:rsidR="00000000" w:rsidRPr="00000000">
              <w:rPr>
                <w:rFonts w:ascii="Verdana" w:cs="Verdana" w:eastAsia="Verdana" w:hAnsi="Verdana"/>
                <w:sz w:val="16"/>
                <w:szCs w:val="16"/>
                <w:rtl w:val="0"/>
              </w:rPr>
              <w:br w:type="textWrapping"/>
              <w:t xml:space="preserve">(from 0 fewer to 0 fewer)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DE">
            <w:pPr>
              <w:rPr>
                <w:rFonts w:ascii="Verdana" w:cs="Verdana" w:eastAsia="Verdana" w:hAnsi="Verdana"/>
                <w:sz w:val="16"/>
                <w:szCs w:val="16"/>
              </w:rPr>
            </w:pPr>
            <w:r w:rsidDel="00000000" w:rsidR="00000000" w:rsidRPr="00000000">
              <w:rPr>
                <w:rFonts w:ascii="Verdana" w:cs="Verdana" w:eastAsia="Verdana" w:hAnsi="Verdana"/>
                <w:b w:val="1"/>
                <w:rtl w:val="0"/>
              </w:rPr>
              <w:t xml:space="preserve">Smoking by gender, men vs women (ref) (assessed with: Odds Ratio)</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68370</w:t>
              <w:br w:type="textWrapping"/>
              <w:t xml:space="preserve">(20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0">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-/34185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-/34185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3">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OR 4.27</w:t>
            </w:r>
            <w:r w:rsidDel="00000000" w:rsidR="00000000" w:rsidRPr="00000000">
              <w:rPr>
                <w:rFonts w:ascii="Verdana" w:cs="Verdana" w:eastAsia="Verdana" w:hAnsi="Verdana"/>
                <w:sz w:val="16"/>
                <w:szCs w:val="16"/>
                <w:rtl w:val="0"/>
              </w:rPr>
              <w:br w:type="textWrapping"/>
              <w:t xml:space="preserve">(3.18 to 5.74)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per 1.000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5">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0 fewer per 1.000</w:t>
            </w:r>
            <w:r w:rsidDel="00000000" w:rsidR="00000000" w:rsidRPr="00000000">
              <w:rPr>
                <w:rFonts w:ascii="Verdana" w:cs="Verdana" w:eastAsia="Verdana" w:hAnsi="Verdana"/>
                <w:sz w:val="16"/>
                <w:szCs w:val="16"/>
                <w:rtl w:val="0"/>
              </w:rPr>
              <w:br w:type="textWrapping"/>
              <w:t xml:space="preserve">(from 0 fewer to 0 fewer)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F6">
            <w:pPr>
              <w:rPr>
                <w:rFonts w:ascii="Verdana" w:cs="Verdana" w:eastAsia="Verdana" w:hAnsi="Verdana"/>
                <w:sz w:val="16"/>
                <w:szCs w:val="16"/>
              </w:rPr>
            </w:pPr>
            <w:r w:rsidDel="00000000" w:rsidR="00000000" w:rsidRPr="00000000">
              <w:rPr>
                <w:rFonts w:ascii="Verdana" w:cs="Verdana" w:eastAsia="Verdana" w:hAnsi="Verdana"/>
                <w:b w:val="1"/>
                <w:rtl w:val="0"/>
              </w:rPr>
              <w:t xml:space="preserve">Physical Inactivity by gender, women vs men (ref) (assessed with: Odds Ratio)</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60780</w:t>
              <w:br w:type="textWrapping"/>
              <w:t xml:space="preserve">(15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j</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r w:rsidDel="00000000" w:rsidR="00000000" w:rsidRPr="00000000">
              <w:rPr>
                <w:rFonts w:ascii="Verdana" w:cs="Verdana" w:eastAsia="Verdana" w:hAnsi="Verdana"/>
                <w:sz w:val="16"/>
                <w:szCs w:val="16"/>
                <w:vertAlign w:val="superscript"/>
                <w:rtl w:val="0"/>
              </w:rPr>
              <w:t xml:space="preserve">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8">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-/30390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-/30390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B">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OR 2.18</w:t>
            </w:r>
            <w:r w:rsidDel="00000000" w:rsidR="00000000" w:rsidRPr="00000000">
              <w:rPr>
                <w:rFonts w:ascii="Verdana" w:cs="Verdana" w:eastAsia="Verdana" w:hAnsi="Verdana"/>
                <w:sz w:val="16"/>
                <w:szCs w:val="16"/>
                <w:rtl w:val="0"/>
              </w:rPr>
              <w:br w:type="textWrapping"/>
              <w:t xml:space="preserve">(1.75 to 2.72)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per 1.000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D">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0 fewer per 1.000</w:t>
            </w:r>
            <w:r w:rsidDel="00000000" w:rsidR="00000000" w:rsidRPr="00000000">
              <w:rPr>
                <w:rFonts w:ascii="Verdana" w:cs="Verdana" w:eastAsia="Verdana" w:hAnsi="Verdana"/>
                <w:sz w:val="16"/>
                <w:szCs w:val="16"/>
                <w:rtl w:val="0"/>
              </w:rPr>
              <w:br w:type="textWrapping"/>
              <w:t xml:space="preserve">(from 0 fewer to 0 fewer)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0E">
            <w:pPr>
              <w:rPr>
                <w:rFonts w:ascii="Verdana" w:cs="Verdana" w:eastAsia="Verdana" w:hAnsi="Verdana"/>
                <w:sz w:val="16"/>
                <w:szCs w:val="16"/>
              </w:rPr>
            </w:pPr>
            <w:r w:rsidDel="00000000" w:rsidR="00000000" w:rsidRPr="00000000">
              <w:rPr>
                <w:rFonts w:ascii="Verdana" w:cs="Verdana" w:eastAsia="Verdana" w:hAnsi="Verdana"/>
                <w:b w:val="1"/>
                <w:rtl w:val="0"/>
              </w:rPr>
              <w:t xml:space="preserve">Diet (insufficient fruit and vegetable intake) by gender, women (ref) vs men (assessed with: Odds Ratio)</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1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21974</w:t>
              <w:br w:type="textWrapping"/>
              <w:t xml:space="preserve">(8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1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1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1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1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r w:rsidDel="00000000" w:rsidR="00000000" w:rsidRPr="00000000">
              <w:rPr>
                <w:rFonts w:ascii="Verdana" w:cs="Verdana" w:eastAsia="Verdana" w:hAnsi="Verdana"/>
                <w:sz w:val="16"/>
                <w:szCs w:val="16"/>
                <w:vertAlign w:val="superscript"/>
                <w:rtl w:val="0"/>
              </w:rPr>
              <w:t xml:space="preserve">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1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20">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2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-/10987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2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-/10987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23">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OR 1.36</w:t>
            </w:r>
            <w:r w:rsidDel="00000000" w:rsidR="00000000" w:rsidRPr="00000000">
              <w:rPr>
                <w:rFonts w:ascii="Verdana" w:cs="Verdana" w:eastAsia="Verdana" w:hAnsi="Verdana"/>
                <w:sz w:val="16"/>
                <w:szCs w:val="16"/>
                <w:rtl w:val="0"/>
              </w:rPr>
              <w:br w:type="textWrapping"/>
              <w:t xml:space="preserve">(1.19 to 1.56)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2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per 1.000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25">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0 fewer per 1.000</w:t>
            </w:r>
            <w:r w:rsidDel="00000000" w:rsidR="00000000" w:rsidRPr="00000000">
              <w:rPr>
                <w:rFonts w:ascii="Verdana" w:cs="Verdana" w:eastAsia="Verdana" w:hAnsi="Verdana"/>
                <w:sz w:val="16"/>
                <w:szCs w:val="16"/>
                <w:rtl w:val="0"/>
              </w:rPr>
              <w:br w:type="textWrapping"/>
              <w:t xml:space="preserve">(from 0 fewer to 0 fewer)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26">
            <w:pPr>
              <w:rPr>
                <w:rFonts w:ascii="Verdana" w:cs="Verdana" w:eastAsia="Verdana" w:hAnsi="Verdana"/>
                <w:sz w:val="16"/>
                <w:szCs w:val="16"/>
              </w:rPr>
            </w:pPr>
            <w:r w:rsidDel="00000000" w:rsidR="00000000" w:rsidRPr="00000000">
              <w:rPr>
                <w:rFonts w:ascii="Verdana" w:cs="Verdana" w:eastAsia="Verdana" w:hAnsi="Verdana"/>
                <w:b w:val="1"/>
                <w:rtl w:val="0"/>
              </w:rPr>
              <w:t xml:space="preserve">Diabetes prevalence by gender, women vs men (ref) (assessed with: Odds Ratio)</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96804</w:t>
              <w:br w:type="textWrapping"/>
              <w:t xml:space="preserve">(24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q</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8">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-/48402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-/48402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B">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OR 1.48</w:t>
            </w:r>
            <w:r w:rsidDel="00000000" w:rsidR="00000000" w:rsidRPr="00000000">
              <w:rPr>
                <w:rFonts w:ascii="Verdana" w:cs="Verdana" w:eastAsia="Verdana" w:hAnsi="Verdana"/>
                <w:sz w:val="16"/>
                <w:szCs w:val="16"/>
                <w:rtl w:val="0"/>
              </w:rPr>
              <w:br w:type="textWrapping"/>
              <w:t xml:space="preserve">(1.25 to 1.76)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 per 1.000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D">
            <w:pPr>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0 fewer per 1.000</w:t>
            </w:r>
            <w:r w:rsidDel="00000000" w:rsidR="00000000" w:rsidRPr="00000000">
              <w:rPr>
                <w:rFonts w:ascii="Verdana" w:cs="Verdana" w:eastAsia="Verdana" w:hAnsi="Verdana"/>
                <w:sz w:val="16"/>
                <w:szCs w:val="16"/>
                <w:rtl w:val="0"/>
              </w:rPr>
              <w:br w:type="textWrapping"/>
              <w:t xml:space="preserve">(from 0 fewer to 0 fewer)</w:t>
            </w:r>
          </w:p>
        </w:tc>
      </w:tr>
    </w:tbl>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 </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OR:</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odds ratio</w:t>
      </w:r>
    </w:p>
    <w:p w:rsidR="00000000" w:rsidDel="00000000" w:rsidP="00000000" w:rsidRDefault="00000000" w:rsidRPr="00000000" w14:paraId="0000033F">
      <w:pPr>
        <w:pStyle w:val="Heading4"/>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340">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Most of the articles with high or uncertain risk of bias and not following sequentially regarding the selection of participants, evaluation of possible confounding factors, methodology, results and with incomplete writing of the data presented.</w:t>
      </w:r>
    </w:p>
    <w:p w:rsidR="00000000" w:rsidDel="00000000" w:rsidP="00000000" w:rsidRDefault="00000000" w:rsidRPr="00000000" w14:paraId="00000341">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In sensitivity analyses, excluding studies deemed high risk did not affect the strength or direction of effect sizes. Most studies were population-based, with generally high response rates and a mix of objective and subjective measures. Very high statistically significant heterogeneity (96%) with very high variation between point estimates and 95% CI overlap.</w:t>
      </w:r>
    </w:p>
    <w:p w:rsidR="00000000" w:rsidDel="00000000" w:rsidP="00000000" w:rsidRDefault="00000000" w:rsidRPr="00000000" w14:paraId="00000342">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Highly distinct populations in terms of their socioeconomic indicators, educational level, ethnicity, age, place of residence, marital status, among others. Due to the cross section, there are no comparisons. Multiple outcomes assessed in conjunction with behavioral risk factors.</w:t>
      </w:r>
    </w:p>
    <w:p w:rsidR="00000000" w:rsidDel="00000000" w:rsidP="00000000" w:rsidRDefault="00000000" w:rsidRPr="00000000" w14:paraId="00000343">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Dichotomous data with a sample size of 46,273 individuals, low prevalence of diabetes among non-exposed individuals and 95% CI with numerical imprecision demonstrating from trivial to small effects.</w:t>
      </w:r>
    </w:p>
    <w:p w:rsidR="00000000" w:rsidDel="00000000" w:rsidP="00000000" w:rsidRDefault="00000000" w:rsidRPr="00000000" w14:paraId="00000344">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e. Most of the articles with high or uncertain risk of bias and not following sequentially regarding the selection of participants, evaluation of possible confounding factors, methodology, results and with incomplete writing of the data presented.</w:t>
      </w:r>
    </w:p>
    <w:p w:rsidR="00000000" w:rsidDel="00000000" w:rsidP="00000000" w:rsidRDefault="00000000" w:rsidRPr="00000000" w14:paraId="00000345">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f. In sensitivity analyses, excluding studies deemed high risk did not affect the strength or direction of effect sizes. Most studies were population-based, with generally high response rates and a mix of objective and subjective measures. Very high statistically significant heterogeneity (94.7%) with very high variation between point estimates and 95% CI overlap.</w:t>
      </w:r>
    </w:p>
    <w:p w:rsidR="00000000" w:rsidDel="00000000" w:rsidP="00000000" w:rsidRDefault="00000000" w:rsidRPr="00000000" w14:paraId="00000346">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g. Highly distinct populations in terms of their socioeconomic indicators, educational level, ethnicity, age, place of residence, marital status, among others. Due to the cross section, there are no comparisons. Multiple outcomes assessed in conjunction with behavioral risk factors.</w:t>
      </w:r>
    </w:p>
    <w:p w:rsidR="00000000" w:rsidDel="00000000" w:rsidP="00000000" w:rsidRDefault="00000000" w:rsidRPr="00000000" w14:paraId="00000347">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h. Dichotomous data with a sample size of 34,185 individuals, low prevalence of diabetes among non-exposed individuals and 95% CI with numerical imprecision demonstrating from small to moderate effects. In a meta-analysis of smoking and tobacco use by gender, men had substantially higher odds of smoking (OR: 4.27; 95%CI = 3.18 – 5.74) than women. </w:t>
      </w:r>
    </w:p>
    <w:p w:rsidR="00000000" w:rsidDel="00000000" w:rsidP="00000000" w:rsidRDefault="00000000" w:rsidRPr="00000000" w14:paraId="00000348">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i. Most of the articles with high or uncertain risk of bias and not following sequentially regarding the selection of participants, evaluation of possible confounding factors, methodology, results and with incomplete writing of the data presented.</w:t>
      </w:r>
    </w:p>
    <w:p w:rsidR="00000000" w:rsidDel="00000000" w:rsidP="00000000" w:rsidRDefault="00000000" w:rsidRPr="00000000" w14:paraId="00000349">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j. In sensitivity analyses, excluding studies deemed high risk did not affect the strength or direction of effect sizes. Most studies were population-based, with generally high response rates and a mix of objective and subjective measures. Very high statistically significant heterogeneity (94.4%) with very high variation between point estimates and 95% CI overlap.</w:t>
      </w:r>
    </w:p>
    <w:p w:rsidR="00000000" w:rsidDel="00000000" w:rsidP="00000000" w:rsidRDefault="00000000" w:rsidRPr="00000000" w14:paraId="0000034A">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k. Highly distinct populations in terms of their socioeconomic indicators, educational level, ethnicity, age, place of residence, marital status, among others. Due to the cross section, there are no comparisons. Multiple outcomes assessed in conjunction with behavioral risk factors.</w:t>
      </w:r>
    </w:p>
    <w:p w:rsidR="00000000" w:rsidDel="00000000" w:rsidP="00000000" w:rsidRDefault="00000000" w:rsidRPr="00000000" w14:paraId="0000034B">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l. Meta-analysis of physical inactivity and gender yielded an odds ratio of 2.18 (95%CI = 1.75 – 2.72) higher in women than men.</w:t>
      </w:r>
    </w:p>
    <w:p w:rsidR="00000000" w:rsidDel="00000000" w:rsidP="00000000" w:rsidRDefault="00000000" w:rsidRPr="00000000" w14:paraId="0000034C">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m. Most of the articles with high or uncertain risk of bias and not following sequentially regarding the selection of participants, evaluation of possible confounding factors, methodology, results and with incomplete writing of the data presented.</w:t>
      </w:r>
    </w:p>
    <w:p w:rsidR="00000000" w:rsidDel="00000000" w:rsidP="00000000" w:rsidRDefault="00000000" w:rsidRPr="00000000" w14:paraId="0000034D">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n. In sensitivity analyses, excluding studies deemed high risk did not affect the strength or direction of effect sizes. Most studies were population-based, with generally high response rates and a mix of objective and subjective measures. Very high statistically significant heterogeneity (94.4%) with little variation between point estimates and 95% CI overlap.</w:t>
      </w:r>
    </w:p>
    <w:p w:rsidR="00000000" w:rsidDel="00000000" w:rsidP="00000000" w:rsidRDefault="00000000" w:rsidRPr="00000000" w14:paraId="0000034E">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o. Highly distinct populations in terms of their socioeconomic indicators, educational level, ethnicity, age, place of residence, marital status, among others. Due to the cross section, there are no comparisons. Multiple outcomes assessed in conjunction with behavioral risk factors.</w:t>
      </w:r>
    </w:p>
    <w:p w:rsidR="00000000" w:rsidDel="00000000" w:rsidP="00000000" w:rsidRDefault="00000000" w:rsidRPr="00000000" w14:paraId="0000034F">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p. In meta-analysis, diabetes prevalence was higher for women than men in both objective (OR: 1.35, 95%CI = 1.03 – 1.76) and subjective (OR:1.62, 95%CI = 1.33 – 1.97) measurements.</w:t>
      </w:r>
    </w:p>
    <w:p w:rsidR="00000000" w:rsidDel="00000000" w:rsidP="00000000" w:rsidRDefault="00000000" w:rsidRPr="00000000" w14:paraId="00000350">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q. Most of the articles with high or uncertain risk of bias and not following sequentially regarding the selection of participants, evaluation of possible confounding factors, methodology, results and with incomplete writing of the data presented.</w:t>
      </w:r>
    </w:p>
    <w:p w:rsidR="00000000" w:rsidDel="00000000" w:rsidP="00000000" w:rsidRDefault="00000000" w:rsidRPr="00000000" w14:paraId="00000351">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r. In sensitivity analyses, excluding studies deemed high risk did not affect the strength or direction of effect sizes. Most studies were population-based, with generally high response rates and a mix of objective and subjective measures. Very high heterogeneity (88.1%) with variation between point estimates and IC95% overlap.</w:t>
      </w:r>
    </w:p>
    <w:p w:rsidR="00000000" w:rsidDel="00000000" w:rsidP="00000000" w:rsidRDefault="00000000" w:rsidRPr="00000000" w14:paraId="00000352">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s. Highly distinct populations in terms of their socioeconomic indicators, educational level, ethnicity, age, place of residence, marital status, among others. Due to the cross section, there are no comparisons. Multiple outcomes assessed in conjunction with behavioral risk factors.</w:t>
      </w:r>
    </w:p>
    <w:p w:rsidR="00000000" w:rsidDel="00000000" w:rsidP="00000000" w:rsidRDefault="00000000" w:rsidRPr="00000000" w14:paraId="00000353">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4">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5">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6">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7">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8">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9">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A">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5B">
      <w:pPr>
        <w:rPr>
          <w:rFonts w:ascii="Verdana" w:cs="Verdana" w:eastAsia="Verdana" w:hAnsi="Verdana"/>
          <w:color w:val="000000"/>
          <w:sz w:val="16"/>
          <w:szCs w:val="16"/>
        </w:rPr>
      </w:pPr>
      <w:r w:rsidDel="00000000" w:rsidR="00000000" w:rsidRPr="00000000">
        <w:rPr>
          <w:rtl w:val="0"/>
        </w:rPr>
      </w:r>
    </w:p>
    <w:tbl>
      <w:tblPr>
        <w:tblStyle w:val="Table6"/>
        <w:tblW w:w="14400.000000000002" w:type="dxa"/>
        <w:jc w:val="left"/>
        <w:tblLayout w:type="fixed"/>
        <w:tblLook w:val="0400"/>
      </w:tblPr>
      <w:tblGrid>
        <w:gridCol w:w="1231"/>
        <w:gridCol w:w="882"/>
        <w:gridCol w:w="1406"/>
        <w:gridCol w:w="1281"/>
        <w:gridCol w:w="1227"/>
        <w:gridCol w:w="1347"/>
        <w:gridCol w:w="1059"/>
        <w:gridCol w:w="1059"/>
        <w:gridCol w:w="1153"/>
        <w:gridCol w:w="1347"/>
        <w:gridCol w:w="1104"/>
        <w:gridCol w:w="1304"/>
        <w:tblGridChange w:id="0">
          <w:tblGrid>
            <w:gridCol w:w="1231"/>
            <w:gridCol w:w="882"/>
            <w:gridCol w:w="1406"/>
            <w:gridCol w:w="1281"/>
            <w:gridCol w:w="1227"/>
            <w:gridCol w:w="1347"/>
            <w:gridCol w:w="1059"/>
            <w:gridCol w:w="1059"/>
            <w:gridCol w:w="1153"/>
            <w:gridCol w:w="1347"/>
            <w:gridCol w:w="1104"/>
            <w:gridCol w:w="1304"/>
          </w:tblGrid>
        </w:tblGridChange>
      </w:tblGrid>
      <w:tr>
        <w:trPr>
          <w:cantSplit w:val="1"/>
          <w:tblHeader w:val="1"/>
        </w:trPr>
        <w:tc>
          <w:tcPr>
            <w:gridSpan w:val="12"/>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Community health workers compared to routine care for primary prevention of NCDs in LMICs</w:t>
            </w:r>
          </w:p>
          <w:p w:rsidR="00000000" w:rsidDel="00000000" w:rsidP="00000000" w:rsidRDefault="00000000" w:rsidRPr="00000000" w14:paraId="0000035D">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2">
              <w:r w:rsidDel="00000000" w:rsidR="00000000" w:rsidRPr="00000000">
                <w:rPr>
                  <w:rFonts w:ascii="Verdana" w:cs="Verdana" w:eastAsia="Verdana" w:hAnsi="Verdana"/>
                  <w:color w:val="000000"/>
                  <w:sz w:val="16"/>
                  <w:szCs w:val="16"/>
                  <w:u w:val="none"/>
                  <w:rtl w:val="0"/>
                </w:rPr>
                <w:t xml:space="preserve">Jeet G, Thakur JS, Prinja S, Singh M. Community health workers for non-communicable diseases prevention and control in developing countries: Evidence and implications. PloS One. 2017;12(7):e0180640.</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routine care </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community health workers</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routine care </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community health workers</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8D">
            <w:pPr>
              <w:rPr>
                <w:rFonts w:ascii="Verdana" w:cs="Verdana" w:eastAsia="Verdana" w:hAnsi="Verdana"/>
                <w:sz w:val="16"/>
                <w:szCs w:val="16"/>
              </w:rPr>
            </w:pPr>
            <w:r w:rsidDel="00000000" w:rsidR="00000000" w:rsidRPr="00000000">
              <w:rPr>
                <w:rFonts w:ascii="Verdana" w:cs="Verdana" w:eastAsia="Verdana" w:hAnsi="Verdana"/>
                <w:b w:val="1"/>
                <w:rtl w:val="0"/>
              </w:rPr>
              <w:t xml:space="preserve">Diastolic Blood Pressure (follow-up: median 14 months; assessed with: Mean Difference)</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9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6782</w:t>
              <w:br w:type="textWrapping"/>
              <w:t xml:space="preserve">(12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9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a,b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9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r w:rsidDel="00000000" w:rsidR="00000000" w:rsidRPr="00000000">
              <w:rPr>
                <w:rFonts w:ascii="Verdana" w:cs="Verdana" w:eastAsia="Verdana" w:hAnsi="Verdana"/>
                <w:sz w:val="16"/>
                <w:szCs w:val="16"/>
                <w:vertAlign w:val="superscript"/>
                <w:rtl w:val="0"/>
              </w:rPr>
              <w:t xml:space="preserve">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9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9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9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9F">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Moderate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A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3231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A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3551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A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A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diastolic Blood Pressure was </w:t>
            </w:r>
            <w:r w:rsidDel="00000000" w:rsidR="00000000" w:rsidRPr="00000000">
              <w:rPr>
                <w:rFonts w:ascii="Verdana" w:cs="Verdana" w:eastAsia="Verdana" w:hAnsi="Verdana"/>
                <w:b w:val="1"/>
                <w:sz w:val="16"/>
                <w:szCs w:val="16"/>
                <w:rtl w:val="0"/>
              </w:rPr>
              <w:t xml:space="preserve">84</w:t>
            </w:r>
            <w:r w:rsidDel="00000000" w:rsidR="00000000" w:rsidRPr="00000000">
              <w:rPr>
                <w:rFonts w:ascii="Verdana" w:cs="Verdana" w:eastAsia="Verdana" w:hAnsi="Verdana"/>
                <w:sz w:val="16"/>
                <w:szCs w:val="16"/>
                <w:rtl w:val="0"/>
              </w:rPr>
              <w:t xml:space="preserve"> mmHg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A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MD </w:t>
            </w:r>
            <w:r w:rsidDel="00000000" w:rsidR="00000000" w:rsidRPr="00000000">
              <w:rPr>
                <w:rFonts w:ascii="Verdana" w:cs="Verdana" w:eastAsia="Verdana" w:hAnsi="Verdana"/>
                <w:b w:val="1"/>
                <w:sz w:val="16"/>
                <w:szCs w:val="16"/>
                <w:rtl w:val="0"/>
              </w:rPr>
              <w:t xml:space="preserve">2.88 mmHg lower</w:t>
            </w:r>
            <w:r w:rsidDel="00000000" w:rsidR="00000000" w:rsidRPr="00000000">
              <w:rPr>
                <w:rFonts w:ascii="Verdana" w:cs="Verdana" w:eastAsia="Verdana" w:hAnsi="Verdana"/>
                <w:sz w:val="16"/>
                <w:szCs w:val="16"/>
                <w:rtl w:val="0"/>
              </w:rPr>
              <w:br w:type="textWrapping"/>
              <w:t xml:space="preserve">(5.65 lower to 0.1 lower)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A5">
            <w:pPr>
              <w:rPr>
                <w:rFonts w:ascii="Verdana" w:cs="Verdana" w:eastAsia="Verdana" w:hAnsi="Verdana"/>
                <w:sz w:val="16"/>
                <w:szCs w:val="16"/>
              </w:rPr>
            </w:pPr>
            <w:r w:rsidDel="00000000" w:rsidR="00000000" w:rsidRPr="00000000">
              <w:rPr>
                <w:rFonts w:ascii="Verdana" w:cs="Verdana" w:eastAsia="Verdana" w:hAnsi="Verdana"/>
                <w:b w:val="1"/>
                <w:rtl w:val="0"/>
              </w:rPr>
              <w:t xml:space="preserve">Systolic Blood Pressure (follow-up: median 14 months; assessed with: Mean Difference)</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6782</w:t>
              <w:br w:type="textWrapping"/>
              <w:t xml:space="preserve">(12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r w:rsidDel="00000000" w:rsidR="00000000" w:rsidRPr="00000000">
              <w:rPr>
                <w:rFonts w:ascii="Verdana" w:cs="Verdana" w:eastAsia="Verdana" w:hAnsi="Verdana"/>
                <w:sz w:val="16"/>
                <w:szCs w:val="16"/>
                <w:vertAlign w:val="superscript"/>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7">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Moderate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3231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3551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systolic Blood Pressure was </w:t>
            </w:r>
            <w:r w:rsidDel="00000000" w:rsidR="00000000" w:rsidRPr="00000000">
              <w:rPr>
                <w:rFonts w:ascii="Verdana" w:cs="Verdana" w:eastAsia="Verdana" w:hAnsi="Verdana"/>
                <w:b w:val="1"/>
                <w:sz w:val="16"/>
                <w:szCs w:val="16"/>
                <w:rtl w:val="0"/>
              </w:rPr>
              <w:t xml:space="preserve">134.5</w:t>
            </w:r>
            <w:r w:rsidDel="00000000" w:rsidR="00000000" w:rsidRPr="00000000">
              <w:rPr>
                <w:rFonts w:ascii="Verdana" w:cs="Verdana" w:eastAsia="Verdana" w:hAnsi="Verdana"/>
                <w:sz w:val="16"/>
                <w:szCs w:val="16"/>
                <w:rtl w:val="0"/>
              </w:rPr>
              <w:t xml:space="preserve"> mmHg</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MD </w:t>
            </w:r>
            <w:r w:rsidDel="00000000" w:rsidR="00000000" w:rsidRPr="00000000">
              <w:rPr>
                <w:rFonts w:ascii="Verdana" w:cs="Verdana" w:eastAsia="Verdana" w:hAnsi="Verdana"/>
                <w:b w:val="1"/>
                <w:sz w:val="16"/>
                <w:szCs w:val="16"/>
                <w:rtl w:val="0"/>
              </w:rPr>
              <w:t xml:space="preserve">4.8 mmHg lower</w:t>
            </w:r>
            <w:r w:rsidDel="00000000" w:rsidR="00000000" w:rsidRPr="00000000">
              <w:rPr>
                <w:rFonts w:ascii="Verdana" w:cs="Verdana" w:eastAsia="Verdana" w:hAnsi="Verdana"/>
                <w:sz w:val="16"/>
                <w:szCs w:val="16"/>
                <w:rtl w:val="0"/>
              </w:rPr>
              <w:br w:type="textWrapping"/>
              <w:t xml:space="preserve">(8.12 lower to 1.49 lower)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BD">
            <w:pPr>
              <w:rPr>
                <w:rFonts w:ascii="Verdana" w:cs="Verdana" w:eastAsia="Verdana" w:hAnsi="Verdana"/>
                <w:sz w:val="16"/>
                <w:szCs w:val="16"/>
              </w:rPr>
            </w:pPr>
            <w:r w:rsidDel="00000000" w:rsidR="00000000" w:rsidRPr="00000000">
              <w:rPr>
                <w:rFonts w:ascii="Verdana" w:cs="Verdana" w:eastAsia="Verdana" w:hAnsi="Verdana"/>
                <w:b w:val="1"/>
                <w:rtl w:val="0"/>
              </w:rPr>
              <w:t xml:space="preserve">Glycated Hemoglobin (follow-up: median 8 months; assessed with: Mean Difference)</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1342</w:t>
              <w:br w:type="textWrapping"/>
              <w:t xml:space="preserve">(4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F">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D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739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D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603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D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D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glycated Hemoglobin was </w:t>
            </w:r>
            <w:r w:rsidDel="00000000" w:rsidR="00000000" w:rsidRPr="00000000">
              <w:rPr>
                <w:rFonts w:ascii="Verdana" w:cs="Verdana" w:eastAsia="Verdana" w:hAnsi="Verdana"/>
                <w:b w:val="1"/>
                <w:sz w:val="16"/>
                <w:szCs w:val="16"/>
                <w:rtl w:val="0"/>
              </w:rPr>
              <w:t xml:space="preserve">8.8</w:t>
            </w:r>
            <w:r w:rsidDel="00000000" w:rsidR="00000000" w:rsidRPr="00000000">
              <w:rPr>
                <w:rFonts w:ascii="Verdana" w:cs="Verdana" w:eastAsia="Verdana" w:hAnsi="Verdana"/>
                <w:sz w:val="16"/>
                <w:szCs w:val="16"/>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D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MD </w:t>
            </w:r>
            <w:r w:rsidDel="00000000" w:rsidR="00000000" w:rsidRPr="00000000">
              <w:rPr>
                <w:rFonts w:ascii="Verdana" w:cs="Verdana" w:eastAsia="Verdana" w:hAnsi="Verdana"/>
                <w:b w:val="1"/>
                <w:sz w:val="16"/>
                <w:szCs w:val="16"/>
                <w:rtl w:val="0"/>
              </w:rPr>
              <w:t xml:space="preserve">0.83 % lower</w:t>
            </w:r>
            <w:r w:rsidDel="00000000" w:rsidR="00000000" w:rsidRPr="00000000">
              <w:rPr>
                <w:rFonts w:ascii="Verdana" w:cs="Verdana" w:eastAsia="Verdana" w:hAnsi="Verdana"/>
                <w:sz w:val="16"/>
                <w:szCs w:val="16"/>
                <w:rtl w:val="0"/>
              </w:rPr>
              <w:br w:type="textWrapping"/>
              <w:t xml:space="preserve">(1.25 lower to 0.41 lower)</w:t>
            </w:r>
          </w:p>
        </w:tc>
      </w:tr>
    </w:tbl>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 </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MD:</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mean difference</w:t>
      </w:r>
    </w:p>
    <w:p w:rsidR="00000000" w:rsidDel="00000000" w:rsidP="00000000" w:rsidRDefault="00000000" w:rsidRPr="00000000" w14:paraId="000003D6">
      <w:pPr>
        <w:pStyle w:val="Heading4"/>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3D7">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The risk of bias summary has several unclear/ high risk fields.</w:t>
      </w:r>
    </w:p>
    <w:p w:rsidR="00000000" w:rsidDel="00000000" w:rsidP="00000000" w:rsidRDefault="00000000" w:rsidRPr="00000000" w14:paraId="000003D8">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MD with 95% CI who clinically meet moderate to large thresholds.</w:t>
      </w:r>
    </w:p>
    <w:p w:rsidR="00000000" w:rsidDel="00000000" w:rsidP="00000000" w:rsidRDefault="00000000" w:rsidRPr="00000000" w14:paraId="000003D9">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The combined effect showed a statistically significant reduction in diastolic pressure due to the intervention (MD -2.88 [95% IC: -5.65, -0.10]). Sensitivity analysis demonstrated that one study was contributing to the high initial heterogeneity (MD -2.88 [95% IC: -5.65, -0.10], I2 = 96% - p &lt; 0.00001) - due to the small size of the sample and effect size too large. Thus, obtaining a lower final heterogeneity (MD -2.38 [95% IC: -3.27, -1.49], I2 =25% - p = 0.21).</w:t>
      </w:r>
    </w:p>
    <w:p w:rsidR="00000000" w:rsidDel="00000000" w:rsidP="00000000" w:rsidRDefault="00000000" w:rsidRPr="00000000" w14:paraId="000003DA">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The risk of bias summary has several unclear/ high risk fields.</w:t>
      </w:r>
    </w:p>
    <w:p w:rsidR="00000000" w:rsidDel="00000000" w:rsidP="00000000" w:rsidRDefault="00000000" w:rsidRPr="00000000" w14:paraId="000003DB">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e. The combined effect showed a statistically significant reduction in diastolic pressure due to the intervention (MD -4.80, [95% CI: -8.12 - 1.49]). Sensitivity analysis demonstrated that one study was contributing to the high baseline heterogeneity (MD -4.80, [95% CI: -8.12 - 1.49], I2 = 93% - p &lt; 0.00001) - due to small sample size and very large effect size. Thus, obtaining a lower final heterogeneity (MD [-4.03, 95% CI: -5.02 - 3.04], I2 =0%).</w:t>
      </w:r>
    </w:p>
    <w:p w:rsidR="00000000" w:rsidDel="00000000" w:rsidP="00000000" w:rsidRDefault="00000000" w:rsidRPr="00000000" w14:paraId="000003DC">
      <w:pPr>
        <w:tabs>
          <w:tab w:val="left" w:leader="none" w:pos="6540"/>
        </w:tabs>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f. The risk of bias summary has several unclear/ high risk fields.</w:t>
        <w:tab/>
      </w:r>
    </w:p>
    <w:p w:rsidR="00000000" w:rsidDel="00000000" w:rsidP="00000000" w:rsidRDefault="00000000" w:rsidRPr="00000000" w14:paraId="000003DD">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DE">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DF">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0">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1">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2">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3">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4">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5">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6">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7">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8">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9">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A">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B">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C">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D">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E">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EF">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F0">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F1">
      <w:pPr>
        <w:tabs>
          <w:tab w:val="left" w:leader="none" w:pos="6540"/>
        </w:tabs>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3F2">
      <w:pPr>
        <w:tabs>
          <w:tab w:val="left" w:leader="none" w:pos="6540"/>
        </w:tabs>
        <w:jc w:val="both"/>
        <w:rPr>
          <w:rFonts w:ascii="Verdana" w:cs="Verdana" w:eastAsia="Verdana" w:hAnsi="Verdana"/>
          <w:color w:val="000000"/>
          <w:sz w:val="16"/>
          <w:szCs w:val="16"/>
        </w:rPr>
      </w:pPr>
      <w:r w:rsidDel="00000000" w:rsidR="00000000" w:rsidRPr="00000000">
        <w:rPr>
          <w:rtl w:val="0"/>
        </w:rPr>
      </w:r>
    </w:p>
    <w:tbl>
      <w:tblPr>
        <w:tblStyle w:val="Table7"/>
        <w:tblW w:w="14400.0" w:type="dxa"/>
        <w:jc w:val="left"/>
        <w:tblLayout w:type="fixed"/>
        <w:tblLook w:val="0400"/>
      </w:tblPr>
      <w:tblGrid>
        <w:gridCol w:w="1231"/>
        <w:gridCol w:w="787"/>
        <w:gridCol w:w="1406"/>
        <w:gridCol w:w="1281"/>
        <w:gridCol w:w="1227"/>
        <w:gridCol w:w="1363"/>
        <w:gridCol w:w="1075"/>
        <w:gridCol w:w="1456"/>
        <w:gridCol w:w="3295"/>
        <w:gridCol w:w="1120"/>
        <w:gridCol w:w="159"/>
        <w:tblGridChange w:id="0">
          <w:tblGrid>
            <w:gridCol w:w="1231"/>
            <w:gridCol w:w="787"/>
            <w:gridCol w:w="1406"/>
            <w:gridCol w:w="1281"/>
            <w:gridCol w:w="1227"/>
            <w:gridCol w:w="1363"/>
            <w:gridCol w:w="1075"/>
            <w:gridCol w:w="1456"/>
            <w:gridCol w:w="3295"/>
            <w:gridCol w:w="1120"/>
            <w:gridCol w:w="159"/>
          </w:tblGrid>
        </w:tblGridChange>
      </w:tblGrid>
      <w:tr>
        <w:trPr>
          <w:cantSplit w:val="1"/>
          <w:tblHeader w:val="1"/>
        </w:trPr>
        <w:tc>
          <w:tcPr>
            <w:gridSpan w:val="11"/>
          </w:tcPr>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Behaviour change interventions compared to usual care in physical activity behaviour of people living with NCDs in Africa</w:t>
            </w:r>
          </w:p>
          <w:p w:rsidR="00000000" w:rsidDel="00000000" w:rsidP="00000000" w:rsidRDefault="00000000" w:rsidRPr="00000000" w14:paraId="000003F4">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w:t>
            </w:r>
            <w:r w:rsidDel="00000000" w:rsidR="00000000" w:rsidRPr="00000000">
              <w:rPr>
                <w:rFonts w:ascii="Verdana" w:cs="Verdana" w:eastAsia="Verdana" w:hAnsi="Verdana"/>
                <w:b w:val="1"/>
                <w:sz w:val="10"/>
                <w:szCs w:val="10"/>
                <w:rtl w:val="0"/>
              </w:rPr>
              <w:t xml:space="preserve"> </w:t>
            </w:r>
            <w:hyperlink r:id="rId13">
              <w:r w:rsidDel="00000000" w:rsidR="00000000" w:rsidRPr="00000000">
                <w:rPr>
                  <w:rFonts w:ascii="Verdana" w:cs="Verdana" w:eastAsia="Verdana" w:hAnsi="Verdana"/>
                  <w:color w:val="000000"/>
                  <w:sz w:val="16"/>
                  <w:szCs w:val="16"/>
                  <w:u w:val="none"/>
                  <w:rtl w:val="0"/>
                </w:rPr>
                <w:t xml:space="preserve">Igwesi-Chidobe CN, Kengne AP, Sorinola IO, Godfrey EL. Physical activity containing behavioural interventions for adults living with modifiable chronic non-communicable diseases in Africa: a systematic mixed-studies review. Int Health. 2018 May 1;10(3):137–48.</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4"/>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Impact</w:t>
            </w:r>
          </w:p>
        </w:tc>
        <w:tc>
          <w:tcPr>
            <w:vAlign w:val="center"/>
          </w:tcPr>
          <w:p w:rsidR="00000000" w:rsidDel="00000000" w:rsidP="00000000" w:rsidRDefault="00000000" w:rsidRPr="00000000" w14:paraId="00000414">
            <w:pPr>
              <w:rPr>
                <w:sz w:val="20"/>
                <w:szCs w:val="20"/>
              </w:rPr>
            </w:pPr>
            <w:r w:rsidDel="00000000" w:rsidR="00000000" w:rsidRPr="00000000">
              <w:rPr>
                <w:rtl w:val="0"/>
              </w:rPr>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usual care</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behaviour change interventions </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1F">
            <w:pPr>
              <w:rPr>
                <w:sz w:val="20"/>
                <w:szCs w:val="20"/>
              </w:rPr>
            </w:pPr>
            <w:r w:rsidDel="00000000" w:rsidR="00000000" w:rsidRPr="00000000">
              <w:rPr>
                <w:rtl w:val="0"/>
              </w:rPr>
            </w:r>
          </w:p>
        </w:tc>
      </w:tr>
      <w:tr>
        <w:trPr>
          <w:cantSplit w:val="1"/>
          <w:tblHeader w:val="0"/>
        </w:trPr>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20">
            <w:pPr>
              <w:rPr>
                <w:rFonts w:ascii="Verdana" w:cs="Verdana" w:eastAsia="Verdana" w:hAnsi="Verdana"/>
                <w:sz w:val="16"/>
                <w:szCs w:val="16"/>
              </w:rPr>
            </w:pPr>
            <w:r w:rsidDel="00000000" w:rsidR="00000000" w:rsidRPr="00000000">
              <w:rPr>
                <w:rFonts w:ascii="Verdana" w:cs="Verdana" w:eastAsia="Verdana" w:hAnsi="Verdana"/>
                <w:b w:val="1"/>
                <w:rtl w:val="0"/>
              </w:rPr>
              <w:t xml:space="preserve">Physical activity behaviour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2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2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2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2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2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3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3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4"/>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32">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"Clinical studies were therefore summarized using narrative synthesis to determine the effects of interventions on physical activity behaviour. For comparability of results from RCT (one study) and Before and After (B/A) studies (two studies), withingroup pre- and post-physical activity-change score-effect sizes were calculated for each clinical study. " "All studies utilized different self-report measures and none used objective or direct measures of physical activity." "Mixed effects of interventions on physical activity behaviour were found. In Debussche et al. (2012)40 (n=398; quality=75%; validated habitual physical activity questionnaire incorporating home, leisure, occupational and sports measure50), the physical activity intervention involving combined interactive educational sessions about diabetes and performance of physical activities during workshops, significantly increased sports activity at 1-year follow-up (effect size=0.4). However, occupational and home physical activity did not differ from baseline. Patients were then split into intervention and control groups. Subsequent quarterly outpatients counselling visits provided to the intervention group did not provide additional benefit over the control group (supplemental table). In van der Does and Mash41 (n=84; quality=75%; physical activity subscale of validated Diabetes Self-Care Activities questionnaire which assessed housework, work activities and specific exercise51), the physical activity intervention only comprising interactive educational sessions about physical activity significantly increased continuous physical activity (at least 30 min) outside of home, and occupational activities immediately after the 4-week intervention (effect size=0.6) (supplemental table). The intervention in Rotheram-Borus et al. (2012)42 (n=22; quality=50%; physical activity measure=number of steps taken daily), combined psychoeducational sessions about physical activity with mobile phone-based peer support, and did not increase physical activity, but the reduced number of steps from 1931.8 at baseline to 1559.8 at 6 months follow-up (effect size=-0.2) (supplemental table)."</w:t>
            </w:r>
          </w:p>
        </w:tc>
      </w:tr>
    </w:tbl>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w:t>
      </w:r>
    </w:p>
    <w:p w:rsidR="00000000" w:rsidDel="00000000" w:rsidP="00000000" w:rsidRDefault="00000000" w:rsidRPr="00000000" w14:paraId="00000437">
      <w:pPr>
        <w:tabs>
          <w:tab w:val="left" w:leader="none" w:pos="6540"/>
        </w:tabs>
        <w:jc w:val="both"/>
        <w:rPr>
          <w:rFonts w:ascii="Verdana" w:cs="Verdana" w:eastAsia="Verdana" w:hAnsi="Verdana"/>
          <w:color w:val="000000"/>
          <w:sz w:val="16"/>
          <w:szCs w:val="16"/>
        </w:rPr>
      </w:pPr>
      <w:r w:rsidDel="00000000" w:rsidR="00000000" w:rsidRPr="00000000">
        <w:rPr>
          <w:rtl w:val="0"/>
        </w:rPr>
      </w:r>
    </w:p>
    <w:tbl>
      <w:tblPr>
        <w:tblStyle w:val="Table8"/>
        <w:tblW w:w="14399.999999999998" w:type="dxa"/>
        <w:jc w:val="left"/>
        <w:tblLayout w:type="fixed"/>
        <w:tblLook w:val="0400"/>
      </w:tblPr>
      <w:tblGrid>
        <w:gridCol w:w="1231"/>
        <w:gridCol w:w="796"/>
        <w:gridCol w:w="1406"/>
        <w:gridCol w:w="1281"/>
        <w:gridCol w:w="1227"/>
        <w:gridCol w:w="1372"/>
        <w:gridCol w:w="1085"/>
        <w:gridCol w:w="1148"/>
        <w:gridCol w:w="1425"/>
        <w:gridCol w:w="881"/>
        <w:gridCol w:w="1148"/>
        <w:gridCol w:w="1400"/>
        <w:tblGridChange w:id="0">
          <w:tblGrid>
            <w:gridCol w:w="1231"/>
            <w:gridCol w:w="796"/>
            <w:gridCol w:w="1406"/>
            <w:gridCol w:w="1281"/>
            <w:gridCol w:w="1227"/>
            <w:gridCol w:w="1372"/>
            <w:gridCol w:w="1085"/>
            <w:gridCol w:w="1148"/>
            <w:gridCol w:w="1425"/>
            <w:gridCol w:w="881"/>
            <w:gridCol w:w="1148"/>
            <w:gridCol w:w="1400"/>
          </w:tblGrid>
        </w:tblGridChange>
      </w:tblGrid>
      <w:tr>
        <w:trPr>
          <w:cantSplit w:val="1"/>
          <w:tblHeader w:val="1"/>
        </w:trPr>
        <w:tc>
          <w:tcPr>
            <w:gridSpan w:val="12"/>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Integrating NCDs interventions and Reproductive, Maternal, Newborn, and Child Health (RMNCH) care compared to no integration for NCDs prevention in LMICs</w:t>
            </w:r>
          </w:p>
          <w:p w:rsidR="00000000" w:rsidDel="00000000" w:rsidP="00000000" w:rsidRDefault="00000000" w:rsidRPr="00000000" w14:paraId="00000439">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4">
              <w:r w:rsidDel="00000000" w:rsidR="00000000" w:rsidRPr="00000000">
                <w:rPr>
                  <w:rFonts w:ascii="Verdana" w:cs="Verdana" w:eastAsia="Verdana" w:hAnsi="Verdana"/>
                  <w:color w:val="000000"/>
                  <w:sz w:val="16"/>
                  <w:szCs w:val="16"/>
                  <w:u w:val="none"/>
                  <w:rtl w:val="0"/>
                </w:rPr>
                <w:t xml:space="preserve">Kikuchi K, Ayer R, Okawa S, Nishikitani M, Yokota F, Jimba M, et al. Interventions integrating non-communicable disease prevention and reproductive, maternal, newborn, and child health: A systematic review. Biosci Trends. 2018;12(2):116–25.</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rHeight w:val="1834" w:hRule="atLeast"/>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no integration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integrating NCDs interventions and Reproductive, Maternal, Newborn, and Child Health (RMNCH) care</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no integration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integrating NCDs interventions and Reproductive, Maternal, Newborn, and Child Health (RMNCH) care</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69">
            <w:pPr>
              <w:rPr>
                <w:rFonts w:ascii="Verdana" w:cs="Verdana" w:eastAsia="Verdana" w:hAnsi="Verdana"/>
                <w:sz w:val="16"/>
                <w:szCs w:val="16"/>
              </w:rPr>
            </w:pPr>
            <w:r w:rsidDel="00000000" w:rsidR="00000000" w:rsidRPr="00000000">
              <w:rPr>
                <w:rFonts w:ascii="Verdana" w:cs="Verdana" w:eastAsia="Verdana" w:hAnsi="Verdana"/>
                <w:b w:val="1"/>
                <w:rtl w:val="0"/>
              </w:rPr>
              <w:t xml:space="preserve">Gestacional Diabetes - not reported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C">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included interventions comprised packaged care/ services that integrated RMNCH services with NCD care. The article focused on four NCD types: cardiovascular diseases, cancers, chronic respiratory diseases, and diabetes. Thus, the paper distinguished gestational and non-gestational NCDs (Cervical Cancer), because 4 studies avaletued especifically gestational hypertension. The included studies outcomes assessed maternal and/ or infant mortality, complications and health care service coverage. Risk of bias in included studies was assessed with RoB2 (for 2 Randomized Control Trials - RCT: Jayashree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2013; Rakhshani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2012) and ROBINS-I (fot 4 Non-Randomized Control Trials - NRCT: Aalami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2016; Luo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2014; Moon </w:t>
            </w:r>
            <w:r w:rsidDel="00000000" w:rsidR="00000000" w:rsidRPr="00000000">
              <w:rPr>
                <w:rFonts w:ascii="Verdana" w:cs="Verdana" w:eastAsia="Verdana" w:hAnsi="Verdana"/>
                <w:i w:val="1"/>
                <w:sz w:val="16"/>
                <w:szCs w:val="16"/>
                <w:rtl w:val="0"/>
              </w:rPr>
              <w:t xml:space="preserve">et al. </w:t>
            </w:r>
            <w:r w:rsidDel="00000000" w:rsidR="00000000" w:rsidRPr="00000000">
              <w:rPr>
                <w:rFonts w:ascii="Verdana" w:cs="Verdana" w:eastAsia="Verdana" w:hAnsi="Verdana"/>
                <w:sz w:val="16"/>
                <w:szCs w:val="16"/>
                <w:rtl w:val="0"/>
              </w:rPr>
              <w:t xml:space="preserve">2012; Plotkin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2014). One RCT did not show severe bias, while the other showed very serious bias (unclear concealment of outcome assessment and high risk of bias for incomplete outcome data item). All four NCRT studies were at very serious risk of bias as they had multiple moderate and serious risk of bias ratings. </w:t>
            </w:r>
          </w:p>
          <w:p w:rsidR="00000000" w:rsidDel="00000000" w:rsidP="00000000" w:rsidRDefault="00000000" w:rsidRPr="00000000" w14:paraId="0000047D">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Gestational NCDs outcomes = Four studies evaluated the integration between gestational hypertension and RMNCH care. In the studies by Jayashree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2013; Rakhshani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2012 a physical exercise intervention was implemented for pregnant women. In the studies by Aalami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2016 and Luo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2014, the intervention involved breathing techniques and nutritional management, respectively. The effectiveness of these interventions on maternal health differed. Progressive muscle relaxation (p &lt; 0.01) and respiratory interventions (p &lt; 0.01) showed a significant reduction in blood pressure in one study. The incidence of preeclampsia was reduced by exercise intervention in the Jayashree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2013; Rakhshani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2012 studies (absolute risk reduction, 21%) and by nutritional management intervention (p &lt; 0.05). However, they not observed significant differences in blood pressure levels and in the incidence of pre-eclampsia in the physical intervention study by Kasawara </w:t>
            </w:r>
            <w:r w:rsidDel="00000000" w:rsidR="00000000" w:rsidRPr="00000000">
              <w:rPr>
                <w:rFonts w:ascii="Verdana" w:cs="Verdana" w:eastAsia="Verdana" w:hAnsi="Verdana"/>
                <w:i w:val="1"/>
                <w:sz w:val="16"/>
                <w:szCs w:val="16"/>
                <w:rtl w:val="0"/>
              </w:rPr>
              <w:t xml:space="preserve">et al. </w:t>
            </w:r>
            <w:r w:rsidDel="00000000" w:rsidR="00000000" w:rsidRPr="00000000">
              <w:rPr>
                <w:rFonts w:ascii="Verdana" w:cs="Verdana" w:eastAsia="Verdana" w:hAnsi="Verdana"/>
                <w:sz w:val="16"/>
                <w:szCs w:val="16"/>
                <w:rtl w:val="0"/>
              </w:rPr>
              <w:t xml:space="preserve">2013. Furthermore, they related significant differences in the incidence of eclampsia, platelet counts, and uric acid levels in the Jayashree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2013; Rakhshani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2012 studies. Studies by Jayashree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2013; Rakhshani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2012 and Luo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2014 evaluated the integration of gestational diabetes and RMNCH care. According to these studies, the exercise intervention significantly reduced the incidence of gestational diabetes (p = 0.05) (27,32). In addition, nutritional management intervention significantly reduced the incidence of gestational diabetes (p &lt; 0.01) and gestational weight gain (p &lt; 0.01). Therefore, it is observed that the statistic analyzed to demonstrate the association desired by the article was only referred based on the statistical significance of the data, without describing or reporting measures with direction and magnitude of the effect.</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2">
            <w:pPr>
              <w:rPr>
                <w:rFonts w:ascii="Verdana" w:cs="Verdana" w:eastAsia="Verdana" w:hAnsi="Verdana"/>
                <w:sz w:val="16"/>
                <w:szCs w:val="16"/>
              </w:rPr>
            </w:pPr>
            <w:r w:rsidDel="00000000" w:rsidR="00000000" w:rsidRPr="00000000">
              <w:rPr>
                <w:rFonts w:ascii="Verdana" w:cs="Verdana" w:eastAsia="Verdana" w:hAnsi="Verdana"/>
                <w:b w:val="1"/>
                <w:rtl w:val="0"/>
              </w:rPr>
              <w:t xml:space="preserve">Cancer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8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8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5">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included interventions comprised packaged care/ services that integrated RMNCH services with NCD care. The article focused on four NCD types: cardiovascular diseases, cancers, chronic respiratory diseases, and diabetes. Thus, the paper distinguished gestational and non-gestational NCDs (Cervical Cancer), because 4 studies avaletued especifically gestational hypertension. The included studies outcomes assessed maternal and/ or infant mortality, complications and health care service coverage. Risk of bias in included studies was assessed with RoB2 (for 2 Randomized Control Trials - RCT: Jayashree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2013; Rakhshani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2012) and ROBINS-I (fot 4 Non-Randomized Control Trials - NRCT: Aalami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2016; Luo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2014; Moon </w:t>
            </w:r>
            <w:r w:rsidDel="00000000" w:rsidR="00000000" w:rsidRPr="00000000">
              <w:rPr>
                <w:rFonts w:ascii="Verdana" w:cs="Verdana" w:eastAsia="Verdana" w:hAnsi="Verdana"/>
                <w:i w:val="1"/>
                <w:sz w:val="16"/>
                <w:szCs w:val="16"/>
                <w:rtl w:val="0"/>
              </w:rPr>
              <w:t xml:space="preserve">et al. </w:t>
            </w:r>
            <w:r w:rsidDel="00000000" w:rsidR="00000000" w:rsidRPr="00000000">
              <w:rPr>
                <w:rFonts w:ascii="Verdana" w:cs="Verdana" w:eastAsia="Verdana" w:hAnsi="Verdana"/>
                <w:sz w:val="16"/>
                <w:szCs w:val="16"/>
                <w:rtl w:val="0"/>
              </w:rPr>
              <w:t xml:space="preserve">2012; Plotkin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2014). One RCT did not show severe bias, while the other showed very serious bias (unclear concealment of outcome assessment and high risk of bias for incomplete outcome data item). All four NCRT studies were at very serious risk of bias as they had multiple moderate and serious risk of bias ratings. Non-Gestational NCDs outcomes (Cervical Cancer) = Two studies evaluated the integration of cervical cancer and RMNCH care. Those studies aimed to examine the feasibility of cervical cancer screening by visual inspection with acetic acid. However, no clear maternal health outcome was reported in those studies, because the researchers were more focused on the uptake of the screening service. According to Moon </w:t>
            </w:r>
            <w:r w:rsidDel="00000000" w:rsidR="00000000" w:rsidRPr="00000000">
              <w:rPr>
                <w:rFonts w:ascii="Verdana" w:cs="Verdana" w:eastAsia="Verdana" w:hAnsi="Verdana"/>
                <w:i w:val="1"/>
                <w:sz w:val="16"/>
                <w:szCs w:val="16"/>
                <w:rtl w:val="0"/>
              </w:rPr>
              <w:t xml:space="preserve">et al. </w:t>
            </w:r>
            <w:r w:rsidDel="00000000" w:rsidR="00000000" w:rsidRPr="00000000">
              <w:rPr>
                <w:rFonts w:ascii="Verdana" w:cs="Verdana" w:eastAsia="Verdana" w:hAnsi="Verdana"/>
                <w:sz w:val="16"/>
                <w:szCs w:val="16"/>
                <w:rtl w:val="0"/>
              </w:rPr>
              <w:t xml:space="preserve">2012, the incidences of positive cervical cancer cases (8.0%) were comparable to those of similar interventions (range, 3.8-12.7%). Among the women screened for cervical cancer in Moon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2012 and Plotkin </w:t>
            </w:r>
            <w:r w:rsidDel="00000000" w:rsidR="00000000" w:rsidRPr="00000000">
              <w:rPr>
                <w:rFonts w:ascii="Verdana" w:cs="Verdana" w:eastAsia="Verdana" w:hAnsi="Verdana"/>
                <w:i w:val="1"/>
                <w:sz w:val="16"/>
                <w:szCs w:val="16"/>
                <w:rtl w:val="0"/>
              </w:rPr>
              <w:t xml:space="preserve">et al.</w:t>
            </w:r>
            <w:r w:rsidDel="00000000" w:rsidR="00000000" w:rsidRPr="00000000">
              <w:rPr>
                <w:rFonts w:ascii="Verdana" w:cs="Verdana" w:eastAsia="Verdana" w:hAnsi="Verdana"/>
                <w:sz w:val="16"/>
                <w:szCs w:val="16"/>
                <w:rtl w:val="0"/>
              </w:rPr>
              <w:t xml:space="preserve"> 2014's studies, those with unknown HIV status were also tested for HIV (58% and 47% of screened women, respectively), and 21% and 26% were identified as HIV positive, respectively. Therefore, it is observed again that the statistic analyzed to demonstrate the association desired by the article was only referred based on the statistical significance of the data, without describing or reporting measures with direction and magnitude of the effect.</w:t>
            </w:r>
          </w:p>
        </w:tc>
      </w:tr>
    </w:tbl>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w:t>
      </w:r>
    </w:p>
    <w:p w:rsidR="00000000" w:rsidDel="00000000" w:rsidP="00000000" w:rsidRDefault="00000000" w:rsidRPr="00000000" w14:paraId="0000049B">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9C">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9D">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9E">
      <w:pPr>
        <w:rPr>
          <w:rFonts w:ascii="Verdana" w:cs="Verdana" w:eastAsia="Verdana" w:hAnsi="Verdana"/>
          <w:color w:val="000000"/>
          <w:sz w:val="16"/>
          <w:szCs w:val="16"/>
        </w:rPr>
      </w:pPr>
      <w:r w:rsidDel="00000000" w:rsidR="00000000" w:rsidRPr="00000000">
        <w:rPr>
          <w:rtl w:val="0"/>
        </w:rPr>
      </w:r>
    </w:p>
    <w:tbl>
      <w:tblPr>
        <w:tblStyle w:val="Table9"/>
        <w:tblW w:w="14400.0" w:type="dxa"/>
        <w:jc w:val="left"/>
        <w:tblLayout w:type="fixed"/>
        <w:tblLook w:val="0400"/>
      </w:tblPr>
      <w:tblGrid>
        <w:gridCol w:w="1231"/>
        <w:gridCol w:w="796"/>
        <w:gridCol w:w="1406"/>
        <w:gridCol w:w="1281"/>
        <w:gridCol w:w="1227"/>
        <w:gridCol w:w="1373"/>
        <w:gridCol w:w="1085"/>
        <w:gridCol w:w="1088"/>
        <w:gridCol w:w="1463"/>
        <w:gridCol w:w="881"/>
        <w:gridCol w:w="1084"/>
        <w:gridCol w:w="1485"/>
        <w:tblGridChange w:id="0">
          <w:tblGrid>
            <w:gridCol w:w="1231"/>
            <w:gridCol w:w="796"/>
            <w:gridCol w:w="1406"/>
            <w:gridCol w:w="1281"/>
            <w:gridCol w:w="1227"/>
            <w:gridCol w:w="1373"/>
            <w:gridCol w:w="1085"/>
            <w:gridCol w:w="1088"/>
            <w:gridCol w:w="1463"/>
            <w:gridCol w:w="881"/>
            <w:gridCol w:w="1084"/>
            <w:gridCol w:w="1485"/>
          </w:tblGrid>
        </w:tblGridChange>
      </w:tblGrid>
      <w:tr>
        <w:trPr>
          <w:cantSplit w:val="1"/>
          <w:tblHeader w:val="1"/>
        </w:trPr>
        <w:tc>
          <w:tcPr>
            <w:gridSpan w:val="12"/>
          </w:tcPr>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Undernutrition compared to no diet restriction for explain obesity in Pakistani women</w:t>
            </w:r>
          </w:p>
          <w:p w:rsidR="00000000" w:rsidDel="00000000" w:rsidP="00000000" w:rsidRDefault="00000000" w:rsidRPr="00000000" w14:paraId="000004A0">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5">
              <w:r w:rsidDel="00000000" w:rsidR="00000000" w:rsidRPr="00000000">
                <w:rPr>
                  <w:rFonts w:ascii="Verdana" w:cs="Verdana" w:eastAsia="Verdana" w:hAnsi="Verdana"/>
                  <w:color w:val="000000"/>
                  <w:sz w:val="16"/>
                  <w:szCs w:val="16"/>
                  <w:u w:val="none"/>
                  <w:rtl w:val="0"/>
                </w:rPr>
                <w:t xml:space="preserve">Mehboob B, Safdar NF, Zaheer S. Socio-economic, environmental and demographic determinants of rise in obesity among Pakistani women: A Systematic Review. JPMA J Pak Med Assoc. 2016 Sep;66(9):1165–72.</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no diet restriction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undernutrition</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no diet restriction</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undernutrition</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D0">
            <w:pPr>
              <w:rPr>
                <w:rFonts w:ascii="Verdana" w:cs="Verdana" w:eastAsia="Verdana" w:hAnsi="Verdana"/>
                <w:sz w:val="16"/>
                <w:szCs w:val="16"/>
              </w:rPr>
            </w:pPr>
            <w:r w:rsidDel="00000000" w:rsidR="00000000" w:rsidRPr="00000000">
              <w:rPr>
                <w:rFonts w:ascii="Verdana" w:cs="Verdana" w:eastAsia="Verdana" w:hAnsi="Verdana"/>
                <w:b w:val="1"/>
                <w:rtl w:val="0"/>
              </w:rPr>
              <w:t xml:space="preserve">Stunting and Obesity - not measured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D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D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D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D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E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E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E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E3">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 research shows that malnutrition during the first six months of life increases the risk of stunting and stunted children have a higher risk of being obese later in life. This may explain the fact that in countries undergoing rapid nutritional transition, such as Pakistan, short stature and adolescent obesity can coexist in groups of low socioeconomic status.</w:t>
            </w:r>
          </w:p>
        </w:tc>
      </w:tr>
    </w:tbl>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w:t>
      </w:r>
    </w:p>
    <w:p w:rsidR="00000000" w:rsidDel="00000000" w:rsidP="00000000" w:rsidRDefault="00000000" w:rsidRPr="00000000" w14:paraId="000004E9">
      <w:pPr>
        <w:pStyle w:val="Heading4"/>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4EA">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Attributing a dietary justification for the process of nutritional transition among women of reproductive age in Pakistan is one of the objectives of the article. The research uses only a single study to suggest the concomitant associations of short stature and obesity in Pakistani adolescents of low socioeconomic status. It does not report statistical measures. Some concerns risk of bias with ROBINS-E tool. The article in question is called "Why do children with nutritional deficit have a higher risk of obesity? Studies of metabolic rate and fat oxidation in children from the slums of São Paulo, Brazil". Case-control study with a sample of 58 prepubertal men and women (30 controls and 28 cases) from the periphery of the city of São Paulo - Brazil, differentiated by a cut-off score of 1.5 in the height criterion for age z-score. This study found that childhood nutritional stunting is associated with impaired fat oxidation, a factor that predicted obesity in other at risk populations. </w:t>
      </w:r>
    </w:p>
    <w:p w:rsidR="00000000" w:rsidDel="00000000" w:rsidP="00000000" w:rsidRDefault="00000000" w:rsidRPr="00000000" w14:paraId="000004EB">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EC">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ED">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EE">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EF">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F0">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F1">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F2">
      <w:pP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4F3">
      <w:pPr>
        <w:rPr>
          <w:rFonts w:ascii="Verdana" w:cs="Verdana" w:eastAsia="Verdana" w:hAnsi="Verdana"/>
          <w:color w:val="000000"/>
          <w:sz w:val="16"/>
          <w:szCs w:val="16"/>
        </w:rPr>
      </w:pPr>
      <w:r w:rsidDel="00000000" w:rsidR="00000000" w:rsidRPr="00000000">
        <w:rPr>
          <w:rtl w:val="0"/>
        </w:rPr>
      </w:r>
    </w:p>
    <w:tbl>
      <w:tblPr>
        <w:tblStyle w:val="Table10"/>
        <w:tblW w:w="14400.0" w:type="dxa"/>
        <w:jc w:val="left"/>
        <w:tblLayout w:type="fixed"/>
        <w:tblLook w:val="0400"/>
      </w:tblPr>
      <w:tblGrid>
        <w:gridCol w:w="1231"/>
        <w:gridCol w:w="786"/>
        <w:gridCol w:w="1406"/>
        <w:gridCol w:w="1281"/>
        <w:gridCol w:w="1227"/>
        <w:gridCol w:w="1233"/>
        <w:gridCol w:w="1019"/>
        <w:gridCol w:w="1310"/>
        <w:gridCol w:w="1040"/>
        <w:gridCol w:w="1259"/>
        <w:gridCol w:w="1310"/>
        <w:gridCol w:w="1298"/>
        <w:tblGridChange w:id="0">
          <w:tblGrid>
            <w:gridCol w:w="1231"/>
            <w:gridCol w:w="786"/>
            <w:gridCol w:w="1406"/>
            <w:gridCol w:w="1281"/>
            <w:gridCol w:w="1227"/>
            <w:gridCol w:w="1233"/>
            <w:gridCol w:w="1019"/>
            <w:gridCol w:w="1310"/>
            <w:gridCol w:w="1040"/>
            <w:gridCol w:w="1259"/>
            <w:gridCol w:w="1310"/>
            <w:gridCol w:w="1298"/>
          </w:tblGrid>
        </w:tblGridChange>
      </w:tblGrid>
      <w:tr>
        <w:trPr>
          <w:cantSplit w:val="1"/>
          <w:tblHeader w:val="1"/>
        </w:trPr>
        <w:tc>
          <w:tcPr>
            <w:gridSpan w:val="12"/>
          </w:tcPr>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Food insecurity compared to natural food consumption status for diet-sensitive NCDs prevalence in sub-Saharan African populations</w:t>
            </w:r>
          </w:p>
          <w:p w:rsidR="00000000" w:rsidDel="00000000" w:rsidP="00000000" w:rsidRDefault="00000000" w:rsidRPr="00000000" w14:paraId="000004F5">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6">
              <w:r w:rsidDel="00000000" w:rsidR="00000000" w:rsidRPr="00000000">
                <w:rPr>
                  <w:rFonts w:ascii="Verdana" w:cs="Verdana" w:eastAsia="Verdana" w:hAnsi="Verdana"/>
                  <w:color w:val="000000"/>
                  <w:sz w:val="16"/>
                  <w:szCs w:val="16"/>
                  <w:u w:val="none"/>
                  <w:rtl w:val="0"/>
                </w:rPr>
                <w:t xml:space="preserve">Nkambule SJ, Moodley I, Kuupiel D, Mashamba-Thompson TP. Association between food insecurity and key metabolic risk factors for diet-sensitive non-communicable diseases in sub-Saharan Africa: a systematic review and meta-analysis. Sci Rep. 2021 Mar 4;11(1):5178.</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natural food consumption status</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food insecurity</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natural food consumption status</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food insecurity</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25">
            <w:pPr>
              <w:rPr>
                <w:rFonts w:ascii="Verdana" w:cs="Verdana" w:eastAsia="Verdana" w:hAnsi="Verdana"/>
                <w:sz w:val="16"/>
                <w:szCs w:val="16"/>
              </w:rPr>
            </w:pPr>
            <w:r w:rsidDel="00000000" w:rsidR="00000000" w:rsidRPr="00000000">
              <w:rPr>
                <w:rFonts w:ascii="Verdana" w:cs="Verdana" w:eastAsia="Verdana" w:hAnsi="Verdana"/>
                <w:b w:val="1"/>
                <w:rtl w:val="0"/>
              </w:rPr>
              <w:t xml:space="preserve">Underweight prevalence estimates (follow-up: mean 1 months; assessed with: %)</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4117</w:t>
              <w:br w:type="textWrapping"/>
              <w:t xml:space="preserve">(6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7">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3305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812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underweight prevalence estimates was </w:t>
            </w:r>
            <w:r w:rsidDel="00000000" w:rsidR="00000000" w:rsidRPr="00000000">
              <w:rPr>
                <w:rFonts w:ascii="Verdana" w:cs="Verdana" w:eastAsia="Verdana" w:hAnsi="Verdana"/>
                <w:b w:val="1"/>
                <w:sz w:val="16"/>
                <w:szCs w:val="16"/>
                <w:rtl w:val="0"/>
              </w:rPr>
              <w:t xml:space="preserve">0</w:t>
            </w:r>
            <w:r w:rsidDel="00000000" w:rsidR="00000000" w:rsidRPr="00000000">
              <w:rPr>
                <w:rFonts w:ascii="Verdana" w:cs="Verdana" w:eastAsia="Verdana" w:hAnsi="Verdana"/>
                <w:sz w:val="16"/>
                <w:szCs w:val="16"/>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12.2 % higher</w:t>
            </w:r>
            <w:r w:rsidDel="00000000" w:rsidR="00000000" w:rsidRPr="00000000">
              <w:rPr>
                <w:rFonts w:ascii="Verdana" w:cs="Verdana" w:eastAsia="Verdana" w:hAnsi="Verdana"/>
                <w:sz w:val="16"/>
                <w:szCs w:val="16"/>
                <w:rtl w:val="0"/>
              </w:rPr>
              <w:br w:type="textWrapping"/>
              <w:t xml:space="preserve">(7 higher to 18.5 higher)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3D">
            <w:pPr>
              <w:rPr>
                <w:rFonts w:ascii="Verdana" w:cs="Verdana" w:eastAsia="Verdana" w:hAnsi="Verdana"/>
                <w:sz w:val="16"/>
                <w:szCs w:val="16"/>
              </w:rPr>
            </w:pPr>
            <w:r w:rsidDel="00000000" w:rsidR="00000000" w:rsidRPr="00000000">
              <w:rPr>
                <w:rFonts w:ascii="Verdana" w:cs="Verdana" w:eastAsia="Verdana" w:hAnsi="Verdana"/>
                <w:b w:val="1"/>
                <w:rtl w:val="0"/>
              </w:rPr>
              <w:t xml:space="preserve">Overweight prevalence estimates (follow-up: mean 1 months; assessed with: %)</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4178</w:t>
              <w:br w:type="textWrapping"/>
              <w:t xml:space="preserve">(7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F">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5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3247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5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931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5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5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overweight prevalence estimates was </w:t>
            </w:r>
            <w:r w:rsidDel="00000000" w:rsidR="00000000" w:rsidRPr="00000000">
              <w:rPr>
                <w:rFonts w:ascii="Verdana" w:cs="Verdana" w:eastAsia="Verdana" w:hAnsi="Verdana"/>
                <w:b w:val="1"/>
                <w:sz w:val="16"/>
                <w:szCs w:val="16"/>
                <w:rtl w:val="0"/>
              </w:rPr>
              <w:t xml:space="preserve">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5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15.8 higher</w:t>
            </w:r>
            <w:r w:rsidDel="00000000" w:rsidR="00000000" w:rsidRPr="00000000">
              <w:rPr>
                <w:rFonts w:ascii="Verdana" w:cs="Verdana" w:eastAsia="Verdana" w:hAnsi="Verdana"/>
                <w:sz w:val="16"/>
                <w:szCs w:val="16"/>
                <w:rtl w:val="0"/>
              </w:rPr>
              <w:br w:type="textWrapping"/>
              <w:t xml:space="preserve">(10.6 higher to 21.7 higher)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55">
            <w:pPr>
              <w:rPr>
                <w:rFonts w:ascii="Verdana" w:cs="Verdana" w:eastAsia="Verdana" w:hAnsi="Verdana"/>
                <w:sz w:val="16"/>
                <w:szCs w:val="16"/>
              </w:rPr>
            </w:pPr>
            <w:r w:rsidDel="00000000" w:rsidR="00000000" w:rsidRPr="00000000">
              <w:rPr>
                <w:rFonts w:ascii="Verdana" w:cs="Verdana" w:eastAsia="Verdana" w:hAnsi="Verdana"/>
                <w:b w:val="1"/>
                <w:rtl w:val="0"/>
              </w:rPr>
              <w:t xml:space="preserve">Hypertension prevalence estimates (follow-up: mean 1 months; assessed with: %)</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12428</w:t>
              <w:br w:type="textWrapping"/>
              <w:t xml:space="preserve">(12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j</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publication bias strongly suspected</w:t>
            </w:r>
            <w:r w:rsidDel="00000000" w:rsidR="00000000" w:rsidRPr="00000000">
              <w:rPr>
                <w:rFonts w:ascii="Verdana" w:cs="Verdana" w:eastAsia="Verdana" w:hAnsi="Verdana"/>
                <w:sz w:val="16"/>
                <w:szCs w:val="16"/>
                <w:vertAlign w:val="superscript"/>
                <w:rtl w:val="0"/>
              </w:rPr>
              <w:t xml:space="preserve">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7">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8238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4190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hypertension prevalence estimates was </w:t>
            </w:r>
            <w:r w:rsidDel="00000000" w:rsidR="00000000" w:rsidRPr="00000000">
              <w:rPr>
                <w:rFonts w:ascii="Verdana" w:cs="Verdana" w:eastAsia="Verdana" w:hAnsi="Verdana"/>
                <w:b w:val="1"/>
                <w:sz w:val="16"/>
                <w:szCs w:val="16"/>
                <w:rtl w:val="0"/>
              </w:rPr>
              <w:t xml:space="preserve">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6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24.7 higher</w:t>
            </w:r>
            <w:r w:rsidDel="00000000" w:rsidR="00000000" w:rsidRPr="00000000">
              <w:rPr>
                <w:rFonts w:ascii="Verdana" w:cs="Verdana" w:eastAsia="Verdana" w:hAnsi="Verdana"/>
                <w:sz w:val="16"/>
                <w:szCs w:val="16"/>
                <w:rtl w:val="0"/>
              </w:rPr>
              <w:br w:type="textWrapping"/>
              <w:t xml:space="preserve">(15.6 higher to 35.1 higher)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6D">
            <w:pPr>
              <w:rPr>
                <w:rFonts w:ascii="Verdana" w:cs="Verdana" w:eastAsia="Verdana" w:hAnsi="Verdana"/>
                <w:sz w:val="16"/>
                <w:szCs w:val="16"/>
              </w:rPr>
            </w:pPr>
            <w:r w:rsidDel="00000000" w:rsidR="00000000" w:rsidRPr="00000000">
              <w:rPr>
                <w:rFonts w:ascii="Verdana" w:cs="Verdana" w:eastAsia="Verdana" w:hAnsi="Verdana"/>
                <w:b w:val="1"/>
                <w:rtl w:val="0"/>
              </w:rPr>
              <w:t xml:space="preserve">Obesity prevalence estimates (follow-up: mean 1 months; assessed with: %)</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7716</w:t>
              <w:br w:type="textWrapping"/>
              <w:t xml:space="preserve">(12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q</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publication bias strongly suspected</w:t>
            </w:r>
            <w:r w:rsidDel="00000000" w:rsidR="00000000" w:rsidRPr="00000000">
              <w:rPr>
                <w:rFonts w:ascii="Verdana" w:cs="Verdana" w:eastAsia="Verdana" w:hAnsi="Verdana"/>
                <w:sz w:val="16"/>
                <w:szCs w:val="16"/>
                <w:vertAlign w:val="superscript"/>
                <w:rtl w:val="0"/>
              </w:rPr>
              <w:t xml:space="preserv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F">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8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6494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8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1222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8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8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obesity prevalence estimates was </w:t>
            </w:r>
            <w:r w:rsidDel="00000000" w:rsidR="00000000" w:rsidRPr="00000000">
              <w:rPr>
                <w:rFonts w:ascii="Verdana" w:cs="Verdana" w:eastAsia="Verdana" w:hAnsi="Verdana"/>
                <w:b w:val="1"/>
                <w:sz w:val="16"/>
                <w:szCs w:val="16"/>
                <w:rtl w:val="0"/>
              </w:rPr>
              <w:t xml:space="preserve">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8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12.8 higher</w:t>
            </w:r>
            <w:r w:rsidDel="00000000" w:rsidR="00000000" w:rsidRPr="00000000">
              <w:rPr>
                <w:rFonts w:ascii="Verdana" w:cs="Verdana" w:eastAsia="Verdana" w:hAnsi="Verdana"/>
                <w:sz w:val="16"/>
                <w:szCs w:val="16"/>
                <w:rtl w:val="0"/>
              </w:rPr>
              <w:br w:type="textWrapping"/>
              <w:t xml:space="preserve">(7.4 higher to 19.5 higher)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85">
            <w:pPr>
              <w:rPr>
                <w:rFonts w:ascii="Verdana" w:cs="Verdana" w:eastAsia="Verdana" w:hAnsi="Verdana"/>
                <w:sz w:val="16"/>
                <w:szCs w:val="16"/>
              </w:rPr>
            </w:pPr>
            <w:r w:rsidDel="00000000" w:rsidR="00000000" w:rsidRPr="00000000">
              <w:rPr>
                <w:rFonts w:ascii="Verdana" w:cs="Verdana" w:eastAsia="Verdana" w:hAnsi="Verdana"/>
                <w:b w:val="1"/>
                <w:rtl w:val="0"/>
              </w:rPr>
              <w:t xml:space="preserve">Dyslipidaemia prevalence estimates (follow-up: mean 1 months; assessed with: %)</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1864</w:t>
              <w:br w:type="textWrapping"/>
              <w:t xml:space="preserve">(3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r w:rsidDel="00000000" w:rsidR="00000000" w:rsidRPr="00000000">
              <w:rPr>
                <w:rFonts w:ascii="Verdana" w:cs="Verdana" w:eastAsia="Verdana" w:hAnsi="Verdana"/>
                <w:sz w:val="16"/>
                <w:szCs w:val="16"/>
                <w:vertAlign w:val="superscript"/>
                <w:rtl w:val="0"/>
              </w:rPr>
              <w:t xml:space="preserve">v</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7">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896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968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mean dyslipidaemia prevalence estimates was </w:t>
            </w:r>
            <w:r w:rsidDel="00000000" w:rsidR="00000000" w:rsidRPr="00000000">
              <w:rPr>
                <w:rFonts w:ascii="Verdana" w:cs="Verdana" w:eastAsia="Verdana" w:hAnsi="Verdana"/>
                <w:b w:val="1"/>
                <w:sz w:val="16"/>
                <w:szCs w:val="16"/>
                <w:rtl w:val="0"/>
              </w:rPr>
              <w:t xml:space="preserve">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27.6 higher</w:t>
            </w:r>
            <w:r w:rsidDel="00000000" w:rsidR="00000000" w:rsidRPr="00000000">
              <w:rPr>
                <w:rFonts w:ascii="Verdana" w:cs="Verdana" w:eastAsia="Verdana" w:hAnsi="Verdana"/>
                <w:sz w:val="16"/>
                <w:szCs w:val="16"/>
                <w:rtl w:val="0"/>
              </w:rPr>
              <w:br w:type="textWrapping"/>
              <w:t xml:space="preserve">(6.5 higher to 54.9 higher)</w:t>
            </w:r>
          </w:p>
        </w:tc>
      </w:tr>
    </w:tbl>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 </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OR:</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odds ratio</w:t>
      </w:r>
    </w:p>
    <w:p w:rsidR="00000000" w:rsidDel="00000000" w:rsidP="00000000" w:rsidRDefault="00000000" w:rsidRPr="00000000" w14:paraId="0000059E">
      <w:pPr>
        <w:pStyle w:val="Heading4"/>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59F">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1 studies with low risk of bias and 5 studies with unclear risk of bias.</w:t>
      </w:r>
    </w:p>
    <w:p w:rsidR="00000000" w:rsidDel="00000000" w:rsidP="00000000" w:rsidRDefault="00000000" w:rsidRPr="00000000" w14:paraId="000005A0">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Very high variation between the point estimates, with very low overlap of the 95% CI and very high statistically significant heterogeneity (I2=97.14% p-value&lt;0.00) with no difference between the point estimate and the sensitivity analysis.</w:t>
      </w:r>
    </w:p>
    <w:p w:rsidR="00000000" w:rsidDel="00000000" w:rsidP="00000000" w:rsidRDefault="00000000" w:rsidRPr="00000000" w14:paraId="000005A1">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Indirectness justified by population and exposures.</w:t>
      </w:r>
    </w:p>
    <w:p w:rsidR="00000000" w:rsidDel="00000000" w:rsidP="00000000" w:rsidRDefault="00000000" w:rsidRPr="00000000" w14:paraId="000005A2">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Continuous variable with 812 individuals pooled. Shortly inaccurate 95% CI.</w:t>
      </w:r>
    </w:p>
    <w:p w:rsidR="00000000" w:rsidDel="00000000" w:rsidP="00000000" w:rsidRDefault="00000000" w:rsidRPr="00000000" w14:paraId="000005A3">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e. 2 studies with low risk of bias and 5 studies with unclear risk of bias.</w:t>
      </w:r>
    </w:p>
    <w:p w:rsidR="00000000" w:rsidDel="00000000" w:rsidP="00000000" w:rsidRDefault="00000000" w:rsidRPr="00000000" w14:paraId="000005A4">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f. Very high variation between the point estimates, with moderate overlap of the 95% CI and very high statistically significant heterogeneity (I2=96.89% p-value&lt;0.00) with no difference between the point estimate and the sensitivity analysis.</w:t>
      </w:r>
    </w:p>
    <w:p w:rsidR="00000000" w:rsidDel="00000000" w:rsidP="00000000" w:rsidRDefault="00000000" w:rsidRPr="00000000" w14:paraId="000005A5">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g. Indirectness justified by population and exposure.</w:t>
      </w:r>
    </w:p>
    <w:p w:rsidR="00000000" w:rsidDel="00000000" w:rsidP="00000000" w:rsidRDefault="00000000" w:rsidRPr="00000000" w14:paraId="000005A6">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h. Continuous variable with 931 individuals pooled. Shortly inaccurate 95% CI.</w:t>
      </w:r>
    </w:p>
    <w:p w:rsidR="00000000" w:rsidDel="00000000" w:rsidP="00000000" w:rsidRDefault="00000000" w:rsidRPr="00000000" w14:paraId="000005A7">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i. 6 studies with low risk of bias and 6 studies with unclear risk of bias.</w:t>
      </w:r>
    </w:p>
    <w:p w:rsidR="00000000" w:rsidDel="00000000" w:rsidP="00000000" w:rsidRDefault="00000000" w:rsidRPr="00000000" w14:paraId="000005A8">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j. Very high variation between the point estimates, with very low overlap of the 95% CI and very high statistically significant heterogeneity (I2=99.4% p-value&lt;0.00) with no difference between the point estimate and the sensitivity analysis.</w:t>
      </w:r>
    </w:p>
    <w:p w:rsidR="00000000" w:rsidDel="00000000" w:rsidP="00000000" w:rsidRDefault="00000000" w:rsidRPr="00000000" w14:paraId="000005A9">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k. Indirectness justified by population and exposure.</w:t>
      </w:r>
    </w:p>
    <w:p w:rsidR="00000000" w:rsidDel="00000000" w:rsidP="00000000" w:rsidRDefault="00000000" w:rsidRPr="00000000" w14:paraId="000005AA">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l. Continuous variable with 4190 individuals pooled. Moderate inaccurate 95% CI.</w:t>
      </w:r>
    </w:p>
    <w:p w:rsidR="00000000" w:rsidDel="00000000" w:rsidP="00000000" w:rsidRDefault="00000000" w:rsidRPr="00000000" w14:paraId="000005AB">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m. Effect size inconsistent with expected custom pointers. Graphic asymmetry.</w:t>
      </w:r>
    </w:p>
    <w:p w:rsidR="00000000" w:rsidDel="00000000" w:rsidP="00000000" w:rsidRDefault="00000000" w:rsidRPr="00000000" w14:paraId="000005AC">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n. 4 studies with low risk of bias and 8 studies with unclear risk of bias.</w:t>
      </w:r>
    </w:p>
    <w:p w:rsidR="00000000" w:rsidDel="00000000" w:rsidP="00000000" w:rsidRDefault="00000000" w:rsidRPr="00000000" w14:paraId="000005AD">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o. Very high variation between the point estimates, with very low overlap of the 95% CI and very high statistically significant heterogeneity (I2=98.85% p-value&lt;0.00) with no difference between the point estimate and the sensitivity analysis.</w:t>
      </w:r>
    </w:p>
    <w:p w:rsidR="00000000" w:rsidDel="00000000" w:rsidP="00000000" w:rsidRDefault="00000000" w:rsidRPr="00000000" w14:paraId="000005AE">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p. Very different populations and exposures assessed.</w:t>
      </w:r>
    </w:p>
    <w:p w:rsidR="00000000" w:rsidDel="00000000" w:rsidP="00000000" w:rsidRDefault="00000000" w:rsidRPr="00000000" w14:paraId="000005AF">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q. Continuous variable with 1222 individuals pooled. Shortly inaccurate 95% CI.</w:t>
      </w:r>
    </w:p>
    <w:p w:rsidR="00000000" w:rsidDel="00000000" w:rsidP="00000000" w:rsidRDefault="00000000" w:rsidRPr="00000000" w14:paraId="000005B0">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r. Effect size inconsistent with expected custom pointers. Graphic asymmetry.</w:t>
      </w:r>
    </w:p>
    <w:p w:rsidR="00000000" w:rsidDel="00000000" w:rsidP="00000000" w:rsidRDefault="00000000" w:rsidRPr="00000000" w14:paraId="000005B1">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s. Very high variation between point estimates and overlapping 95%CI, with high statistically significant heterogeneity (I2=99.18% p-value&lt;0.00). Sensitivity analysis demonstrated that there was no significant decrease in the degree of heterogeneity compared to the pooled estimate obtained by omitting any single study included in the meta-analysis.</w:t>
      </w:r>
    </w:p>
    <w:p w:rsidR="00000000" w:rsidDel="00000000" w:rsidP="00000000" w:rsidRDefault="00000000" w:rsidRPr="00000000" w14:paraId="000005B2">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t. Indirectness justified by population, exposition and outcomes.</w:t>
      </w:r>
    </w:p>
    <w:p w:rsidR="00000000" w:rsidDel="00000000" w:rsidP="00000000" w:rsidRDefault="00000000" w:rsidRPr="00000000" w14:paraId="000005B3">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u. Continuous variable with 630 individuals pooled. Highly inaccurate 95%CI.</w:t>
      </w:r>
    </w:p>
    <w:p w:rsidR="00000000" w:rsidDel="00000000" w:rsidP="00000000" w:rsidRDefault="00000000" w:rsidRPr="00000000" w14:paraId="000005B4">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v. Unable to be evaluated (number of studies &lt; 10).</w:t>
      </w:r>
    </w:p>
    <w:p w:rsidR="00000000" w:rsidDel="00000000" w:rsidP="00000000" w:rsidRDefault="00000000" w:rsidRPr="00000000" w14:paraId="000005B5">
      <w:pPr>
        <w:rPr>
          <w:rFonts w:ascii="Verdana" w:cs="Verdana" w:eastAsia="Verdana" w:hAnsi="Verdana"/>
          <w:color w:val="000000"/>
          <w:sz w:val="16"/>
          <w:szCs w:val="16"/>
        </w:rPr>
      </w:pPr>
      <w:r w:rsidDel="00000000" w:rsidR="00000000" w:rsidRPr="00000000">
        <w:rPr>
          <w:rtl w:val="0"/>
        </w:rPr>
      </w:r>
    </w:p>
    <w:tbl>
      <w:tblPr>
        <w:tblStyle w:val="Table11"/>
        <w:tblW w:w="14399.999999999998" w:type="dxa"/>
        <w:jc w:val="left"/>
        <w:tblLayout w:type="fixed"/>
        <w:tblLook w:val="0400"/>
      </w:tblPr>
      <w:tblGrid>
        <w:gridCol w:w="1231"/>
        <w:gridCol w:w="796"/>
        <w:gridCol w:w="1406"/>
        <w:gridCol w:w="1281"/>
        <w:gridCol w:w="1227"/>
        <w:gridCol w:w="1372"/>
        <w:gridCol w:w="1085"/>
        <w:gridCol w:w="1429"/>
        <w:gridCol w:w="1066"/>
        <w:gridCol w:w="881"/>
        <w:gridCol w:w="1453"/>
        <w:gridCol w:w="1173"/>
        <w:tblGridChange w:id="0">
          <w:tblGrid>
            <w:gridCol w:w="1231"/>
            <w:gridCol w:w="796"/>
            <w:gridCol w:w="1406"/>
            <w:gridCol w:w="1281"/>
            <w:gridCol w:w="1227"/>
            <w:gridCol w:w="1372"/>
            <w:gridCol w:w="1085"/>
            <w:gridCol w:w="1429"/>
            <w:gridCol w:w="1066"/>
            <w:gridCol w:w="881"/>
            <w:gridCol w:w="1453"/>
            <w:gridCol w:w="1173"/>
          </w:tblGrid>
        </w:tblGridChange>
      </w:tblGrid>
      <w:tr>
        <w:trPr>
          <w:cantSplit w:val="1"/>
          <w:tblHeader w:val="1"/>
        </w:trPr>
        <w:tc>
          <w:tcPr>
            <w:gridSpan w:val="12"/>
          </w:tcPr>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Food insecurity compared to natural food consumption status for diet-sensitive NCDs prevalence in sub-Saharan African populations</w:t>
            </w:r>
          </w:p>
          <w:p w:rsidR="00000000" w:rsidDel="00000000" w:rsidP="00000000" w:rsidRDefault="00000000" w:rsidRPr="00000000" w14:paraId="000005B7">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7">
              <w:r w:rsidDel="00000000" w:rsidR="00000000" w:rsidRPr="00000000">
                <w:rPr>
                  <w:rFonts w:ascii="Verdana" w:cs="Verdana" w:eastAsia="Verdana" w:hAnsi="Verdana"/>
                  <w:color w:val="000000"/>
                  <w:sz w:val="16"/>
                  <w:szCs w:val="16"/>
                  <w:u w:val="none"/>
                  <w:rtl w:val="0"/>
                </w:rPr>
                <w:t xml:space="preserve">Nkambule SJ, Moodley I, Kuupiel D, Mashamba-Thompson TP. Association between food insecurity and key metabolic risk factors for diet-sensitive non-communicable diseases in sub-Saharan Africa: a systematic review and meta-analysis. Sci Rep. 2021 Mar 4;11(1):5178.</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natural food consumption status</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food insecurity</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natural food consumption status</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food insecurity</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E7">
            <w:pPr>
              <w:rPr>
                <w:rFonts w:ascii="Verdana" w:cs="Verdana" w:eastAsia="Verdana" w:hAnsi="Verdana"/>
                <w:sz w:val="16"/>
                <w:szCs w:val="16"/>
              </w:rPr>
            </w:pPr>
            <w:r w:rsidDel="00000000" w:rsidR="00000000" w:rsidRPr="00000000">
              <w:rPr>
                <w:rFonts w:ascii="Verdana" w:cs="Verdana" w:eastAsia="Verdana" w:hAnsi="Verdana"/>
                <w:b w:val="1"/>
                <w:rtl w:val="0"/>
              </w:rPr>
              <w:t xml:space="preserve">Stunting (follow-up: mean 1 months; assessed with: %)</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5838</w:t>
              <w:br w:type="textWrapping"/>
              <w:t xml:space="preserve">(2 observational studies)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5">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7">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r w:rsidDel="00000000" w:rsidR="00000000" w:rsidRPr="00000000">
              <w:rPr>
                <w:rFonts w:ascii="Verdana" w:cs="Verdana" w:eastAsia="Verdana" w:hAnsi="Verdana"/>
                <w:sz w:val="16"/>
                <w:szCs w:val="16"/>
                <w:vertAlign w:val="superscript"/>
                <w:rtl w:val="0"/>
              </w:rPr>
              <w:t xml:space="preserve">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FA">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Significantly increased risk of stunting by 19 and 22% among children from moderately and severely food insecure households, respectively.</w:t>
            </w:r>
            <w:r w:rsidDel="00000000" w:rsidR="00000000" w:rsidRPr="00000000">
              <w:rPr>
                <w:rFonts w:ascii="Verdana" w:cs="Verdana" w:eastAsia="Verdana" w:hAnsi="Verdana"/>
                <w:sz w:val="16"/>
                <w:szCs w:val="16"/>
                <w:vertAlign w:val="superscript"/>
                <w:rtl w:val="0"/>
              </w:rPr>
              <w:t xml:space="preserve">d</w:t>
            </w:r>
            <w:r w:rsidDel="00000000" w:rsidR="00000000" w:rsidRPr="00000000">
              <w:rPr>
                <w:rtl w:val="0"/>
              </w:rPr>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FF">
            <w:pPr>
              <w:rPr>
                <w:rFonts w:ascii="Verdana" w:cs="Verdana" w:eastAsia="Verdana" w:hAnsi="Verdana"/>
                <w:sz w:val="16"/>
                <w:szCs w:val="16"/>
              </w:rPr>
            </w:pPr>
            <w:r w:rsidDel="00000000" w:rsidR="00000000" w:rsidRPr="00000000">
              <w:rPr>
                <w:rFonts w:ascii="Verdana" w:cs="Verdana" w:eastAsia="Verdana" w:hAnsi="Verdana"/>
                <w:b w:val="1"/>
                <w:rtl w:val="0"/>
              </w:rPr>
              <w:t xml:space="preserve">Acute Respiratory Infections (follow-up: mean 1 months; assessed with: Odds Ratio)</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0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825</w:t>
              <w:br w:type="textWrapping"/>
              <w:t xml:space="preserve">(1 observational study)</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0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0D">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0E">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0F">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1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r w:rsidDel="00000000" w:rsidR="00000000" w:rsidRPr="00000000">
              <w:rPr>
                <w:rFonts w:ascii="Verdana" w:cs="Verdana" w:eastAsia="Verdana" w:hAnsi="Verdana"/>
                <w:sz w:val="16"/>
                <w:szCs w:val="16"/>
                <w:vertAlign w:val="superscript"/>
                <w:rtl w:val="0"/>
              </w:rPr>
              <w:t xml:space="preserve">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1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12">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One study observed that acute-on-chronic malnutrition and acute malnutrition was signifcantly associated with having acute respiratory infections (ARI) which was demonstrated with AOR of 1.98 (95% CI: 1.12–3.50, p=0.02) and 2.62 (95% CI: 1.17–5.89, p=0.02) respectively.</w:t>
            </w:r>
            <w:r w:rsidDel="00000000" w:rsidR="00000000" w:rsidRPr="00000000">
              <w:rPr>
                <w:rFonts w:ascii="Verdana" w:cs="Verdana" w:eastAsia="Verdana" w:hAnsi="Verdana"/>
                <w:sz w:val="16"/>
                <w:szCs w:val="16"/>
                <w:vertAlign w:val="superscript"/>
                <w:rtl w:val="0"/>
              </w:rPr>
              <w:t xml:space="preserve">i</w:t>
            </w:r>
            <w:r w:rsidDel="00000000" w:rsidR="00000000" w:rsidRPr="00000000">
              <w:rPr>
                <w:rtl w:val="0"/>
              </w:rPr>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17">
            <w:pPr>
              <w:rPr>
                <w:rFonts w:ascii="Verdana" w:cs="Verdana" w:eastAsia="Verdana" w:hAnsi="Verdana"/>
                <w:sz w:val="16"/>
                <w:szCs w:val="16"/>
              </w:rPr>
            </w:pPr>
            <w:r w:rsidDel="00000000" w:rsidR="00000000" w:rsidRPr="00000000">
              <w:rPr>
                <w:rFonts w:ascii="Verdana" w:cs="Verdana" w:eastAsia="Verdana" w:hAnsi="Verdana"/>
                <w:b w:val="1"/>
                <w:rtl w:val="0"/>
              </w:rPr>
              <w:t xml:space="preserve">Left Ventricular Mass (follow-up: mean 1 months; assessed with: grams/meter)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313</w:t>
              <w:br w:type="textWrapping"/>
              <w:t xml:space="preserve">(1 observational study)</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5">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j</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6">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7">
            <w:pPr>
              <w:jc w:val="center"/>
              <w:rPr>
                <w:rFonts w:ascii="Verdana" w:cs="Verdana" w:eastAsia="Verdana" w:hAnsi="Verdana"/>
                <w:sz w:val="16"/>
                <w:szCs w:val="16"/>
              </w:rPr>
            </w:pPr>
            <w:r w:rsidDel="00000000" w:rsidR="00000000" w:rsidRPr="00000000">
              <w:rPr>
                <w:rFonts w:ascii="Verdana" w:cs="Verdana" w:eastAsia="Verdana" w:hAnsi="Verdana"/>
                <w:sz w:val="16"/>
                <w:szCs w:val="16"/>
                <w:vertAlign w:val="superscript"/>
                <w:rtl w:val="0"/>
              </w:rPr>
              <w:t xml:space="preserve">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r w:rsidDel="00000000" w:rsidR="00000000" w:rsidRPr="00000000">
              <w:rPr>
                <w:rFonts w:ascii="Verdana" w:cs="Verdana" w:eastAsia="Verdana" w:hAnsi="Verdana"/>
                <w:sz w:val="16"/>
                <w:szCs w:val="16"/>
                <w:vertAlign w:val="superscript"/>
                <w:rtl w:val="0"/>
              </w:rPr>
              <w:t xml:space="preserve">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2A">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association between lef ventricular mass (LVM) and malnutrition was found in one study, in which the population with food insecurity reported statistically median ± standard derivation lower LVM index values (29.3±10.1 g/m vs. 33.6 ±12.5 g/m, p = 0.001), relative to normal nutritional status (29.8 ±10.8 g/m vs. 32.9±12.1 g/m p = 0.02). </w:t>
            </w:r>
          </w:p>
        </w:tc>
      </w:tr>
    </w:tbl>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 </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OR:</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odds ratio</w:t>
      </w:r>
    </w:p>
    <w:p w:rsidR="00000000" w:rsidDel="00000000" w:rsidP="00000000" w:rsidRDefault="00000000" w:rsidRPr="00000000" w14:paraId="00000630">
      <w:pPr>
        <w:pStyle w:val="Heading4"/>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631">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Unable to be evaluated (number of studies &lt; 10).</w:t>
      </w:r>
    </w:p>
    <w:p w:rsidR="00000000" w:rsidDel="00000000" w:rsidP="00000000" w:rsidRDefault="00000000" w:rsidRPr="00000000" w14:paraId="00000632">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Unable to be evaluated (number of studies &lt; 10).</w:t>
      </w:r>
    </w:p>
    <w:p w:rsidR="00000000" w:rsidDel="00000000" w:rsidP="00000000" w:rsidRDefault="00000000" w:rsidRPr="00000000" w14:paraId="00000633">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Unable to be evaluated (number of studies &lt; 10).</w:t>
      </w:r>
    </w:p>
    <w:p w:rsidR="00000000" w:rsidDel="00000000" w:rsidP="00000000" w:rsidRDefault="00000000" w:rsidRPr="00000000" w14:paraId="00000634">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In the results section, it was admitted that stunting analysis occurred in 7 included studies, of which 2 studies were entered for final analysis (without justification) and the result of only 1 was reported as an outcome in the study. In the article's table of epidemiological characteristics, the remaining outcome chosen is: "None exclusively breastfed children were associated with underweight (AOR: 2.5, 95% CI: 1.0–6.3)", representing its lack of statistical significance.</w:t>
      </w:r>
    </w:p>
    <w:p w:rsidR="00000000" w:rsidDel="00000000" w:rsidP="00000000" w:rsidRDefault="00000000" w:rsidRPr="00000000" w14:paraId="00000635">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e. Unable to be evaluated (number of studies &lt; 10).</w:t>
      </w:r>
    </w:p>
    <w:p w:rsidR="00000000" w:rsidDel="00000000" w:rsidP="00000000" w:rsidRDefault="00000000" w:rsidRPr="00000000" w14:paraId="00000636">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f. Unable to be evaluated (number of studies &lt; 10).</w:t>
      </w:r>
    </w:p>
    <w:p w:rsidR="00000000" w:rsidDel="00000000" w:rsidP="00000000" w:rsidRDefault="00000000" w:rsidRPr="00000000" w14:paraId="00000637">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g. Unable to be evaluated (number of studies &lt; 10).</w:t>
      </w:r>
    </w:p>
    <w:p w:rsidR="00000000" w:rsidDel="00000000" w:rsidP="00000000" w:rsidRDefault="00000000" w:rsidRPr="00000000" w14:paraId="00000638">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h. Unable to be evaluated (number of studies &lt; 10).</w:t>
      </w:r>
    </w:p>
    <w:p w:rsidR="00000000" w:rsidDel="00000000" w:rsidP="00000000" w:rsidRDefault="00000000" w:rsidRPr="00000000" w14:paraId="00000639">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i. They did not report the important specific outcome for chronic malnutrition (AOR 1.27 (95% CI 0.77 – 2.13, p 0.35).</w:t>
      </w:r>
    </w:p>
    <w:p w:rsidR="00000000" w:rsidDel="00000000" w:rsidP="00000000" w:rsidRDefault="00000000" w:rsidRPr="00000000" w14:paraId="0000063A">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j. Unable to be evaluated (number of studies &lt; 10).</w:t>
      </w:r>
    </w:p>
    <w:p w:rsidR="00000000" w:rsidDel="00000000" w:rsidP="00000000" w:rsidRDefault="00000000" w:rsidRPr="00000000" w14:paraId="0000063B">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k. Unable to be evaluated (number of studies &lt; 10).</w:t>
      </w:r>
    </w:p>
    <w:p w:rsidR="00000000" w:rsidDel="00000000" w:rsidP="00000000" w:rsidRDefault="00000000" w:rsidRPr="00000000" w14:paraId="0000063C">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l. Unable to be evaluated (number of studies &lt; 10).</w:t>
      </w:r>
    </w:p>
    <w:p w:rsidR="00000000" w:rsidDel="00000000" w:rsidP="00000000" w:rsidRDefault="00000000" w:rsidRPr="00000000" w14:paraId="0000063D">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m. Unable to be evaluated (number of studies &lt; 10).</w:t>
      </w:r>
    </w:p>
    <w:p w:rsidR="00000000" w:rsidDel="00000000" w:rsidP="00000000" w:rsidRDefault="00000000" w:rsidRPr="00000000" w14:paraId="0000063E">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n. The result is erroneously referenced by the article. The mean ± standard deviation of the LVM index values is typical of malnourished groups with adequate nutrition inserted into 2 groups: with traditionally calculated BMI and BMI with percentiles (based on DEXA scan and mean skinfold measurements). The malnutrition cutoff point was &lt;18.5 kg/m2 and &lt; 15th, respectively. Therefore, the correct interpretation would be: the malnourished population in the traditional BMI group presented values of the LVM index compared to the malnourished in the BMI percentile group (Mal-nourished = 29.3±10.1 g/m2.7 vs. Normal nutrition = 33.6 ±12.5 g /m2.7, p = 0.001), (Mal-nourished = 29.8 ±10.8 g/m2.7 vs. Normal nutrition = 32.9±12.1 g/m2.7, p = 0.02).</w:t>
      </w:r>
    </w:p>
    <w:p w:rsidR="00000000" w:rsidDel="00000000" w:rsidP="00000000" w:rsidRDefault="00000000" w:rsidRPr="00000000" w14:paraId="0000063F">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0">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1">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2">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3">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4">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5">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6">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7">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8">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9">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A">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B">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C">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D">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E">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4F">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50">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51">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52">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53">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54">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55">
      <w:pPr>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656">
      <w:pPr>
        <w:jc w:val="both"/>
        <w:rPr>
          <w:rFonts w:ascii="Verdana" w:cs="Verdana" w:eastAsia="Verdana" w:hAnsi="Verdana"/>
          <w:color w:val="000000"/>
          <w:sz w:val="16"/>
          <w:szCs w:val="16"/>
        </w:rPr>
      </w:pPr>
      <w:r w:rsidDel="00000000" w:rsidR="00000000" w:rsidRPr="00000000">
        <w:rPr>
          <w:rtl w:val="0"/>
        </w:rPr>
      </w:r>
    </w:p>
    <w:tbl>
      <w:tblPr>
        <w:tblStyle w:val="Table12"/>
        <w:tblW w:w="14400.000000000002" w:type="dxa"/>
        <w:jc w:val="left"/>
        <w:tblLayout w:type="fixed"/>
        <w:tblLook w:val="0400"/>
      </w:tblPr>
      <w:tblGrid>
        <w:gridCol w:w="1231"/>
        <w:gridCol w:w="723"/>
        <w:gridCol w:w="1406"/>
        <w:gridCol w:w="1281"/>
        <w:gridCol w:w="1227"/>
        <w:gridCol w:w="1268"/>
        <w:gridCol w:w="1019"/>
        <w:gridCol w:w="969"/>
        <w:gridCol w:w="1500"/>
        <w:gridCol w:w="1282"/>
        <w:gridCol w:w="994"/>
        <w:gridCol w:w="1500"/>
        <w:tblGridChange w:id="0">
          <w:tblGrid>
            <w:gridCol w:w="1231"/>
            <w:gridCol w:w="723"/>
            <w:gridCol w:w="1406"/>
            <w:gridCol w:w="1281"/>
            <w:gridCol w:w="1227"/>
            <w:gridCol w:w="1268"/>
            <w:gridCol w:w="1019"/>
            <w:gridCol w:w="969"/>
            <w:gridCol w:w="1500"/>
            <w:gridCol w:w="1282"/>
            <w:gridCol w:w="994"/>
            <w:gridCol w:w="1500"/>
          </w:tblGrid>
        </w:tblGridChange>
      </w:tblGrid>
      <w:tr>
        <w:trPr>
          <w:cantSplit w:val="1"/>
          <w:tblHeader w:val="1"/>
        </w:trPr>
        <w:tc>
          <w:tcPr>
            <w:gridSpan w:val="12"/>
          </w:tcPr>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Oral Lycium Barbarum Polysaccharide (LBP) intake compared to oral placebo intake for blood glucose and lipid metabolism improvement in China</w:t>
            </w:r>
          </w:p>
          <w:p w:rsidR="00000000" w:rsidDel="00000000" w:rsidP="00000000" w:rsidRDefault="00000000" w:rsidRPr="00000000" w14:paraId="00000658">
            <w:pPr>
              <w:jc w:val="both"/>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Bibliography: </w:t>
            </w:r>
            <w:hyperlink r:id="rId18">
              <w:r w:rsidDel="00000000" w:rsidR="00000000" w:rsidRPr="00000000">
                <w:rPr>
                  <w:rFonts w:ascii="Verdana" w:cs="Verdana" w:eastAsia="Verdana" w:hAnsi="Verdana"/>
                  <w:color w:val="000000"/>
                  <w:sz w:val="16"/>
                  <w:szCs w:val="16"/>
                  <w:u w:val="none"/>
                  <w:rtl w:val="0"/>
                </w:rPr>
                <w:t xml:space="preserve">Zhou B, Xia H, Yang L, Wang S, Sun G. The Effect of Lycium Barbarum Polysaccharide on the Glucose and Lipid Metabolism: A Systematic Review and Meta-Analysis. J Am Nutr Assoc. 2022 Aug;41(6):618–26.</w:t>
              </w:r>
            </w:hyperlink>
            <w:r w:rsidDel="00000000" w:rsidR="00000000" w:rsidRPr="00000000">
              <w:rPr>
                <w:rtl w:val="0"/>
              </w:rPr>
            </w:r>
          </w:p>
        </w:tc>
      </w:tr>
      <w:tr>
        <w:trPr>
          <w:cantSplit w:val="1"/>
          <w:tblHeader w:val="1"/>
        </w:trPr>
        <w:tc>
          <w:tcPr>
            <w:gridSpan w:val="7"/>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Certainty assessment</w:t>
            </w:r>
          </w:p>
        </w:tc>
        <w:tc>
          <w:tcPr>
            <w:gridSpan w:val="5"/>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20"/>
                <w:szCs w:val="20"/>
                <w:u w:val="none"/>
                <w:shd w:fill="auto" w:val="clear"/>
                <w:vertAlign w:val="baseline"/>
              </w:rPr>
            </w:pPr>
            <w:r w:rsidDel="00000000" w:rsidR="00000000" w:rsidRPr="00000000">
              <w:rPr>
                <w:rFonts w:ascii="Verdana" w:cs="Verdana" w:eastAsia="Verdana" w:hAnsi="Verdana"/>
                <w:b w:val="1"/>
                <w:i w:val="0"/>
                <w:smallCaps w:val="0"/>
                <w:strike w:val="0"/>
                <w:color w:val="ffffff"/>
                <w:sz w:val="20"/>
                <w:szCs w:val="20"/>
                <w:u w:val="none"/>
                <w:shd w:fill="auto" w:val="clear"/>
                <w:vertAlign w:val="baseline"/>
                <w:rtl w:val="0"/>
              </w:rPr>
              <w:t xml:space="preserve">Summary of findings</w:t>
            </w:r>
          </w:p>
        </w:tc>
      </w:tr>
      <w:tr>
        <w:trPr>
          <w:cantSplit w:val="1"/>
          <w:tblHeader w:val="0"/>
        </w:trPr>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Participants</w:t>
              <w:br w:type="textWrapping"/>
              <w:t xml:space="preserve">(studies)</w:t>
              <w:br w:type="textWrapping"/>
              <w:t xml:space="preserve">Follow-up</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of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Inconsistency</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Indirectness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Imprecision</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Publication bias</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Overall certainty of evidence</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Study event rates (%)</w:t>
            </w:r>
          </w:p>
        </w:tc>
        <w:tc>
          <w:tcPr>
            <w:vMerge w:val="restart"/>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Relative effect</w:t>
              <w:br w:type="textWrapping"/>
              <w:t xml:space="preserve">(95% CI)</w:t>
            </w:r>
          </w:p>
        </w:tc>
        <w:tc>
          <w:tcPr>
            <w:gridSpan w:val="2"/>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Anticipated absolute effects</w:t>
            </w:r>
          </w:p>
        </w:tc>
      </w:tr>
      <w:tr>
        <w:trPr>
          <w:cantSplit w:val="1"/>
          <w:tblHeader w:val="0"/>
        </w:trPr>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oral placebo intake</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With oral Lycium Barbarum Polysaccharide (LBP) intake</w:t>
            </w:r>
          </w:p>
        </w:tc>
        <w:tc>
          <w:tcPr>
            <w:vMerge w:val="continue"/>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with oral placebo intake</w:t>
            </w:r>
          </w:p>
        </w:tc>
        <w:tc>
          <w:tcPr>
            <w:tcBorders>
              <w:top w:color="ffffff" w:space="0" w:sz="12" w:val="single"/>
              <w:left w:color="ffffff" w:space="0" w:sz="12" w:val="single"/>
              <w:bottom w:color="ffffff" w:space="0" w:sz="12" w:val="single"/>
              <w:right w:color="ffffff" w:space="0" w:sz="12" w:val="single"/>
            </w:tcBorders>
            <w:shd w:fill="2f5496" w:val="clear"/>
            <w:vAlign w:val="center"/>
          </w:tcPr>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ffffff"/>
                <w:sz w:val="16"/>
                <w:szCs w:val="16"/>
                <w:u w:val="none"/>
                <w:shd w:fill="auto" w:val="clear"/>
                <w:vertAlign w:val="baseline"/>
              </w:rPr>
            </w:pPr>
            <w:r w:rsidDel="00000000" w:rsidR="00000000" w:rsidRPr="00000000">
              <w:rPr>
                <w:rFonts w:ascii="Verdana" w:cs="Verdana" w:eastAsia="Verdana" w:hAnsi="Verdana"/>
                <w:b w:val="1"/>
                <w:i w:val="0"/>
                <w:smallCaps w:val="0"/>
                <w:strike w:val="0"/>
                <w:color w:val="ffffff"/>
                <w:sz w:val="16"/>
                <w:szCs w:val="16"/>
                <w:u w:val="none"/>
                <w:shd w:fill="auto" w:val="clear"/>
                <w:vertAlign w:val="baseline"/>
                <w:rtl w:val="0"/>
              </w:rPr>
              <w:t xml:space="preserve">Risk difference with oral Lycium Barbarum Polysaccharide (LBP) intake</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8">
            <w:pPr>
              <w:rPr>
                <w:rFonts w:ascii="Verdana" w:cs="Verdana" w:eastAsia="Verdana" w:hAnsi="Verdana"/>
                <w:sz w:val="16"/>
                <w:szCs w:val="16"/>
              </w:rPr>
            </w:pPr>
            <w:r w:rsidDel="00000000" w:rsidR="00000000" w:rsidRPr="00000000">
              <w:rPr>
                <w:rFonts w:ascii="Verdana" w:cs="Verdana" w:eastAsia="Verdana" w:hAnsi="Verdana"/>
                <w:b w:val="1"/>
                <w:rtl w:val="0"/>
              </w:rPr>
              <w:t xml:space="preserve">Total Coleterol levels (follow-up: mean 1.5 months; assessed with: SDM)</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369</w:t>
              <w:br w:type="textWrapping"/>
              <w:t xml:space="preserve">(5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extremely serious</w:t>
            </w:r>
            <w:r w:rsidDel="00000000" w:rsidR="00000000" w:rsidRPr="00000000">
              <w:rPr>
                <w:rFonts w:ascii="Verdana" w:cs="Verdana" w:eastAsia="Verdana" w:hAnsi="Verdana"/>
                <w:sz w:val="16"/>
                <w:szCs w:val="16"/>
                <w:vertAlign w:val="superscript"/>
                <w:rtl w:val="0"/>
              </w:rPr>
              <w:t xml:space="preserve">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A">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184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185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9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SMD </w:t>
            </w:r>
            <w:r w:rsidDel="00000000" w:rsidR="00000000" w:rsidRPr="00000000">
              <w:rPr>
                <w:rFonts w:ascii="Verdana" w:cs="Verdana" w:eastAsia="Verdana" w:hAnsi="Verdana"/>
                <w:b w:val="1"/>
                <w:sz w:val="16"/>
                <w:szCs w:val="16"/>
                <w:rtl w:val="0"/>
              </w:rPr>
              <w:t xml:space="preserve">0.42 SD lower</w:t>
            </w:r>
            <w:r w:rsidDel="00000000" w:rsidR="00000000" w:rsidRPr="00000000">
              <w:rPr>
                <w:rFonts w:ascii="Verdana" w:cs="Verdana" w:eastAsia="Verdana" w:hAnsi="Verdana"/>
                <w:sz w:val="16"/>
                <w:szCs w:val="16"/>
                <w:rtl w:val="0"/>
              </w:rPr>
              <w:br w:type="textWrapping"/>
              <w:t xml:space="preserve">(0.962 lower to 0.112 higher)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0">
            <w:pPr>
              <w:rPr>
                <w:rFonts w:ascii="Verdana" w:cs="Verdana" w:eastAsia="Verdana" w:hAnsi="Verdana"/>
                <w:sz w:val="16"/>
                <w:szCs w:val="16"/>
              </w:rPr>
            </w:pPr>
            <w:r w:rsidDel="00000000" w:rsidR="00000000" w:rsidRPr="00000000">
              <w:rPr>
                <w:rFonts w:ascii="Verdana" w:cs="Verdana" w:eastAsia="Verdana" w:hAnsi="Verdana"/>
                <w:b w:val="1"/>
                <w:rtl w:val="0"/>
              </w:rPr>
              <w:t xml:space="preserve">Triglycerides levels (follow-up: mean 1.5 months; assessed with: SDM)</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A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369</w:t>
              <w:br w:type="textWrapping"/>
              <w:t xml:space="preserve">(5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A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A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A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extremely serious</w:t>
            </w:r>
            <w:r w:rsidDel="00000000" w:rsidR="00000000" w:rsidRPr="00000000">
              <w:rPr>
                <w:rFonts w:ascii="Verdana" w:cs="Verdana" w:eastAsia="Verdana" w:hAnsi="Verdana"/>
                <w:sz w:val="16"/>
                <w:szCs w:val="16"/>
                <w:vertAlign w:val="superscript"/>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2">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184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185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B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SMD </w:t>
            </w:r>
            <w:r w:rsidDel="00000000" w:rsidR="00000000" w:rsidRPr="00000000">
              <w:rPr>
                <w:rFonts w:ascii="Verdana" w:cs="Verdana" w:eastAsia="Verdana" w:hAnsi="Verdana"/>
                <w:b w:val="1"/>
                <w:sz w:val="16"/>
                <w:szCs w:val="16"/>
                <w:rtl w:val="0"/>
              </w:rPr>
              <w:t xml:space="preserve">0.455 SD lower</w:t>
            </w:r>
            <w:r w:rsidDel="00000000" w:rsidR="00000000" w:rsidRPr="00000000">
              <w:rPr>
                <w:rFonts w:ascii="Verdana" w:cs="Verdana" w:eastAsia="Verdana" w:hAnsi="Verdana"/>
                <w:sz w:val="16"/>
                <w:szCs w:val="16"/>
                <w:rtl w:val="0"/>
              </w:rPr>
              <w:br w:type="textWrapping"/>
              <w:t xml:space="preserve">(0.684 lower to 0.226 lower)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8">
            <w:pPr>
              <w:rPr>
                <w:rFonts w:ascii="Verdana" w:cs="Verdana" w:eastAsia="Verdana" w:hAnsi="Verdana"/>
                <w:sz w:val="16"/>
                <w:szCs w:val="16"/>
              </w:rPr>
            </w:pPr>
            <w:r w:rsidDel="00000000" w:rsidR="00000000" w:rsidRPr="00000000">
              <w:rPr>
                <w:rFonts w:ascii="Verdana" w:cs="Verdana" w:eastAsia="Verdana" w:hAnsi="Verdana"/>
                <w:b w:val="1"/>
                <w:rtl w:val="0"/>
              </w:rPr>
              <w:t xml:space="preserve">LDL levels (follow-up: range 4 weeks to 3 months; assessed with: SMD)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259</w:t>
              <w:br w:type="textWrapping"/>
              <w:t xml:space="preserve">(3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extremely serious</w:t>
            </w:r>
            <w:r w:rsidDel="00000000" w:rsidR="00000000" w:rsidRPr="00000000">
              <w:rPr>
                <w:rFonts w:ascii="Verdana" w:cs="Verdana" w:eastAsia="Verdana" w:hAnsi="Verdana"/>
                <w:sz w:val="16"/>
                <w:szCs w:val="16"/>
                <w:vertAlign w:val="superscript"/>
                <w:rtl w:val="0"/>
              </w:rPr>
              <w:t xml:space="preserve">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A">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130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C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SMD </w:t>
            </w:r>
            <w:r w:rsidDel="00000000" w:rsidR="00000000" w:rsidRPr="00000000">
              <w:rPr>
                <w:rFonts w:ascii="Verdana" w:cs="Verdana" w:eastAsia="Verdana" w:hAnsi="Verdana"/>
                <w:b w:val="1"/>
                <w:sz w:val="16"/>
                <w:szCs w:val="16"/>
                <w:rtl w:val="0"/>
              </w:rPr>
              <w:t xml:space="preserve">0.525 SD lower</w:t>
            </w:r>
            <w:r w:rsidDel="00000000" w:rsidR="00000000" w:rsidRPr="00000000">
              <w:rPr>
                <w:rFonts w:ascii="Verdana" w:cs="Verdana" w:eastAsia="Verdana" w:hAnsi="Verdana"/>
                <w:sz w:val="16"/>
                <w:szCs w:val="16"/>
                <w:rtl w:val="0"/>
              </w:rPr>
              <w:br w:type="textWrapping"/>
              <w:t xml:space="preserve">(0.895 lower to 0.156 lower)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0">
            <w:pPr>
              <w:rPr>
                <w:rFonts w:ascii="Verdana" w:cs="Verdana" w:eastAsia="Verdana" w:hAnsi="Verdana"/>
                <w:sz w:val="16"/>
                <w:szCs w:val="16"/>
              </w:rPr>
            </w:pPr>
            <w:r w:rsidDel="00000000" w:rsidR="00000000" w:rsidRPr="00000000">
              <w:rPr>
                <w:rFonts w:ascii="Verdana" w:cs="Verdana" w:eastAsia="Verdana" w:hAnsi="Verdana"/>
                <w:b w:val="1"/>
                <w:rtl w:val="0"/>
              </w:rPr>
              <w:t xml:space="preserve">HDL levels (follow-up: mean 1.5 months; assessed with: SMD)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D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259</w:t>
              <w:br w:type="textWrapping"/>
              <w:t xml:space="preserve">(3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D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D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D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extremely serious</w:t>
            </w:r>
            <w:r w:rsidDel="00000000" w:rsidR="00000000" w:rsidRPr="00000000">
              <w:rPr>
                <w:rFonts w:ascii="Verdana" w:cs="Verdana" w:eastAsia="Verdana" w:hAnsi="Verdana"/>
                <w:sz w:val="16"/>
                <w:szCs w:val="16"/>
                <w:vertAlign w:val="superscript"/>
                <w:rtl w:val="0"/>
              </w:rPr>
              <w:t xml:space="preserve">j</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2">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130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E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SMD </w:t>
            </w:r>
            <w:r w:rsidDel="00000000" w:rsidR="00000000" w:rsidRPr="00000000">
              <w:rPr>
                <w:rFonts w:ascii="Verdana" w:cs="Verdana" w:eastAsia="Verdana" w:hAnsi="Verdana"/>
                <w:b w:val="1"/>
                <w:sz w:val="16"/>
                <w:szCs w:val="16"/>
                <w:rtl w:val="0"/>
              </w:rPr>
              <w:t xml:space="preserve">1.114 SD higher</w:t>
            </w:r>
            <w:r w:rsidDel="00000000" w:rsidR="00000000" w:rsidRPr="00000000">
              <w:rPr>
                <w:rFonts w:ascii="Verdana" w:cs="Verdana" w:eastAsia="Verdana" w:hAnsi="Verdana"/>
                <w:sz w:val="16"/>
                <w:szCs w:val="16"/>
                <w:rtl w:val="0"/>
              </w:rPr>
              <w:br w:type="textWrapping"/>
              <w:t xml:space="preserve">(0.505 higher to 1.724 higher)</w:t>
            </w:r>
          </w:p>
        </w:tc>
      </w:tr>
      <w:tr>
        <w:trPr>
          <w:cantSplit w:val="1"/>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8">
            <w:pPr>
              <w:rPr>
                <w:rFonts w:ascii="Verdana" w:cs="Verdana" w:eastAsia="Verdana" w:hAnsi="Verdana"/>
                <w:sz w:val="16"/>
                <w:szCs w:val="16"/>
              </w:rPr>
            </w:pPr>
            <w:r w:rsidDel="00000000" w:rsidR="00000000" w:rsidRPr="00000000">
              <w:rPr>
                <w:rFonts w:ascii="Verdana" w:cs="Verdana" w:eastAsia="Verdana" w:hAnsi="Verdana"/>
                <w:b w:val="1"/>
                <w:rtl w:val="0"/>
              </w:rPr>
              <w:t xml:space="preserve">Fasting Blood Glucose levels (follow-up: median 1.5 months; assessed with: SMD)</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400</w:t>
              <w:br w:type="textWrapping"/>
              <w:t xml:space="preserve">(5 RCTs)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not serious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very serious</w:t>
            </w:r>
            <w:r w:rsidDel="00000000" w:rsidR="00000000" w:rsidRPr="00000000">
              <w:rPr>
                <w:rFonts w:ascii="Verdana" w:cs="Verdana" w:eastAsia="Verdana" w:hAnsi="Verdana"/>
                <w:sz w:val="16"/>
                <w:szCs w:val="16"/>
                <w:vertAlign w:val="superscript"/>
                <w:rtl w:val="0"/>
              </w:rPr>
              <w:t xml:space="preserve">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serious</w:t>
            </w:r>
            <w:r w:rsidDel="00000000" w:rsidR="00000000" w:rsidRPr="00000000">
              <w:rPr>
                <w:rFonts w:ascii="Verdana" w:cs="Verdana" w:eastAsia="Verdana" w:hAnsi="Verdana"/>
                <w:sz w:val="16"/>
                <w:szCs w:val="16"/>
                <w:vertAlign w:val="superscript"/>
                <w:rtl w:val="0"/>
              </w:rPr>
              <w:t xml:space="preserve">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strong association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A">
            <w:pPr>
              <w:jc w:val="center"/>
              <w:rPr>
                <w:rFonts w:ascii="Verdana" w:cs="Verdana" w:eastAsia="Verdana" w:hAnsi="Verdana"/>
                <w:sz w:val="16"/>
                <w:szCs w:val="16"/>
              </w:rPr>
            </w:pPr>
            <w:r w:rsidDel="00000000" w:rsidR="00000000" w:rsidRPr="00000000">
              <w:rPr>
                <w:rFonts w:ascii="Cambria Math" w:cs="Cambria Math" w:eastAsia="Cambria Math" w:hAnsi="Cambria Math"/>
                <w:sz w:val="21"/>
                <w:szCs w:val="21"/>
                <w:rtl w:val="0"/>
              </w:rPr>
              <w:t xml:space="preserve">⨁◯◯◯</w:t>
            </w:r>
            <w:r w:rsidDel="00000000" w:rsidR="00000000" w:rsidRPr="00000000">
              <w:rPr>
                <w:rFonts w:ascii="Verdana" w:cs="Verdana" w:eastAsia="Verdana" w:hAnsi="Verdana"/>
                <w:sz w:val="16"/>
                <w:szCs w:val="16"/>
                <w:rtl w:val="0"/>
              </w:rPr>
              <w:br w:type="textWrapping"/>
              <w:t xml:space="preserve">Very 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200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200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6F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SMD </w:t>
            </w:r>
            <w:r w:rsidDel="00000000" w:rsidR="00000000" w:rsidRPr="00000000">
              <w:rPr>
                <w:rFonts w:ascii="Verdana" w:cs="Verdana" w:eastAsia="Verdana" w:hAnsi="Verdana"/>
                <w:b w:val="1"/>
                <w:sz w:val="16"/>
                <w:szCs w:val="16"/>
                <w:rtl w:val="0"/>
              </w:rPr>
              <w:t xml:space="preserve">0.707 SD lower</w:t>
            </w:r>
            <w:r w:rsidDel="00000000" w:rsidR="00000000" w:rsidRPr="00000000">
              <w:rPr>
                <w:rFonts w:ascii="Verdana" w:cs="Verdana" w:eastAsia="Verdana" w:hAnsi="Verdana"/>
                <w:sz w:val="16"/>
                <w:szCs w:val="16"/>
                <w:rtl w:val="0"/>
              </w:rPr>
              <w:br w:type="textWrapping"/>
              <w:t xml:space="preserve">(1.37 lower to 0.043 lower)</w:t>
            </w:r>
          </w:p>
        </w:tc>
      </w:tr>
    </w:tbl>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CI:</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confidence interval; </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SMD:</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standardized mean difference</w:t>
      </w:r>
    </w:p>
    <w:p w:rsidR="00000000" w:rsidDel="00000000" w:rsidP="00000000" w:rsidRDefault="00000000" w:rsidRPr="00000000" w14:paraId="00000701">
      <w:pPr>
        <w:pStyle w:val="Heading4"/>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Explanations</w:t>
      </w:r>
    </w:p>
    <w:p w:rsidR="00000000" w:rsidDel="00000000" w:rsidP="00000000" w:rsidRDefault="00000000" w:rsidRPr="00000000" w14:paraId="00000702">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 High variance from point estimates, with significant decreases and small increases in total cholesterol rates. Moderate overlap of 95% CI. Very high heterogeneity that appears to be explained by chance even after the randomized effect model.</w:t>
      </w:r>
    </w:p>
    <w:p w:rsidR="00000000" w:rsidDel="00000000" w:rsidP="00000000" w:rsidRDefault="00000000" w:rsidRPr="00000000" w14:paraId="00000703">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b. Inclusion of a sample group sick with gestational diabetes at a young age, while all others used healthy samples at middle age or old age. The intervention varied significantly in terms of intensity (ranging from 10 mg/day consumption to 100 mg/kd/day and 300 mg/day) and duration (from 4 weeks to 3 months consumption). </w:t>
      </w:r>
    </w:p>
    <w:p w:rsidR="00000000" w:rsidDel="00000000" w:rsidP="00000000" w:rsidRDefault="00000000" w:rsidRPr="00000000" w14:paraId="00000704">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 Continuous data with a sample group of 369 individuals (&lt;400) and with a 95% CI that crosses the central axis, demonstrating the absence of statistical significance. </w:t>
      </w:r>
    </w:p>
    <w:p w:rsidR="00000000" w:rsidDel="00000000" w:rsidP="00000000" w:rsidRDefault="00000000" w:rsidRPr="00000000" w14:paraId="00000705">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 Inclusion of a sample group sick with gestational diabetes at a young age, while all others used healthy samples at middle age or old age. The intervention varied significantly in terms of intensity (ranging from 10 mg/day consumption to 100 mg/kd/day and 300 mg/day) and duration (from 4 weeks to 3 months consumption). </w:t>
      </w:r>
    </w:p>
    <w:p w:rsidR="00000000" w:rsidDel="00000000" w:rsidP="00000000" w:rsidRDefault="00000000" w:rsidRPr="00000000" w14:paraId="00000706">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e. Continuous data with sample group of 369 individuals (&lt;400) and effect size fully in favor of reducing TG levels without crossing the central axis, but with effects that vary between small and moderate thresholds. </w:t>
      </w:r>
    </w:p>
    <w:p w:rsidR="00000000" w:rsidDel="00000000" w:rsidP="00000000" w:rsidRDefault="00000000" w:rsidRPr="00000000" w14:paraId="00000707">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f. Inclusion of a sample group sick with gestational diabetes at a young age, while all others used healthy samples at middle age or old age. The intervention varied significantly in terms of intensity (ranging from 10 mg/day consumption to 100 mg/kd/day and 300 mg/day) and duration (from 4 weeks to 3 months consumption). </w:t>
      </w:r>
    </w:p>
    <w:p w:rsidR="00000000" w:rsidDel="00000000" w:rsidP="00000000" w:rsidRDefault="00000000" w:rsidRPr="00000000" w14:paraId="00000708">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g. Continuous data with sample group of 259 individuals (&lt;400) and effect size fully in favor of reducing LDL levels without crossing the central axis, but with effects that vary between trivial, small, moderate and large thresholds.</w:t>
      </w:r>
    </w:p>
    <w:p w:rsidR="00000000" w:rsidDel="00000000" w:rsidP="00000000" w:rsidRDefault="00000000" w:rsidRPr="00000000" w14:paraId="00000709">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h. All point estimates favor increasing HDL rates, with moderate 95% CI overlap and high heterogeneity even after using the randomized effect model.</w:t>
      </w:r>
    </w:p>
    <w:p w:rsidR="00000000" w:rsidDel="00000000" w:rsidP="00000000" w:rsidRDefault="00000000" w:rsidRPr="00000000" w14:paraId="0000070A">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i. Inclusion of a sample group sick with gestational diabetes at a young age, while all others used healthy samples at middle age or old age. The intervention varied significantly in terms of intensity (ranging from 10 mg/day consumption to 100 mg/kd/day and 300 mg/day) and duration (from 4 weeks to 3 months consumption). </w:t>
      </w:r>
    </w:p>
    <w:p w:rsidR="00000000" w:rsidDel="00000000" w:rsidP="00000000" w:rsidRDefault="00000000" w:rsidRPr="00000000" w14:paraId="0000070B">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j. Continuous data with sample group of 259 individuals (&lt;400) and effect size fully in favor of increasing HDL levels without crossing the central axis, but with effects that vary between moderate and large thresholds. </w:t>
      </w:r>
    </w:p>
    <w:p w:rsidR="00000000" w:rsidDel="00000000" w:rsidP="00000000" w:rsidRDefault="00000000" w:rsidRPr="00000000" w14:paraId="0000070C">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k. Total absence of overlap of a 95% CI and very high heterogeneity even after using the randomized effect model.</w:t>
      </w:r>
    </w:p>
    <w:p w:rsidR="00000000" w:rsidDel="00000000" w:rsidP="00000000" w:rsidRDefault="00000000" w:rsidRPr="00000000" w14:paraId="0000070D">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l. Inclusion of a sample group sick with gestational diabetes at a young age, while all others used healthy samples at middle age or old age. The intervention varied significantly in terms of intensity (ranging from 10 mg/day consumption to 100 mg/kd/day and 300 mg/day) and duration (from 4 weeks to 3 months consumption). </w:t>
      </w:r>
    </w:p>
    <w:p w:rsidR="00000000" w:rsidDel="00000000" w:rsidP="00000000" w:rsidRDefault="00000000" w:rsidRPr="00000000" w14:paraId="0000070E">
      <w:pPr>
        <w:jc w:val="both"/>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m. Continuous data with a minimum sample group of 400 individuals and 95%CI completely in favor of reducing FBG without crossing the central axis, but with effects that vary between trivial, small, moderate and large thresholds.</w:t>
      </w:r>
    </w:p>
    <w:p w:rsidR="00000000" w:rsidDel="00000000" w:rsidP="00000000" w:rsidRDefault="00000000" w:rsidRPr="00000000" w14:paraId="0000070F">
      <w:pPr>
        <w:jc w:val="both"/>
        <w:rPr>
          <w:rFonts w:ascii="Verdana" w:cs="Verdana" w:eastAsia="Verdana" w:hAnsi="Verdana"/>
          <w:color w:val="000000"/>
          <w:sz w:val="16"/>
          <w:szCs w:val="16"/>
        </w:rPr>
      </w:pPr>
      <w:r w:rsidDel="00000000" w:rsidR="00000000" w:rsidRPr="00000000">
        <w:rPr>
          <w:rtl w:val="0"/>
        </w:rPr>
      </w:r>
    </w:p>
    <w:sectPr>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Verdana"/>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MZ"/>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spacing w:line="240" w:lineRule="auto"/>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Ttulo4">
    <w:name w:val="heading 4"/>
    <w:basedOn w:val="Normal"/>
    <w:link w:val="Ttulo4Char"/>
    <w:uiPriority w:val="9"/>
    <w:qFormat w:val="1"/>
    <w:pPr>
      <w:spacing w:after="100" w:afterAutospacing="1" w:before="100" w:beforeAutospacing="1" w:line="240" w:lineRule="auto"/>
      <w:outlineLvl w:val="3"/>
    </w:pPr>
    <w:rPr>
      <w:rFonts w:ascii="Times New Roman" w:cs="Times New Roman" w:hAnsi="Times New Roman"/>
      <w:b w:val="1"/>
      <w:bCs w:val="1"/>
      <w:kern w:val="0"/>
      <w:sz w:val="24"/>
      <w:szCs w:val="24"/>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4Char" w:customStyle="1">
    <w:name w:val="Título 4 Char"/>
    <w:basedOn w:val="Fontepargpadro"/>
    <w:link w:val="Ttulo4"/>
    <w:uiPriority w:val="9"/>
    <w:rPr>
      <w:rFonts w:ascii="Times New Roman" w:cs="Times New Roman" w:hAnsi="Times New Roman"/>
      <w:b w:val="1"/>
      <w:bCs w:val="1"/>
      <w:kern w:val="0"/>
      <w:sz w:val="24"/>
      <w:szCs w:val="24"/>
    </w:rPr>
  </w:style>
  <w:style w:type="paragraph" w:styleId="Ttulo1" w:customStyle="1">
    <w:name w:val="Título1"/>
    <w:basedOn w:val="Normal"/>
    <w:pPr>
      <w:spacing w:after="100" w:afterAutospacing="1" w:before="100" w:beforeAutospacing="1" w:line="240" w:lineRule="auto"/>
    </w:pPr>
    <w:rPr>
      <w:rFonts w:ascii="Times New Roman" w:cs="Times New Roman" w:hAnsi="Times New Roman"/>
      <w:kern w:val="0"/>
      <w:sz w:val="24"/>
      <w:szCs w:val="24"/>
    </w:rPr>
  </w:style>
  <w:style w:type="paragraph" w:styleId="NormalWeb">
    <w:name w:val="Normal (Web)"/>
    <w:basedOn w:val="Normal"/>
    <w:uiPriority w:val="99"/>
    <w:semiHidden w:val="1"/>
    <w:unhideWhenUsed w:val="1"/>
    <w:pPr>
      <w:spacing w:after="100" w:afterAutospacing="1" w:before="100" w:beforeAutospacing="1" w:line="240" w:lineRule="auto"/>
    </w:pPr>
    <w:rPr>
      <w:rFonts w:ascii="Times New Roman" w:cs="Times New Roman" w:hAnsi="Times New Roman"/>
      <w:kern w:val="0"/>
      <w:sz w:val="24"/>
      <w:szCs w:val="24"/>
    </w:rPr>
  </w:style>
  <w:style w:type="character" w:styleId="label" w:customStyle="1">
    <w:name w:val="label"/>
    <w:basedOn w:val="Fontepargpadro"/>
  </w:style>
  <w:style w:type="character" w:styleId="quality-sign" w:customStyle="1">
    <w:name w:val="quality-sign"/>
    <w:basedOn w:val="Fontepargpadro"/>
  </w:style>
  <w:style w:type="character" w:styleId="quality-text" w:customStyle="1">
    <w:name w:val="quality-text"/>
    <w:basedOn w:val="Fontepargpadro"/>
  </w:style>
  <w:style w:type="character" w:styleId="cell" w:customStyle="1">
    <w:name w:val="cell"/>
    <w:basedOn w:val="Fontepargpadro"/>
  </w:style>
  <w:style w:type="character" w:styleId="block" w:customStyle="1">
    <w:name w:val="block"/>
    <w:basedOn w:val="Fontepargpadro"/>
  </w:style>
  <w:style w:type="character" w:styleId="Hyperlink">
    <w:name w:val="Hyperlink"/>
    <w:basedOn w:val="Fontepargpadro"/>
    <w:uiPriority w:val="99"/>
    <w:semiHidden w:val="1"/>
    <w:unhideWhenUsed w:val="1"/>
    <w:rsid w:val="00C95A06"/>
    <w:rPr>
      <w:color w:val="0000ff"/>
      <w:u w:val="single"/>
    </w:rPr>
  </w:style>
  <w:style w:type="character" w:styleId="comma" w:customStyle="1">
    <w:name w:val="comma"/>
    <w:basedOn w:val="Fontepargpadro"/>
    <w:rsid w:val="004D5CD9"/>
  </w:style>
  <w:style w:type="character" w:styleId="cell-value" w:customStyle="1">
    <w:name w:val="cell-value"/>
    <w:basedOn w:val="Fontepargpadro"/>
    <w:rsid w:val="004D5CD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5.0" w:type="dxa"/>
        <w:left w:w="75.0" w:type="dxa"/>
        <w:bottom w:w="75.0" w:type="dxa"/>
        <w:right w:w="75.0" w:type="dxa"/>
      </w:tblCellMar>
    </w:tblPr>
  </w:style>
  <w:style w:type="table" w:styleId="Table2">
    <w:basedOn w:val="TableNormal"/>
    <w:tblPr>
      <w:tblStyleRowBandSize w:val="1"/>
      <w:tblStyleColBandSize w:val="1"/>
      <w:tblCellMar>
        <w:top w:w="75.0" w:type="dxa"/>
        <w:left w:w="75.0" w:type="dxa"/>
        <w:bottom w:w="75.0" w:type="dxa"/>
        <w:right w:w="75.0" w:type="dxa"/>
      </w:tblCellMar>
    </w:tblPr>
  </w:style>
  <w:style w:type="table" w:styleId="Table3">
    <w:basedOn w:val="TableNormal"/>
    <w:tblPr>
      <w:tblStyleRowBandSize w:val="1"/>
      <w:tblStyleColBandSize w:val="1"/>
      <w:tblCellMar>
        <w:top w:w="75.0" w:type="dxa"/>
        <w:left w:w="75.0" w:type="dxa"/>
        <w:bottom w:w="75.0" w:type="dxa"/>
        <w:right w:w="75.0" w:type="dxa"/>
      </w:tblCellMar>
    </w:tblPr>
  </w:style>
  <w:style w:type="table" w:styleId="Table4">
    <w:basedOn w:val="TableNormal"/>
    <w:tblPr>
      <w:tblStyleRowBandSize w:val="1"/>
      <w:tblStyleColBandSize w:val="1"/>
      <w:tblCellMar>
        <w:top w:w="75.0" w:type="dxa"/>
        <w:left w:w="75.0" w:type="dxa"/>
        <w:bottom w:w="75.0" w:type="dxa"/>
        <w:right w:w="75.0" w:type="dxa"/>
      </w:tblCellMar>
    </w:tblPr>
  </w:style>
  <w:style w:type="table" w:styleId="Table5">
    <w:basedOn w:val="TableNormal"/>
    <w:tblPr>
      <w:tblStyleRowBandSize w:val="1"/>
      <w:tblStyleColBandSize w:val="1"/>
      <w:tblCellMar>
        <w:top w:w="75.0" w:type="dxa"/>
        <w:left w:w="75.0" w:type="dxa"/>
        <w:bottom w:w="75.0" w:type="dxa"/>
        <w:right w:w="75.0" w:type="dxa"/>
      </w:tblCellMar>
    </w:tblPr>
  </w:style>
  <w:style w:type="table" w:styleId="Table6">
    <w:basedOn w:val="TableNormal"/>
    <w:tblPr>
      <w:tblStyleRowBandSize w:val="1"/>
      <w:tblStyleColBandSize w:val="1"/>
      <w:tblCellMar>
        <w:top w:w="75.0" w:type="dxa"/>
        <w:left w:w="75.0" w:type="dxa"/>
        <w:bottom w:w="75.0" w:type="dxa"/>
        <w:right w:w="75.0" w:type="dxa"/>
      </w:tblCellMar>
    </w:tblPr>
  </w:style>
  <w:style w:type="table" w:styleId="Table7">
    <w:basedOn w:val="TableNormal"/>
    <w:tblPr>
      <w:tblStyleRowBandSize w:val="1"/>
      <w:tblStyleColBandSize w:val="1"/>
      <w:tblCellMar>
        <w:top w:w="75.0" w:type="dxa"/>
        <w:left w:w="75.0" w:type="dxa"/>
        <w:bottom w:w="75.0" w:type="dxa"/>
        <w:right w:w="75.0" w:type="dxa"/>
      </w:tblCellMar>
    </w:tblPr>
  </w:style>
  <w:style w:type="table" w:styleId="Table8">
    <w:basedOn w:val="TableNormal"/>
    <w:tblPr>
      <w:tblStyleRowBandSize w:val="1"/>
      <w:tblStyleColBandSize w:val="1"/>
      <w:tblCellMar>
        <w:top w:w="75.0" w:type="dxa"/>
        <w:left w:w="75.0" w:type="dxa"/>
        <w:bottom w:w="75.0" w:type="dxa"/>
        <w:right w:w="75.0" w:type="dxa"/>
      </w:tblCellMar>
    </w:tblPr>
  </w:style>
  <w:style w:type="table" w:styleId="Table9">
    <w:basedOn w:val="TableNormal"/>
    <w:tblPr>
      <w:tblStyleRowBandSize w:val="1"/>
      <w:tblStyleColBandSize w:val="1"/>
      <w:tblCellMar>
        <w:top w:w="75.0" w:type="dxa"/>
        <w:left w:w="75.0" w:type="dxa"/>
        <w:bottom w:w="75.0" w:type="dxa"/>
        <w:right w:w="75.0" w:type="dxa"/>
      </w:tblCellMar>
    </w:tblPr>
  </w:style>
  <w:style w:type="table" w:styleId="Table10">
    <w:basedOn w:val="TableNormal"/>
    <w:tblPr>
      <w:tblStyleRowBandSize w:val="1"/>
      <w:tblStyleColBandSize w:val="1"/>
      <w:tblCellMar>
        <w:top w:w="75.0" w:type="dxa"/>
        <w:left w:w="75.0" w:type="dxa"/>
        <w:bottom w:w="75.0" w:type="dxa"/>
        <w:right w:w="75.0" w:type="dxa"/>
      </w:tblCellMar>
    </w:tblPr>
  </w:style>
  <w:style w:type="table" w:styleId="Table11">
    <w:basedOn w:val="TableNormal"/>
    <w:tblPr>
      <w:tblStyleRowBandSize w:val="1"/>
      <w:tblStyleColBandSize w:val="1"/>
      <w:tblCellMar>
        <w:top w:w="75.0" w:type="dxa"/>
        <w:left w:w="75.0" w:type="dxa"/>
        <w:bottom w:w="75.0" w:type="dxa"/>
        <w:right w:w="75.0" w:type="dxa"/>
      </w:tblCellMar>
    </w:tblPr>
  </w:style>
  <w:style w:type="table" w:styleId="Table12">
    <w:basedOn w:val="TableNormal"/>
    <w:tblPr>
      <w:tblStyleRowBandSize w:val="1"/>
      <w:tblStyleColBandSize w:val="1"/>
      <w:tblCellMar>
        <w:top w:w="75.0" w:type="dxa"/>
        <w:left w:w="75.0" w:type="dxa"/>
        <w:bottom w:w="75.0" w:type="dxa"/>
        <w:right w:w="7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zotero.org/google-docs/?kGwHgb" TargetMode="External"/><Relationship Id="rId10" Type="http://schemas.openxmlformats.org/officeDocument/2006/relationships/hyperlink" Target="https://www.zotero.org/google-docs/?qfAdwl" TargetMode="External"/><Relationship Id="rId13" Type="http://schemas.openxmlformats.org/officeDocument/2006/relationships/hyperlink" Target="https://www.zotero.org/google-docs/?ApzgdA" TargetMode="External"/><Relationship Id="rId12" Type="http://schemas.openxmlformats.org/officeDocument/2006/relationships/hyperlink" Target="https://www.zotero.org/google-docs/?GXeGq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zotero.org/google-docs/?qfAdwl" TargetMode="External"/><Relationship Id="rId15" Type="http://schemas.openxmlformats.org/officeDocument/2006/relationships/hyperlink" Target="https://www.zotero.org/google-docs/?5D976P" TargetMode="External"/><Relationship Id="rId14" Type="http://schemas.openxmlformats.org/officeDocument/2006/relationships/hyperlink" Target="https://www.zotero.org/google-docs/?VP3zWC" TargetMode="External"/><Relationship Id="rId17" Type="http://schemas.openxmlformats.org/officeDocument/2006/relationships/hyperlink" Target="https://www.zotero.org/google-docs/?y6kZyo" TargetMode="External"/><Relationship Id="rId16" Type="http://schemas.openxmlformats.org/officeDocument/2006/relationships/hyperlink" Target="https://www.zotero.org/google-docs/?y6kZyo"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www.zotero.org/google-docs/?w0GJ3V" TargetMode="External"/><Relationship Id="rId7" Type="http://schemas.openxmlformats.org/officeDocument/2006/relationships/hyperlink" Target="https://www.zotero.org/google-docs/?AH5ZpT" TargetMode="External"/><Relationship Id="rId8" Type="http://schemas.openxmlformats.org/officeDocument/2006/relationships/hyperlink" Target="https://www.zotero.org/google-docs/?qfAdw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llWVuaBzxWwoo3t9n1YaNHPf8w==">CgMxLjA4AHIhMWExRnpkWFNFYVhOVmdEOU9ySWsxSmVSYkJnbGhtbnJ6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2024-08-25T16:53:00Z</dcterms:created>
  <dc:creator>Miguel Fernandes Bottari</dc:creator>
</cp:coreProperties>
</file>