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999"/>
        <w:gridCol w:w="4736"/>
      </w:tblGrid>
      <w:tr w14:paraId="67EC57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00A9D96B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10b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13515347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Reference standard, in sufficient detail to allow replication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212AEE3A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As specified in Section 2.2 (Inclusion Criterion 2), all included studies mandated histopathologically confirmed diagnoses. Given that histopathological verification constitutes the diagnostic gold standard for gastric malignancies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and all eligible studies explicitly adhered to this criterion, we methodologically excluded STARD 2015 Item 10b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.</w:t>
            </w:r>
          </w:p>
        </w:tc>
      </w:tr>
      <w:tr w14:paraId="2BF5BC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1AD042D4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7A5C13ED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Rationale for choosing the reference standard (if alternatives exist)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1294B68D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The reference standard (histopathological confirmation) represents an unambiguous diagnostic paradigm with no clinically equivalent alternatives, thereby justifying its exemption from comparative analysis.</w:t>
            </w:r>
          </w:p>
        </w:tc>
      </w:tr>
      <w:tr w14:paraId="57672D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2D509E86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12b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6B96D3EC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Definition of and rationale for test positivity cut-offs or result categories of the reference standard, distinguishing prespecified from exploratory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1A1C9C70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A unified reference standard (histopathological evaluation based on WHO criteria) was universally applied across studies, obviating the need for additional definitional specifications</w:t>
            </w:r>
          </w:p>
        </w:tc>
      </w:tr>
      <w:tr w14:paraId="2D23DA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1CE1A945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13b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4EF9659D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ab/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Whether clinical information and index test results were available to the assessors of the reference standard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72222E0C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In hepatocellular carcinoma diagnosis, the reference standard requires histological identification of malignant cells per WHO Classification of Digestive System Tumours, relying exclusively on microscopic morphological characteristics independent of clinical context.</w:t>
            </w:r>
          </w:p>
        </w:tc>
      </w:tr>
      <w:tr w14:paraId="5EB689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4F3B54A5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0AE62A27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How missing data on the index test and reference standard were handled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7C0D3F40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First, studies lacking definitive histopathological confirmation were excluded during screening. Second, the index test (e.g., serum miRNA quantification) constituted a mandatory laboratory protocol with full specimen integrity, ensuring zero data loss risk through dual-investigator verification.</w:t>
            </w:r>
          </w:p>
        </w:tc>
      </w:tr>
      <w:tr w14:paraId="0E4DA6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52DB77A4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02FBF6E8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Any analyses of variability in diagnostic accuracy, distinguishing prespecified from exploratory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3285183A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The implementation of standardized reference criteria substantially reduced inter-study heterogeneity, while methodological homogeneity across study designs rendered variability analyses redundant.</w:t>
            </w:r>
          </w:p>
        </w:tc>
      </w:tr>
      <w:tr w14:paraId="2090CC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741337DF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21b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4C798E33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Distribution of alternative diagnoses in those without the target condition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1355ACE2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The stringent enrollment criteria (histopathology-confirmed cases only) and the absolute specificity of the reference standard scientifically validated the exclusion of STARD Item 21b .</w:t>
            </w:r>
          </w:p>
        </w:tc>
      </w:tr>
      <w:tr w14:paraId="7E4CD3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466BF764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429E88FF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Time interval and any clinical interventions between index test and reference standard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23B4137B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The biomarker study design inherently precluded therapeutic interventions between index testing (e.g., blood sampling) and reference standard application (tissue biopsy), with all procedures completed within a ≤72-hour diagnostic window to ensure result validity.</w:t>
            </w:r>
          </w:p>
        </w:tc>
      </w:tr>
      <w:tr w14:paraId="6E8D0A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32F94E0A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52DB56FD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Any adverse events from performing the index test or the reference standard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740892E2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Given the minimal risk profile of non-invasive biomarker assays (adverse event rate &lt;0.1%) and the study's focus on diagnostic accuracy metrics, safety analyses (STARD Item 25) were deemed non-essential.</w:t>
            </w:r>
          </w:p>
        </w:tc>
      </w:tr>
      <w:tr w14:paraId="588476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3247620A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12D3FC90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Registration number and name of registry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47EDA3C5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All included studies were single-center investigations, none of which reported clinical trial registration details—a recognized limitation in retrospective diagnostic accuracy syntheses</w:t>
            </w:r>
          </w:p>
        </w:tc>
      </w:tr>
      <w:tr w14:paraId="375A26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" w:type="dxa"/>
            <w:tcBorders>
              <w:tl2br w:val="nil"/>
              <w:tr2bl w:val="nil"/>
            </w:tcBorders>
            <w:noWrap w:val="0"/>
            <w:vAlign w:val="top"/>
          </w:tcPr>
          <w:p w14:paraId="5D8059C3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top"/>
          </w:tcPr>
          <w:p w14:paraId="39E0C6E3">
            <w:pP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</w:rPr>
              <w:t>Where the full study protocol can be accessed</w:t>
            </w:r>
          </w:p>
        </w:tc>
        <w:tc>
          <w:tcPr>
            <w:tcW w:w="4736" w:type="dxa"/>
            <w:tcBorders>
              <w:tl2br w:val="nil"/>
              <w:tr2bl w:val="nil"/>
            </w:tcBorders>
            <w:noWrap w:val="0"/>
            <w:vAlign w:val="top"/>
          </w:tcPr>
          <w:p w14:paraId="02562880">
            <w:pPr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Mandating uniform protocol accessibility would lead to selective bias due to a general lack of protocol disclosure practices in early studies.</w:t>
            </w:r>
          </w:p>
        </w:tc>
      </w:tr>
    </w:tbl>
    <w:p w14:paraId="652998E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Appendix3.Excluded STARD items, and reasons therefor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D330C"/>
    <w:rsid w:val="24674467"/>
    <w:rsid w:val="367867EE"/>
    <w:rsid w:val="717E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2984</Characters>
  <Lines>0</Lines>
  <Paragraphs>0</Paragraphs>
  <TotalTime>178</TotalTime>
  <ScaleCrop>false</ScaleCrop>
  <LinksUpToDate>false</LinksUpToDate>
  <CharactersWithSpaces>3388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2025-03-04T08:01:00Z</dcterms:created>
  <dc:creator>shywa</dc:creator>
  <cp:lastModifiedBy>帅阳</cp:lastModifiedBy>
  <dcterms:modified xsi:type="dcterms:W3CDTF">2025-03-04T11:11:31Z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eyJoZGlkIjoiYWE2MTZmYWE0ZDBmMGE0NWY4NjI1ZTk5YjZlMzIyNGQiLCJ1c2VySWQiOiI2MTg0MTc1MDEifQ==</vt:lpwstr>
  </property>
  <property fmtid="{D5CDD505-2E9C-101B-9397-08002B2CF9AE}" pid="4" name="ICV">
    <vt:lpwstr>FB5186FD296A45E4B7B3F0DCADC4BC91_12</vt:lpwstr>
  </property>
</Properties>
</file>