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82169" w14:textId="4ABC13D3" w:rsidR="00FE48BA" w:rsidRDefault="00451AF7" w:rsidP="00451AF7">
      <w:pPr>
        <w:jc w:val="center"/>
        <w:rPr>
          <w:rFonts w:ascii="Candara" w:hAnsi="Candara"/>
          <w:b/>
          <w:bCs/>
        </w:rPr>
      </w:pPr>
      <w:bookmarkStart w:id="0" w:name="OLE_LINK2"/>
      <w:r w:rsidRPr="00451AF7">
        <w:rPr>
          <w:rFonts w:ascii="Candara" w:hAnsi="Candara"/>
          <w:b/>
          <w:bCs/>
        </w:rPr>
        <w:t xml:space="preserve">Table S1. </w:t>
      </w:r>
      <w:bookmarkStart w:id="1" w:name="OLE_LINK1"/>
      <w:r>
        <w:rPr>
          <w:rFonts w:ascii="Candara" w:hAnsi="Candara" w:hint="eastAsia"/>
          <w:b/>
          <w:bCs/>
        </w:rPr>
        <w:t xml:space="preserve">Detailed information regarding </w:t>
      </w:r>
      <w:r w:rsidR="002A2FA5" w:rsidRPr="002A2FA5">
        <w:rPr>
          <w:rFonts w:ascii="Candara" w:hAnsi="Candara" w:hint="eastAsia"/>
          <w:b/>
          <w:bCs/>
        </w:rPr>
        <w:t>sensitivity analysis was delineated in the results, but it was not designated as a post hoc analysis, nor was it included in the protocol</w:t>
      </w:r>
      <w:r w:rsidR="003234F3">
        <w:rPr>
          <w:rFonts w:ascii="Candara" w:hAnsi="Candara" w:hint="eastAsia"/>
          <w:b/>
          <w:bCs/>
        </w:rPr>
        <w:t xml:space="preserve"> /SAP</w:t>
      </w:r>
    </w:p>
    <w:tbl>
      <w:tblPr>
        <w:tblStyle w:val="af4"/>
        <w:tblW w:w="0" w:type="auto"/>
        <w:tblLook w:val="04A0" w:firstRow="1" w:lastRow="0" w:firstColumn="1" w:lastColumn="0" w:noHBand="0" w:noVBand="1"/>
      </w:tblPr>
      <w:tblGrid>
        <w:gridCol w:w="562"/>
        <w:gridCol w:w="3287"/>
        <w:gridCol w:w="7770"/>
        <w:gridCol w:w="2329"/>
      </w:tblGrid>
      <w:tr w:rsidR="006C08FB" w:rsidRPr="00BB14E2" w14:paraId="48E7BA4C" w14:textId="30C2E570" w:rsidTr="001949D7">
        <w:tc>
          <w:tcPr>
            <w:tcW w:w="562" w:type="dxa"/>
            <w:vAlign w:val="center"/>
          </w:tcPr>
          <w:bookmarkEnd w:id="1"/>
          <w:p w14:paraId="5A038B64" w14:textId="3A2A6092" w:rsidR="006C08FB" w:rsidRPr="00BB14E2" w:rsidRDefault="00BB14E2" w:rsidP="001949D7">
            <w:pPr>
              <w:rPr>
                <w:rFonts w:ascii="Candara" w:hAnsi="Candara"/>
                <w:b/>
                <w:bCs/>
              </w:rPr>
            </w:pPr>
            <w:r w:rsidRPr="00BB14E2">
              <w:rPr>
                <w:rFonts w:ascii="Candara" w:hAnsi="Candara" w:hint="eastAsia"/>
                <w:b/>
                <w:bCs/>
              </w:rPr>
              <w:t>No.</w:t>
            </w:r>
          </w:p>
        </w:tc>
        <w:tc>
          <w:tcPr>
            <w:tcW w:w="3287" w:type="dxa"/>
            <w:vAlign w:val="center"/>
          </w:tcPr>
          <w:p w14:paraId="1012E72E" w14:textId="2EBC2CD8" w:rsidR="006C08FB" w:rsidRPr="00BB14E2" w:rsidRDefault="006C08FB" w:rsidP="001949D7">
            <w:pPr>
              <w:ind w:firstLineChars="50" w:firstLine="105"/>
              <w:rPr>
                <w:rFonts w:ascii="Candara" w:hAnsi="Candara"/>
                <w:b/>
                <w:bCs/>
              </w:rPr>
            </w:pPr>
            <w:r w:rsidRPr="00BB14E2">
              <w:rPr>
                <w:rFonts w:ascii="Candara" w:hAnsi="Candara"/>
                <w:b/>
                <w:bCs/>
              </w:rPr>
              <w:t>F</w:t>
            </w:r>
            <w:r w:rsidRPr="00BB14E2">
              <w:rPr>
                <w:rFonts w:ascii="Candara" w:hAnsi="Candara" w:hint="eastAsia"/>
                <w:b/>
                <w:bCs/>
              </w:rPr>
              <w:t>irst author</w:t>
            </w:r>
          </w:p>
        </w:tc>
        <w:tc>
          <w:tcPr>
            <w:tcW w:w="7770" w:type="dxa"/>
            <w:vAlign w:val="center"/>
          </w:tcPr>
          <w:p w14:paraId="403B959F" w14:textId="2E483582" w:rsidR="006C08FB" w:rsidRPr="00BB14E2" w:rsidRDefault="006C08FB" w:rsidP="001949D7">
            <w:pPr>
              <w:rPr>
                <w:rFonts w:ascii="Candara" w:hAnsi="Candara"/>
                <w:b/>
                <w:bCs/>
              </w:rPr>
            </w:pPr>
            <w:r w:rsidRPr="00BB14E2">
              <w:rPr>
                <w:rFonts w:ascii="Candara" w:hAnsi="Candara"/>
                <w:b/>
                <w:bCs/>
              </w:rPr>
              <w:t>Description</w:t>
            </w:r>
            <w:r w:rsidRPr="00BB14E2">
              <w:rPr>
                <w:rFonts w:ascii="Candara" w:hAnsi="Candara" w:hint="eastAsia"/>
                <w:b/>
                <w:bCs/>
              </w:rPr>
              <w:t xml:space="preserve"> of sensitivity analysis in</w:t>
            </w:r>
            <w:r w:rsidRPr="00BB14E2">
              <w:rPr>
                <w:rFonts w:ascii="Candara" w:hAnsi="Candara"/>
                <w:b/>
                <w:bCs/>
              </w:rPr>
              <w:t xml:space="preserve"> </w:t>
            </w:r>
            <w:r w:rsidRPr="00BB14E2">
              <w:rPr>
                <w:rFonts w:ascii="Candara" w:hAnsi="Candara" w:hint="eastAsia"/>
                <w:b/>
                <w:bCs/>
              </w:rPr>
              <w:t>results</w:t>
            </w:r>
          </w:p>
        </w:tc>
        <w:tc>
          <w:tcPr>
            <w:tcW w:w="2329" w:type="dxa"/>
            <w:vAlign w:val="center"/>
          </w:tcPr>
          <w:p w14:paraId="3FE8B601" w14:textId="49F8F3A3" w:rsidR="006C08FB" w:rsidRPr="00BB14E2" w:rsidRDefault="006C08FB" w:rsidP="001949D7">
            <w:pPr>
              <w:rPr>
                <w:rFonts w:ascii="Candara" w:hAnsi="Candara"/>
                <w:b/>
                <w:bCs/>
              </w:rPr>
            </w:pPr>
            <w:r w:rsidRPr="00BB14E2">
              <w:rPr>
                <w:rFonts w:ascii="Candara" w:hAnsi="Candara" w:hint="eastAsia"/>
                <w:b/>
                <w:bCs/>
              </w:rPr>
              <w:t>page number in article</w:t>
            </w:r>
            <w:r w:rsidR="00BB14E2">
              <w:rPr>
                <w:rFonts w:ascii="Candara" w:hAnsi="Candara" w:hint="eastAsia"/>
                <w:b/>
                <w:bCs/>
              </w:rPr>
              <w:t>/</w:t>
            </w:r>
            <w:r w:rsidRPr="00BB14E2">
              <w:rPr>
                <w:rFonts w:ascii="Candara" w:hAnsi="Candara" w:hint="eastAsia"/>
                <w:b/>
                <w:bCs/>
              </w:rPr>
              <w:t xml:space="preserve"> supplementary file</w:t>
            </w:r>
          </w:p>
        </w:tc>
      </w:tr>
      <w:tr w:rsidR="001949D7" w:rsidRPr="00BB14E2" w14:paraId="5F41ADCE" w14:textId="5D9B26AB" w:rsidTr="001949D7">
        <w:tc>
          <w:tcPr>
            <w:tcW w:w="562" w:type="dxa"/>
            <w:vAlign w:val="center"/>
          </w:tcPr>
          <w:p w14:paraId="15C57F83" w14:textId="01EE3D06" w:rsidR="001949D7" w:rsidRPr="00BB14E2" w:rsidRDefault="001949D7" w:rsidP="001949D7">
            <w:pPr>
              <w:rPr>
                <w:rFonts w:ascii="Candara" w:hAnsi="Candara"/>
              </w:rPr>
            </w:pPr>
            <w:r w:rsidRPr="00BB14E2">
              <w:rPr>
                <w:rFonts w:ascii="Candara" w:hAnsi="Candara" w:hint="eastAsia"/>
              </w:rPr>
              <w:t>1</w:t>
            </w:r>
          </w:p>
        </w:tc>
        <w:tc>
          <w:tcPr>
            <w:tcW w:w="3287" w:type="dxa"/>
            <w:vAlign w:val="center"/>
          </w:tcPr>
          <w:p w14:paraId="7CE2BEA9" w14:textId="5F3C717E" w:rsidR="001949D7" w:rsidRPr="00BB14E2" w:rsidRDefault="001949D7" w:rsidP="001949D7">
            <w:pPr>
              <w:rPr>
                <w:rFonts w:ascii="Candara" w:hAnsi="Candara"/>
              </w:rPr>
            </w:pPr>
            <w:r w:rsidRPr="001949D7">
              <w:rPr>
                <w:rFonts w:ascii="Candara" w:hAnsi="Candara" w:hint="eastAsia"/>
              </w:rPr>
              <w:t>Terrence M.Yau (2019)</w:t>
            </w:r>
          </w:p>
        </w:tc>
        <w:tc>
          <w:tcPr>
            <w:tcW w:w="7770" w:type="dxa"/>
            <w:vAlign w:val="center"/>
          </w:tcPr>
          <w:p w14:paraId="21B95D6C" w14:textId="5A77DAB4" w:rsidR="001949D7" w:rsidRPr="001949D7" w:rsidRDefault="001949D7" w:rsidP="001949D7">
            <w:pPr>
              <w:pStyle w:val="a9"/>
              <w:numPr>
                <w:ilvl w:val="0"/>
                <w:numId w:val="6"/>
              </w:numPr>
              <w:rPr>
                <w:rFonts w:ascii="Candara" w:hAnsi="Candara"/>
              </w:rPr>
            </w:pPr>
            <w:r w:rsidRPr="001949D7">
              <w:rPr>
                <w:rFonts w:ascii="Candara" w:hAnsi="Candara" w:hint="eastAsia"/>
              </w:rPr>
              <w:t>In a post hoc sensitivity analysis of the primary outcome that accounted for the effect of site, the results were similar to the crude analysis (RR, 1.09; 95% CI, 0.84-1.42; P = .52).</w:t>
            </w:r>
          </w:p>
        </w:tc>
        <w:tc>
          <w:tcPr>
            <w:tcW w:w="2329" w:type="dxa"/>
            <w:vAlign w:val="center"/>
          </w:tcPr>
          <w:p w14:paraId="242753F3" w14:textId="194C680A" w:rsidR="001949D7" w:rsidRPr="00BB14E2" w:rsidRDefault="001949D7" w:rsidP="001949D7">
            <w:pPr>
              <w:rPr>
                <w:rFonts w:ascii="Candara" w:hAnsi="Candara"/>
              </w:rPr>
            </w:pPr>
            <w:r w:rsidRPr="001949D7">
              <w:rPr>
                <w:rFonts w:ascii="Candara" w:hAnsi="Candara" w:hint="eastAsia"/>
              </w:rPr>
              <w:t>1181</w:t>
            </w:r>
          </w:p>
        </w:tc>
      </w:tr>
      <w:tr w:rsidR="001949D7" w:rsidRPr="00BB14E2" w14:paraId="6BF68BE8" w14:textId="13CC655A" w:rsidTr="001949D7">
        <w:tc>
          <w:tcPr>
            <w:tcW w:w="562" w:type="dxa"/>
            <w:vAlign w:val="center"/>
          </w:tcPr>
          <w:p w14:paraId="6A5414F1" w14:textId="2BA7CFC5" w:rsidR="001949D7" w:rsidRPr="00BB14E2" w:rsidRDefault="001949D7" w:rsidP="001949D7">
            <w:pPr>
              <w:rPr>
                <w:rFonts w:ascii="Candara" w:hAnsi="Candara"/>
              </w:rPr>
            </w:pPr>
            <w:r w:rsidRPr="00BB14E2">
              <w:rPr>
                <w:rFonts w:ascii="Candara" w:hAnsi="Candara" w:hint="eastAsia"/>
              </w:rPr>
              <w:t>2</w:t>
            </w:r>
          </w:p>
        </w:tc>
        <w:tc>
          <w:tcPr>
            <w:tcW w:w="3287" w:type="dxa"/>
            <w:vAlign w:val="center"/>
          </w:tcPr>
          <w:p w14:paraId="75B5B32A" w14:textId="2CDAE17D" w:rsidR="001949D7" w:rsidRPr="00BB14E2" w:rsidRDefault="001949D7" w:rsidP="001949D7">
            <w:pPr>
              <w:rPr>
                <w:rFonts w:ascii="Candara" w:hAnsi="Candara"/>
              </w:rPr>
            </w:pPr>
            <w:r w:rsidRPr="001949D7">
              <w:rPr>
                <w:rFonts w:ascii="Candara" w:hAnsi="Candara" w:hint="eastAsia"/>
              </w:rPr>
              <w:t>Gilmar Reis (2022)</w:t>
            </w:r>
          </w:p>
        </w:tc>
        <w:tc>
          <w:tcPr>
            <w:tcW w:w="7770" w:type="dxa"/>
            <w:vAlign w:val="center"/>
          </w:tcPr>
          <w:p w14:paraId="36F195DB" w14:textId="77777777" w:rsidR="001949D7" w:rsidRPr="001949D7" w:rsidRDefault="001949D7" w:rsidP="001949D7">
            <w:pPr>
              <w:pStyle w:val="a9"/>
              <w:numPr>
                <w:ilvl w:val="0"/>
                <w:numId w:val="7"/>
              </w:numPr>
              <w:rPr>
                <w:rFonts w:ascii="Candara" w:hAnsi="Candara"/>
              </w:rPr>
            </w:pPr>
            <w:r w:rsidRPr="001949D7">
              <w:rPr>
                <w:rFonts w:ascii="Candara" w:hAnsi="Candara" w:hint="eastAsia"/>
              </w:rPr>
              <w:t>On the basis of the Bayesian beta binomial model, there was evidence of a benefit of fluvoxamine reducing the composite primary endpoint of hospitalisation defined as either retention in a COVID-19 emergency setting or transfer to tertiary hospital due to COVID-19 (RR 0</w:t>
            </w:r>
            <w:r w:rsidRPr="001949D7">
              <w:rPr>
                <w:rFonts w:ascii="Candara" w:hAnsi="Candara" w:hint="eastAsia"/>
              </w:rPr>
              <w:t>·</w:t>
            </w:r>
            <w:r w:rsidRPr="001949D7">
              <w:rPr>
                <w:rFonts w:ascii="Candara" w:hAnsi="Candara" w:hint="eastAsia"/>
              </w:rPr>
              <w:t>68; 95% Bayesian credible interval [BCI] 0</w:t>
            </w:r>
            <w:r w:rsidRPr="001949D7">
              <w:rPr>
                <w:rFonts w:ascii="Candara" w:hAnsi="Candara" w:hint="eastAsia"/>
              </w:rPr>
              <w:t>·</w:t>
            </w:r>
            <w:r w:rsidRPr="001949D7">
              <w:rPr>
                <w:rFonts w:ascii="Candara" w:hAnsi="Candara" w:hint="eastAsia"/>
              </w:rPr>
              <w:t>52</w:t>
            </w:r>
            <w:r w:rsidRPr="001949D7">
              <w:rPr>
                <w:rFonts w:ascii="Candara" w:hAnsi="Candara" w:hint="eastAsia"/>
              </w:rPr>
              <w:t>–</w:t>
            </w:r>
            <w:r w:rsidRPr="001949D7">
              <w:rPr>
                <w:rFonts w:ascii="Candara" w:hAnsi="Candara" w:hint="eastAsia"/>
              </w:rPr>
              <w:t>0</w:t>
            </w:r>
            <w:r w:rsidRPr="001949D7">
              <w:rPr>
                <w:rFonts w:ascii="Candara" w:hAnsi="Candara" w:hint="eastAsia"/>
              </w:rPr>
              <w:t>·</w:t>
            </w:r>
            <w:r w:rsidRPr="001949D7">
              <w:rPr>
                <w:rFonts w:ascii="Candara" w:hAnsi="Candara" w:hint="eastAsia"/>
              </w:rPr>
              <w:t>88) in the ITT population (figure 2A) and RR 0</w:t>
            </w:r>
            <w:r w:rsidRPr="001949D7">
              <w:rPr>
                <w:rFonts w:ascii="Candara" w:hAnsi="Candara" w:hint="eastAsia"/>
              </w:rPr>
              <w:t>·</w:t>
            </w:r>
            <w:r w:rsidRPr="001949D7">
              <w:rPr>
                <w:rFonts w:ascii="Candara" w:hAnsi="Candara" w:hint="eastAsia"/>
              </w:rPr>
              <w:t>69; 95% BCI 0</w:t>
            </w:r>
            <w:r w:rsidRPr="001949D7">
              <w:rPr>
                <w:rFonts w:ascii="Candara" w:hAnsi="Candara" w:hint="eastAsia"/>
              </w:rPr>
              <w:t>·</w:t>
            </w:r>
            <w:r w:rsidRPr="001949D7">
              <w:rPr>
                <w:rFonts w:ascii="Candara" w:hAnsi="Candara" w:hint="eastAsia"/>
              </w:rPr>
              <w:t>53</w:t>
            </w:r>
            <w:r w:rsidRPr="001949D7">
              <w:rPr>
                <w:rFonts w:ascii="Candara" w:hAnsi="Candara" w:hint="eastAsia"/>
              </w:rPr>
              <w:t>–</w:t>
            </w:r>
            <w:r w:rsidRPr="001949D7">
              <w:rPr>
                <w:rFonts w:ascii="Candara" w:hAnsi="Candara" w:hint="eastAsia"/>
              </w:rPr>
              <w:t>0</w:t>
            </w:r>
            <w:r w:rsidRPr="001949D7">
              <w:rPr>
                <w:rFonts w:ascii="Candara" w:hAnsi="Candara" w:hint="eastAsia"/>
              </w:rPr>
              <w:t>·</w:t>
            </w:r>
            <w:r w:rsidRPr="001949D7">
              <w:rPr>
                <w:rFonts w:ascii="Candara" w:hAnsi="Candara" w:hint="eastAsia"/>
              </w:rPr>
              <w:t>90 in a modified ITT population (figure 2B).</w:t>
            </w:r>
          </w:p>
          <w:p w14:paraId="56A751B6" w14:textId="6D0ECB45" w:rsidR="001949D7" w:rsidRPr="001949D7" w:rsidRDefault="001949D7" w:rsidP="001949D7">
            <w:pPr>
              <w:pStyle w:val="a9"/>
              <w:numPr>
                <w:ilvl w:val="0"/>
                <w:numId w:val="7"/>
              </w:numPr>
              <w:rPr>
                <w:rFonts w:ascii="Candara" w:hAnsi="Candara"/>
              </w:rPr>
            </w:pPr>
            <w:r w:rsidRPr="001949D7">
              <w:rPr>
                <w:rFonts w:ascii="Candara" w:hAnsi="Candara" w:hint="eastAsia"/>
              </w:rPr>
              <w:t>Per-protocol analysis showed a larger treatment effect (0</w:t>
            </w:r>
            <w:r w:rsidRPr="001949D7">
              <w:rPr>
                <w:rFonts w:ascii="Candara" w:hAnsi="Candara" w:hint="eastAsia"/>
              </w:rPr>
              <w:t>·</w:t>
            </w:r>
            <w:r w:rsidRPr="001949D7">
              <w:rPr>
                <w:rFonts w:ascii="Candara" w:hAnsi="Candara" w:hint="eastAsia"/>
              </w:rPr>
              <w:t>34, 95% BCI 0</w:t>
            </w:r>
            <w:r w:rsidRPr="001949D7">
              <w:rPr>
                <w:rFonts w:ascii="Candara" w:hAnsi="Candara" w:hint="eastAsia"/>
              </w:rPr>
              <w:t>·</w:t>
            </w:r>
            <w:r w:rsidRPr="001949D7">
              <w:rPr>
                <w:rFonts w:ascii="Candara" w:hAnsi="Candara" w:hint="eastAsia"/>
              </w:rPr>
              <w:t>21</w:t>
            </w:r>
            <w:r w:rsidRPr="001949D7">
              <w:rPr>
                <w:rFonts w:ascii="Candara" w:hAnsi="Candara" w:hint="eastAsia"/>
              </w:rPr>
              <w:t>–</w:t>
            </w:r>
            <w:r w:rsidRPr="001949D7">
              <w:rPr>
                <w:rFonts w:ascii="Candara" w:hAnsi="Candara" w:hint="eastAsia"/>
              </w:rPr>
              <w:t>0</w:t>
            </w:r>
            <w:r w:rsidRPr="001949D7">
              <w:rPr>
                <w:rFonts w:ascii="Candara" w:hAnsi="Candara" w:hint="eastAsia"/>
              </w:rPr>
              <w:t>·</w:t>
            </w:r>
            <w:r w:rsidRPr="001949D7">
              <w:rPr>
                <w:rFonts w:ascii="Candara" w:hAnsi="Candara" w:hint="eastAsia"/>
              </w:rPr>
              <w:t xml:space="preserve">54). </w:t>
            </w:r>
          </w:p>
        </w:tc>
        <w:tc>
          <w:tcPr>
            <w:tcW w:w="2329" w:type="dxa"/>
            <w:vAlign w:val="center"/>
          </w:tcPr>
          <w:p w14:paraId="2358D988" w14:textId="6B5A12C5" w:rsidR="001949D7" w:rsidRPr="00BB14E2" w:rsidRDefault="001949D7" w:rsidP="001949D7">
            <w:pPr>
              <w:rPr>
                <w:rFonts w:ascii="Candara" w:hAnsi="Candara"/>
              </w:rPr>
            </w:pPr>
            <w:r w:rsidRPr="001949D7">
              <w:rPr>
                <w:rFonts w:ascii="Candara" w:hAnsi="Candara" w:hint="eastAsia"/>
              </w:rPr>
              <w:t>e48</w:t>
            </w:r>
          </w:p>
        </w:tc>
      </w:tr>
      <w:tr w:rsidR="001949D7" w:rsidRPr="00BB14E2" w14:paraId="0BE001A0" w14:textId="229DF3D9" w:rsidTr="001949D7">
        <w:tc>
          <w:tcPr>
            <w:tcW w:w="562" w:type="dxa"/>
            <w:vAlign w:val="center"/>
          </w:tcPr>
          <w:p w14:paraId="3CB30D5A" w14:textId="5FDA8212" w:rsidR="001949D7" w:rsidRPr="00BB14E2" w:rsidRDefault="001949D7" w:rsidP="001949D7">
            <w:pPr>
              <w:rPr>
                <w:rFonts w:ascii="Candara" w:hAnsi="Candara"/>
              </w:rPr>
            </w:pPr>
            <w:r w:rsidRPr="00BB14E2">
              <w:rPr>
                <w:rFonts w:ascii="Candara" w:hAnsi="Candara" w:hint="eastAsia"/>
              </w:rPr>
              <w:t>3</w:t>
            </w:r>
          </w:p>
        </w:tc>
        <w:tc>
          <w:tcPr>
            <w:tcW w:w="3287" w:type="dxa"/>
            <w:vAlign w:val="center"/>
          </w:tcPr>
          <w:p w14:paraId="6C62267C" w14:textId="640955C5" w:rsidR="001949D7" w:rsidRPr="00BB14E2" w:rsidRDefault="001949D7" w:rsidP="001949D7">
            <w:pPr>
              <w:rPr>
                <w:rFonts w:ascii="Candara" w:hAnsi="Candara"/>
              </w:rPr>
            </w:pPr>
            <w:r w:rsidRPr="001949D7">
              <w:rPr>
                <w:rFonts w:ascii="Candara" w:hAnsi="Candara" w:hint="eastAsia"/>
              </w:rPr>
              <w:t>Andreas Stahl (2022)</w:t>
            </w:r>
          </w:p>
        </w:tc>
        <w:tc>
          <w:tcPr>
            <w:tcW w:w="7770" w:type="dxa"/>
            <w:vAlign w:val="center"/>
          </w:tcPr>
          <w:p w14:paraId="0C6B4FC5" w14:textId="78666491" w:rsidR="001949D7" w:rsidRPr="001949D7" w:rsidRDefault="001949D7" w:rsidP="001949D7">
            <w:pPr>
              <w:pStyle w:val="a9"/>
              <w:numPr>
                <w:ilvl w:val="0"/>
                <w:numId w:val="8"/>
              </w:numPr>
              <w:rPr>
                <w:rFonts w:ascii="Candara" w:hAnsi="Candara"/>
              </w:rPr>
            </w:pPr>
            <w:r w:rsidRPr="001949D7">
              <w:rPr>
                <w:rFonts w:ascii="Candara" w:hAnsi="Candara" w:hint="eastAsia"/>
              </w:rPr>
              <w:t>The results of the sensitivity analyses and the post hoc analyses to assess the potential effect of missing data or adjusting for a potential investigator site effect were consistent with the primary analysis as was the frequentist analysis</w:t>
            </w:r>
          </w:p>
        </w:tc>
        <w:tc>
          <w:tcPr>
            <w:tcW w:w="2329" w:type="dxa"/>
            <w:vAlign w:val="center"/>
          </w:tcPr>
          <w:p w14:paraId="20A0A393" w14:textId="7C9CB581" w:rsidR="001949D7" w:rsidRPr="00BB14E2" w:rsidRDefault="001949D7" w:rsidP="001949D7">
            <w:pPr>
              <w:rPr>
                <w:rFonts w:ascii="Candara" w:hAnsi="Candara"/>
              </w:rPr>
            </w:pPr>
            <w:r w:rsidRPr="001949D7">
              <w:rPr>
                <w:rFonts w:ascii="Candara" w:hAnsi="Candara" w:hint="eastAsia"/>
              </w:rPr>
              <w:t>354</w:t>
            </w:r>
          </w:p>
        </w:tc>
      </w:tr>
      <w:tr w:rsidR="001949D7" w:rsidRPr="00BB14E2" w14:paraId="48E0AA36" w14:textId="4DB00CC7" w:rsidTr="001949D7">
        <w:tc>
          <w:tcPr>
            <w:tcW w:w="562" w:type="dxa"/>
            <w:vAlign w:val="center"/>
          </w:tcPr>
          <w:p w14:paraId="68966D16" w14:textId="5CBCE4A6" w:rsidR="001949D7" w:rsidRPr="00BB14E2" w:rsidRDefault="001949D7" w:rsidP="001949D7">
            <w:pPr>
              <w:rPr>
                <w:rFonts w:ascii="Candara" w:hAnsi="Candara"/>
              </w:rPr>
            </w:pPr>
            <w:r w:rsidRPr="00BB14E2">
              <w:rPr>
                <w:rFonts w:ascii="Candara" w:hAnsi="Candara" w:hint="eastAsia"/>
              </w:rPr>
              <w:t>4</w:t>
            </w:r>
          </w:p>
        </w:tc>
        <w:tc>
          <w:tcPr>
            <w:tcW w:w="3287" w:type="dxa"/>
            <w:vAlign w:val="center"/>
          </w:tcPr>
          <w:p w14:paraId="2BAB0E6C" w14:textId="552C4CD8" w:rsidR="001949D7" w:rsidRPr="00BB14E2" w:rsidRDefault="001949D7" w:rsidP="001949D7">
            <w:pPr>
              <w:rPr>
                <w:rFonts w:ascii="Candara" w:hAnsi="Candara"/>
              </w:rPr>
            </w:pPr>
            <w:r w:rsidRPr="001949D7">
              <w:rPr>
                <w:rFonts w:ascii="Candara" w:hAnsi="Candara" w:hint="eastAsia"/>
              </w:rPr>
              <w:t xml:space="preserve"> The REMAP</w:t>
            </w:r>
            <w:r w:rsidRPr="001949D7">
              <w:rPr>
                <w:rFonts w:ascii="Candara" w:hAnsi="Candara"/>
              </w:rPr>
              <w:noBreakHyphen/>
            </w:r>
            <w:r w:rsidRPr="001949D7">
              <w:rPr>
                <w:rFonts w:ascii="Candara" w:hAnsi="Candara" w:hint="eastAsia"/>
              </w:rPr>
              <w:t>CAP Investigators (2021)</w:t>
            </w:r>
          </w:p>
        </w:tc>
        <w:tc>
          <w:tcPr>
            <w:tcW w:w="7770" w:type="dxa"/>
            <w:vAlign w:val="center"/>
          </w:tcPr>
          <w:p w14:paraId="23FA09BD" w14:textId="77777777" w:rsidR="001949D7" w:rsidRPr="001949D7" w:rsidRDefault="001949D7" w:rsidP="001949D7">
            <w:pPr>
              <w:pStyle w:val="a9"/>
              <w:numPr>
                <w:ilvl w:val="0"/>
                <w:numId w:val="9"/>
              </w:numPr>
              <w:rPr>
                <w:rFonts w:ascii="Candara" w:hAnsi="Candara"/>
              </w:rPr>
            </w:pPr>
            <w:r w:rsidRPr="001949D7">
              <w:rPr>
                <w:rFonts w:ascii="Candara" w:hAnsi="Candara" w:hint="eastAsia"/>
              </w:rPr>
              <w:t>Secondary Analysis of Primary Outcome, model restricted Immune Modulation Therapy domain patients and other closed domains, with PCR negative patients removed.</w:t>
            </w:r>
          </w:p>
          <w:p w14:paraId="58128E77" w14:textId="77777777" w:rsidR="001949D7" w:rsidRPr="001949D7" w:rsidRDefault="001949D7" w:rsidP="001949D7">
            <w:pPr>
              <w:pStyle w:val="a9"/>
              <w:numPr>
                <w:ilvl w:val="0"/>
                <w:numId w:val="9"/>
              </w:numPr>
              <w:rPr>
                <w:rFonts w:ascii="Candara" w:hAnsi="Candara"/>
              </w:rPr>
            </w:pPr>
            <w:r w:rsidRPr="001949D7">
              <w:rPr>
                <w:rFonts w:ascii="Candara" w:hAnsi="Candara" w:hint="eastAsia"/>
              </w:rPr>
              <w:t xml:space="preserve">Model restricted to the IL-6 RA population only with no treatment interactions included. </w:t>
            </w:r>
          </w:p>
          <w:p w14:paraId="5C552105" w14:textId="23BE56BE" w:rsidR="001949D7" w:rsidRPr="001949D7" w:rsidRDefault="001949D7" w:rsidP="001949D7">
            <w:pPr>
              <w:pStyle w:val="a9"/>
              <w:numPr>
                <w:ilvl w:val="0"/>
                <w:numId w:val="9"/>
              </w:numPr>
              <w:rPr>
                <w:rFonts w:ascii="Candara" w:hAnsi="Candara"/>
              </w:rPr>
            </w:pPr>
            <w:r w:rsidRPr="001949D7">
              <w:rPr>
                <w:rFonts w:ascii="Candara" w:hAnsi="Candara" w:hint="eastAsia"/>
              </w:rPr>
              <w:t xml:space="preserve">Model restricted to Immune Modulation Therapy Domain participants, with no borrowing between IL-6 RA interventions. </w:t>
            </w:r>
          </w:p>
        </w:tc>
        <w:tc>
          <w:tcPr>
            <w:tcW w:w="2329" w:type="dxa"/>
            <w:vAlign w:val="center"/>
          </w:tcPr>
          <w:p w14:paraId="75E707FB" w14:textId="5662188F" w:rsidR="001949D7" w:rsidRPr="00BB14E2" w:rsidRDefault="001949D7" w:rsidP="001949D7">
            <w:pPr>
              <w:rPr>
                <w:rFonts w:ascii="Candara" w:hAnsi="Candara"/>
              </w:rPr>
            </w:pPr>
            <w:r w:rsidRPr="001949D7">
              <w:rPr>
                <w:rFonts w:ascii="Candara" w:hAnsi="Candara" w:hint="eastAsia"/>
              </w:rPr>
              <w:t>30,31</w:t>
            </w:r>
          </w:p>
        </w:tc>
      </w:tr>
      <w:tr w:rsidR="001949D7" w:rsidRPr="00BB14E2" w14:paraId="218931F5" w14:textId="3B2A1248" w:rsidTr="001949D7">
        <w:tc>
          <w:tcPr>
            <w:tcW w:w="562" w:type="dxa"/>
            <w:vAlign w:val="center"/>
          </w:tcPr>
          <w:p w14:paraId="58220043" w14:textId="559C94A9" w:rsidR="001949D7" w:rsidRPr="00BB14E2" w:rsidRDefault="001949D7" w:rsidP="001949D7">
            <w:pPr>
              <w:rPr>
                <w:rFonts w:ascii="Candara" w:hAnsi="Candara"/>
              </w:rPr>
            </w:pPr>
            <w:r w:rsidRPr="00BB14E2">
              <w:rPr>
                <w:rFonts w:ascii="Candara" w:hAnsi="Candara" w:hint="eastAsia"/>
              </w:rPr>
              <w:t>5</w:t>
            </w:r>
          </w:p>
        </w:tc>
        <w:tc>
          <w:tcPr>
            <w:tcW w:w="3287" w:type="dxa"/>
            <w:vAlign w:val="center"/>
          </w:tcPr>
          <w:p w14:paraId="6DEEBAF2" w14:textId="1F8CD1FD" w:rsidR="001949D7" w:rsidRPr="00BB14E2" w:rsidRDefault="001949D7" w:rsidP="001949D7">
            <w:pPr>
              <w:rPr>
                <w:rFonts w:ascii="Candara" w:hAnsi="Candara"/>
              </w:rPr>
            </w:pPr>
            <w:r w:rsidRPr="001949D7">
              <w:rPr>
                <w:rFonts w:ascii="Candara" w:hAnsi="Candara" w:hint="eastAsia"/>
              </w:rPr>
              <w:t>G. Reis (2022)</w:t>
            </w:r>
          </w:p>
        </w:tc>
        <w:tc>
          <w:tcPr>
            <w:tcW w:w="7770" w:type="dxa"/>
            <w:vAlign w:val="center"/>
          </w:tcPr>
          <w:p w14:paraId="7A86D43D" w14:textId="666EE42A" w:rsidR="001949D7" w:rsidRPr="001949D7" w:rsidRDefault="001949D7" w:rsidP="001949D7">
            <w:pPr>
              <w:pStyle w:val="a9"/>
              <w:numPr>
                <w:ilvl w:val="0"/>
                <w:numId w:val="10"/>
              </w:numPr>
              <w:rPr>
                <w:rFonts w:ascii="Candara" w:hAnsi="Candara"/>
              </w:rPr>
            </w:pPr>
            <w:r w:rsidRPr="001949D7">
              <w:rPr>
                <w:rFonts w:ascii="Candara" w:hAnsi="Candara" w:hint="eastAsia"/>
              </w:rPr>
              <w:t>Similar results were observed in the modified intention-to-treat population (relative risk, 0.89; 95% Bayesian credible interval, 0.69 to 1.15).</w:t>
            </w:r>
          </w:p>
        </w:tc>
        <w:tc>
          <w:tcPr>
            <w:tcW w:w="2329" w:type="dxa"/>
            <w:vAlign w:val="center"/>
          </w:tcPr>
          <w:p w14:paraId="580C35C9" w14:textId="36108118" w:rsidR="001949D7" w:rsidRPr="00BB14E2" w:rsidRDefault="001949D7" w:rsidP="001949D7">
            <w:pPr>
              <w:rPr>
                <w:rFonts w:ascii="Candara" w:hAnsi="Candara"/>
              </w:rPr>
            </w:pPr>
            <w:r w:rsidRPr="001949D7">
              <w:rPr>
                <w:rFonts w:ascii="Candara" w:hAnsi="Candara" w:hint="eastAsia"/>
              </w:rPr>
              <w:t>1725</w:t>
            </w:r>
          </w:p>
        </w:tc>
      </w:tr>
      <w:tr w:rsidR="001949D7" w:rsidRPr="00BB14E2" w14:paraId="5A793143" w14:textId="677853DB" w:rsidTr="001949D7">
        <w:tc>
          <w:tcPr>
            <w:tcW w:w="562" w:type="dxa"/>
            <w:vAlign w:val="center"/>
          </w:tcPr>
          <w:p w14:paraId="2578842D" w14:textId="730007DC" w:rsidR="001949D7" w:rsidRPr="00BB14E2" w:rsidRDefault="001949D7" w:rsidP="001949D7">
            <w:pPr>
              <w:rPr>
                <w:rFonts w:ascii="Candara" w:hAnsi="Candara"/>
              </w:rPr>
            </w:pPr>
            <w:r w:rsidRPr="00BB14E2">
              <w:rPr>
                <w:rFonts w:ascii="Candara" w:hAnsi="Candara" w:hint="eastAsia"/>
              </w:rPr>
              <w:lastRenderedPageBreak/>
              <w:t>6</w:t>
            </w:r>
          </w:p>
        </w:tc>
        <w:tc>
          <w:tcPr>
            <w:tcW w:w="3287" w:type="dxa"/>
            <w:vAlign w:val="center"/>
          </w:tcPr>
          <w:p w14:paraId="274E38FB" w14:textId="78609061" w:rsidR="001949D7" w:rsidRPr="00BB14E2" w:rsidRDefault="001949D7" w:rsidP="001949D7">
            <w:pPr>
              <w:rPr>
                <w:rFonts w:ascii="Candara" w:hAnsi="Candara"/>
              </w:rPr>
            </w:pPr>
            <w:r w:rsidRPr="001949D7">
              <w:rPr>
                <w:rFonts w:ascii="Candara" w:hAnsi="Candara" w:hint="eastAsia"/>
              </w:rPr>
              <w:t>Michael F. Robinson (2020)</w:t>
            </w:r>
          </w:p>
        </w:tc>
        <w:tc>
          <w:tcPr>
            <w:tcW w:w="7770" w:type="dxa"/>
            <w:vAlign w:val="center"/>
          </w:tcPr>
          <w:p w14:paraId="7EECB8C4" w14:textId="2D2D1758" w:rsidR="001949D7" w:rsidRPr="001949D7" w:rsidRDefault="001949D7" w:rsidP="001949D7">
            <w:pPr>
              <w:pStyle w:val="a9"/>
              <w:numPr>
                <w:ilvl w:val="0"/>
                <w:numId w:val="11"/>
              </w:numPr>
              <w:rPr>
                <w:rFonts w:ascii="Candara" w:hAnsi="Candara"/>
              </w:rPr>
            </w:pPr>
            <w:r w:rsidRPr="001949D7">
              <w:rPr>
                <w:rFonts w:ascii="Candara" w:hAnsi="Candara" w:hint="eastAsia"/>
              </w:rPr>
              <w:t>Two modifications to the primary analysis population (excluding 5 patients after applying the inclusion/exclusion criteria and 4 patients who did not complete the week 8 visit) produced similar estimates of the significant treatment effect.</w:t>
            </w:r>
          </w:p>
        </w:tc>
        <w:tc>
          <w:tcPr>
            <w:tcW w:w="2329" w:type="dxa"/>
            <w:vAlign w:val="center"/>
          </w:tcPr>
          <w:p w14:paraId="0E35F1B9" w14:textId="43B281AE" w:rsidR="001949D7" w:rsidRPr="00BB14E2" w:rsidRDefault="001949D7" w:rsidP="001949D7">
            <w:pPr>
              <w:rPr>
                <w:rFonts w:ascii="Candara" w:hAnsi="Candara"/>
              </w:rPr>
            </w:pPr>
            <w:r w:rsidRPr="001949D7">
              <w:rPr>
                <w:rFonts w:ascii="Candara" w:hAnsi="Candara" w:hint="eastAsia"/>
              </w:rPr>
              <w:t>1625</w:t>
            </w:r>
          </w:p>
        </w:tc>
      </w:tr>
      <w:tr w:rsidR="001949D7" w:rsidRPr="00BB14E2" w14:paraId="386149E5" w14:textId="4686EEAB" w:rsidTr="001949D7">
        <w:tc>
          <w:tcPr>
            <w:tcW w:w="562" w:type="dxa"/>
            <w:vAlign w:val="center"/>
          </w:tcPr>
          <w:p w14:paraId="39DEAA3B" w14:textId="633A7569" w:rsidR="001949D7" w:rsidRPr="00BB14E2" w:rsidRDefault="001949D7" w:rsidP="001949D7">
            <w:pPr>
              <w:rPr>
                <w:rFonts w:ascii="Candara" w:hAnsi="Candara"/>
              </w:rPr>
            </w:pPr>
            <w:r w:rsidRPr="00BB14E2">
              <w:rPr>
                <w:rFonts w:ascii="Candara" w:hAnsi="Candara" w:hint="eastAsia"/>
              </w:rPr>
              <w:t>7</w:t>
            </w:r>
          </w:p>
        </w:tc>
        <w:tc>
          <w:tcPr>
            <w:tcW w:w="3287" w:type="dxa"/>
            <w:vAlign w:val="center"/>
          </w:tcPr>
          <w:p w14:paraId="7663AD21" w14:textId="2B8FBF4B" w:rsidR="001949D7" w:rsidRPr="00BB14E2" w:rsidRDefault="001949D7" w:rsidP="001949D7">
            <w:pPr>
              <w:rPr>
                <w:rFonts w:ascii="Candara" w:hAnsi="Candara"/>
              </w:rPr>
            </w:pPr>
            <w:r w:rsidRPr="001949D7">
              <w:rPr>
                <w:rFonts w:ascii="Candara" w:hAnsi="Candara" w:hint="eastAsia"/>
              </w:rPr>
              <w:t>The REMAP-CAP Investigators (2023)</w:t>
            </w:r>
          </w:p>
        </w:tc>
        <w:tc>
          <w:tcPr>
            <w:tcW w:w="7770" w:type="dxa"/>
            <w:vAlign w:val="center"/>
          </w:tcPr>
          <w:p w14:paraId="68F5CA5D" w14:textId="61D7C256" w:rsidR="001949D7" w:rsidRPr="001949D7" w:rsidRDefault="001949D7" w:rsidP="001949D7">
            <w:pPr>
              <w:pStyle w:val="a9"/>
              <w:numPr>
                <w:ilvl w:val="0"/>
                <w:numId w:val="12"/>
              </w:numPr>
              <w:rPr>
                <w:rFonts w:ascii="Candara" w:hAnsi="Candara"/>
              </w:rPr>
            </w:pPr>
            <w:r w:rsidRPr="001949D7">
              <w:rPr>
                <w:rFonts w:ascii="Candara" w:hAnsi="Candara" w:hint="eastAsia"/>
              </w:rPr>
              <w:t>Sensitivity Analysis of Primary Outcome, model restricted to Simvastatin domain patients and other closed domains, with no borrowing on Simvastatin effect across patient groups</w:t>
            </w:r>
            <w:r>
              <w:rPr>
                <w:rFonts w:ascii="Candara" w:hAnsi="Candara" w:hint="eastAsia"/>
              </w:rPr>
              <w:t>.</w:t>
            </w:r>
          </w:p>
        </w:tc>
        <w:tc>
          <w:tcPr>
            <w:tcW w:w="2329" w:type="dxa"/>
            <w:vAlign w:val="center"/>
          </w:tcPr>
          <w:p w14:paraId="417EF342" w14:textId="6E498BF4" w:rsidR="001949D7" w:rsidRPr="00BB14E2" w:rsidRDefault="001949D7" w:rsidP="001949D7">
            <w:pPr>
              <w:rPr>
                <w:rFonts w:ascii="Candara" w:hAnsi="Candara"/>
              </w:rPr>
            </w:pPr>
            <w:r w:rsidRPr="001949D7">
              <w:rPr>
                <w:rFonts w:ascii="Candara" w:hAnsi="Candara" w:hint="eastAsia"/>
              </w:rPr>
              <w:t>44</w:t>
            </w:r>
          </w:p>
        </w:tc>
      </w:tr>
      <w:tr w:rsidR="001949D7" w:rsidRPr="00BB14E2" w14:paraId="0376A7A6" w14:textId="3E46FC59" w:rsidTr="001949D7">
        <w:tc>
          <w:tcPr>
            <w:tcW w:w="562" w:type="dxa"/>
            <w:vAlign w:val="center"/>
          </w:tcPr>
          <w:p w14:paraId="54E18719" w14:textId="54B72BF6" w:rsidR="001949D7" w:rsidRPr="00BB14E2" w:rsidRDefault="001949D7" w:rsidP="001949D7">
            <w:pPr>
              <w:rPr>
                <w:rFonts w:ascii="Candara" w:hAnsi="Candara"/>
              </w:rPr>
            </w:pPr>
            <w:r w:rsidRPr="00BB14E2">
              <w:rPr>
                <w:rFonts w:ascii="Candara" w:hAnsi="Candara" w:hint="eastAsia"/>
              </w:rPr>
              <w:t>8</w:t>
            </w:r>
          </w:p>
        </w:tc>
        <w:tc>
          <w:tcPr>
            <w:tcW w:w="3287" w:type="dxa"/>
            <w:vAlign w:val="center"/>
          </w:tcPr>
          <w:p w14:paraId="075CB68E" w14:textId="44AA6302" w:rsidR="001949D7" w:rsidRPr="00BB14E2" w:rsidRDefault="001949D7" w:rsidP="001949D7">
            <w:pPr>
              <w:rPr>
                <w:rFonts w:ascii="Candara" w:hAnsi="Candara"/>
              </w:rPr>
            </w:pPr>
            <w:r w:rsidRPr="001949D7">
              <w:rPr>
                <w:rFonts w:ascii="Candara" w:hAnsi="Candara" w:hint="eastAsia"/>
              </w:rPr>
              <w:t>Juan F Iglesias (2019)</w:t>
            </w:r>
          </w:p>
        </w:tc>
        <w:tc>
          <w:tcPr>
            <w:tcW w:w="7770" w:type="dxa"/>
            <w:vAlign w:val="center"/>
          </w:tcPr>
          <w:p w14:paraId="5AC18E98" w14:textId="77777777" w:rsidR="001949D7" w:rsidRPr="001949D7" w:rsidRDefault="001949D7" w:rsidP="001949D7">
            <w:pPr>
              <w:pStyle w:val="a9"/>
              <w:numPr>
                <w:ilvl w:val="0"/>
                <w:numId w:val="13"/>
              </w:numPr>
              <w:rPr>
                <w:rFonts w:ascii="Candara" w:hAnsi="Candara"/>
              </w:rPr>
            </w:pPr>
            <w:r w:rsidRPr="001949D7">
              <w:rPr>
                <w:rFonts w:ascii="Candara" w:hAnsi="Candara" w:hint="eastAsia"/>
              </w:rPr>
              <w:t>Clinical outcomes and Bayesian posterior probabilities with and without inclusion of historical information from the cohort of patients with acute STEMI in the BIOSCIENCE trial in the robust prior are provided in the appendix (pp 5</w:t>
            </w:r>
            <w:r w:rsidRPr="001949D7">
              <w:rPr>
                <w:rFonts w:ascii="Candara" w:hAnsi="Candara" w:hint="eastAsia"/>
              </w:rPr>
              <w:t>–</w:t>
            </w:r>
            <w:r w:rsidRPr="001949D7">
              <w:rPr>
                <w:rFonts w:ascii="Candara" w:hAnsi="Candara" w:hint="eastAsia"/>
              </w:rPr>
              <w:t xml:space="preserve">6). </w:t>
            </w:r>
          </w:p>
          <w:p w14:paraId="0AD40955" w14:textId="0CDB791A" w:rsidR="001949D7" w:rsidRPr="001949D7" w:rsidRDefault="001949D7" w:rsidP="001949D7">
            <w:pPr>
              <w:pStyle w:val="a9"/>
              <w:numPr>
                <w:ilvl w:val="0"/>
                <w:numId w:val="13"/>
              </w:numPr>
              <w:rPr>
                <w:rFonts w:ascii="Candara" w:hAnsi="Candara"/>
              </w:rPr>
            </w:pPr>
            <w:r w:rsidRPr="001949D7">
              <w:rPr>
                <w:rFonts w:ascii="Candara" w:hAnsi="Candara" w:hint="eastAsia"/>
              </w:rPr>
              <w:t>The RR of the primary endpoint of target lesion failure was 0</w:t>
            </w:r>
            <w:r w:rsidRPr="001949D7">
              <w:rPr>
                <w:rFonts w:ascii="Candara" w:hAnsi="Candara" w:hint="eastAsia"/>
              </w:rPr>
              <w:t>·</w:t>
            </w:r>
            <w:r w:rsidRPr="001949D7">
              <w:rPr>
                <w:rFonts w:ascii="Candara" w:hAnsi="Candara" w:hint="eastAsia"/>
              </w:rPr>
              <w:t>69 (95% Bayesian CrI 0</w:t>
            </w:r>
            <w:r w:rsidRPr="001949D7">
              <w:rPr>
                <w:rFonts w:ascii="Candara" w:hAnsi="Candara" w:hint="eastAsia"/>
              </w:rPr>
              <w:t>·</w:t>
            </w:r>
            <w:r w:rsidRPr="001949D7">
              <w:rPr>
                <w:rFonts w:ascii="Candara" w:hAnsi="Candara" w:hint="eastAsia"/>
              </w:rPr>
              <w:t>41</w:t>
            </w:r>
            <w:r w:rsidRPr="001949D7">
              <w:rPr>
                <w:rFonts w:ascii="Candara" w:hAnsi="Candara" w:hint="eastAsia"/>
              </w:rPr>
              <w:t>–</w:t>
            </w:r>
            <w:r w:rsidRPr="001949D7">
              <w:rPr>
                <w:rFonts w:ascii="Candara" w:hAnsi="Candara" w:hint="eastAsia"/>
              </w:rPr>
              <w:t>1</w:t>
            </w:r>
            <w:r w:rsidRPr="001949D7">
              <w:rPr>
                <w:rFonts w:ascii="Candara" w:hAnsi="Candara" w:hint="eastAsia"/>
              </w:rPr>
              <w:t>·</w:t>
            </w:r>
            <w:r w:rsidRPr="001949D7">
              <w:rPr>
                <w:rFonts w:ascii="Candara" w:hAnsi="Candara" w:hint="eastAsia"/>
              </w:rPr>
              <w:t>15), with a posterior probability of superiority of 0</w:t>
            </w:r>
            <w:r w:rsidRPr="001949D7">
              <w:rPr>
                <w:rFonts w:ascii="Candara" w:hAnsi="Candara" w:hint="eastAsia"/>
              </w:rPr>
              <w:t>·</w:t>
            </w:r>
            <w:r w:rsidRPr="001949D7">
              <w:rPr>
                <w:rFonts w:ascii="Candara" w:hAnsi="Candara" w:hint="eastAsia"/>
              </w:rPr>
              <w:t>923, which increased to 0</w:t>
            </w:r>
            <w:r w:rsidRPr="001949D7">
              <w:rPr>
                <w:rFonts w:ascii="Candara" w:hAnsi="Candara" w:hint="eastAsia"/>
              </w:rPr>
              <w:t>·</w:t>
            </w:r>
            <w:r w:rsidRPr="001949D7">
              <w:rPr>
                <w:rFonts w:ascii="Candara" w:hAnsi="Candara" w:hint="eastAsia"/>
              </w:rPr>
              <w:t>986 after incorporation of historical information.</w:t>
            </w:r>
          </w:p>
        </w:tc>
        <w:tc>
          <w:tcPr>
            <w:tcW w:w="2329" w:type="dxa"/>
            <w:vAlign w:val="center"/>
          </w:tcPr>
          <w:p w14:paraId="444BC636" w14:textId="6DA9DD48" w:rsidR="001949D7" w:rsidRPr="00BB14E2" w:rsidRDefault="001949D7" w:rsidP="001949D7">
            <w:pPr>
              <w:rPr>
                <w:rFonts w:ascii="Candara" w:hAnsi="Candara"/>
              </w:rPr>
            </w:pPr>
            <w:r w:rsidRPr="001949D7">
              <w:rPr>
                <w:rFonts w:ascii="Candara" w:hAnsi="Candara" w:hint="eastAsia"/>
              </w:rPr>
              <w:t>1249</w:t>
            </w:r>
          </w:p>
        </w:tc>
      </w:tr>
      <w:tr w:rsidR="001949D7" w:rsidRPr="00BB14E2" w14:paraId="07A1896D" w14:textId="29FFE454" w:rsidTr="001949D7">
        <w:tc>
          <w:tcPr>
            <w:tcW w:w="562" w:type="dxa"/>
            <w:vAlign w:val="center"/>
          </w:tcPr>
          <w:p w14:paraId="488D837D" w14:textId="121E6F03" w:rsidR="001949D7" w:rsidRPr="00BB14E2" w:rsidRDefault="001949D7" w:rsidP="001949D7">
            <w:pPr>
              <w:rPr>
                <w:rFonts w:ascii="Candara" w:hAnsi="Candara"/>
              </w:rPr>
            </w:pPr>
            <w:r w:rsidRPr="00BB14E2">
              <w:rPr>
                <w:rFonts w:ascii="Candara" w:hAnsi="Candara" w:hint="eastAsia"/>
              </w:rPr>
              <w:t>9</w:t>
            </w:r>
          </w:p>
        </w:tc>
        <w:tc>
          <w:tcPr>
            <w:tcW w:w="3287" w:type="dxa"/>
            <w:vAlign w:val="center"/>
          </w:tcPr>
          <w:p w14:paraId="7A0A2D65" w14:textId="57A5177F" w:rsidR="001949D7" w:rsidRPr="00BB14E2" w:rsidRDefault="001949D7" w:rsidP="001949D7">
            <w:pPr>
              <w:rPr>
                <w:rFonts w:ascii="Candara" w:hAnsi="Candara"/>
              </w:rPr>
            </w:pPr>
            <w:r w:rsidRPr="001949D7">
              <w:rPr>
                <w:rFonts w:ascii="Candara" w:hAnsi="Candara" w:hint="eastAsia"/>
              </w:rPr>
              <w:t>Alessandro Gronchi (2024)</w:t>
            </w:r>
          </w:p>
        </w:tc>
        <w:tc>
          <w:tcPr>
            <w:tcW w:w="7770" w:type="dxa"/>
            <w:vAlign w:val="center"/>
          </w:tcPr>
          <w:p w14:paraId="10FA48A9" w14:textId="77777777" w:rsidR="001949D7" w:rsidRPr="001949D7" w:rsidRDefault="001949D7" w:rsidP="001949D7">
            <w:pPr>
              <w:pStyle w:val="a9"/>
              <w:numPr>
                <w:ilvl w:val="0"/>
                <w:numId w:val="14"/>
              </w:numPr>
              <w:rPr>
                <w:rFonts w:ascii="Candara" w:hAnsi="Candara"/>
              </w:rPr>
            </w:pPr>
            <w:r w:rsidRPr="001949D7">
              <w:rPr>
                <w:rFonts w:ascii="Candara" w:hAnsi="Candara" w:hint="eastAsia"/>
              </w:rPr>
              <w:t xml:space="preserve">The corresponding DFS probabilities at 60 months were 0.73 (95% CI, 0.58 to 0.83) in the S arm and 0.86 (95% CI, 0.68 to 0.94) in the HT arm (Fig 2A; log-rank P 5 .26). </w:t>
            </w:r>
          </w:p>
          <w:p w14:paraId="737C6E54" w14:textId="3092F629" w:rsidR="001949D7" w:rsidRPr="001949D7" w:rsidRDefault="001949D7" w:rsidP="001949D7">
            <w:pPr>
              <w:pStyle w:val="a9"/>
              <w:numPr>
                <w:ilvl w:val="0"/>
                <w:numId w:val="14"/>
              </w:numPr>
              <w:rPr>
                <w:rFonts w:ascii="Candara" w:hAnsi="Candara"/>
              </w:rPr>
            </w:pPr>
            <w:r w:rsidRPr="001949D7">
              <w:rPr>
                <w:rFonts w:ascii="Candara" w:hAnsi="Candara" w:hint="eastAsia"/>
              </w:rPr>
              <w:t>The PP analysis performed on 97 patients (55 in the S arm and 42 in the HT arm) yielded consistent results, with an HR of 0.53 (95% CI, 0.21 to 1.38; log-rank P 5 .20; 21 recurrences) and a posterior probability of HR being &gt;1.25 equal to 3.63%, also supporting trabectedin noninferiority.</w:t>
            </w:r>
          </w:p>
        </w:tc>
        <w:tc>
          <w:tcPr>
            <w:tcW w:w="2329" w:type="dxa"/>
            <w:vAlign w:val="center"/>
          </w:tcPr>
          <w:p w14:paraId="58E734C5" w14:textId="5FEF25FE" w:rsidR="001949D7" w:rsidRPr="00BB14E2" w:rsidRDefault="001949D7" w:rsidP="001949D7">
            <w:pPr>
              <w:rPr>
                <w:rFonts w:ascii="Candara" w:hAnsi="Candara"/>
              </w:rPr>
            </w:pPr>
            <w:r w:rsidRPr="001949D7">
              <w:rPr>
                <w:rFonts w:ascii="Candara" w:hAnsi="Candara" w:hint="eastAsia"/>
              </w:rPr>
              <w:t>902</w:t>
            </w:r>
          </w:p>
        </w:tc>
      </w:tr>
      <w:tr w:rsidR="001949D7" w:rsidRPr="00BB14E2" w14:paraId="2B155C2A" w14:textId="38E043A2" w:rsidTr="001949D7">
        <w:tc>
          <w:tcPr>
            <w:tcW w:w="562" w:type="dxa"/>
            <w:vAlign w:val="center"/>
          </w:tcPr>
          <w:p w14:paraId="536965F5" w14:textId="64E1474B" w:rsidR="001949D7" w:rsidRPr="00BB14E2" w:rsidRDefault="001949D7" w:rsidP="001949D7">
            <w:pPr>
              <w:rPr>
                <w:rFonts w:ascii="Candara" w:hAnsi="Candara"/>
              </w:rPr>
            </w:pPr>
            <w:r w:rsidRPr="00BB14E2">
              <w:rPr>
                <w:rFonts w:ascii="Candara" w:hAnsi="Candara" w:hint="eastAsia"/>
              </w:rPr>
              <w:t>10</w:t>
            </w:r>
          </w:p>
        </w:tc>
        <w:tc>
          <w:tcPr>
            <w:tcW w:w="3287" w:type="dxa"/>
            <w:vAlign w:val="center"/>
          </w:tcPr>
          <w:p w14:paraId="5B21C648" w14:textId="73833FD2" w:rsidR="001949D7" w:rsidRPr="00BB14E2" w:rsidRDefault="001949D7" w:rsidP="001949D7">
            <w:pPr>
              <w:rPr>
                <w:rFonts w:ascii="Candara" w:hAnsi="Candara"/>
              </w:rPr>
            </w:pPr>
            <w:r w:rsidRPr="001949D7">
              <w:rPr>
                <w:rFonts w:ascii="Candara" w:hAnsi="Candara" w:hint="eastAsia"/>
              </w:rPr>
              <w:t xml:space="preserve">The I-SPY COVID Consortium </w:t>
            </w:r>
            <w:r w:rsidRPr="001949D7">
              <w:rPr>
                <w:rFonts w:ascii="Candara" w:hAnsi="Candara" w:hint="eastAsia"/>
              </w:rPr>
              <w:t>（</w:t>
            </w:r>
            <w:r w:rsidRPr="001949D7">
              <w:rPr>
                <w:rFonts w:ascii="Candara" w:hAnsi="Candara" w:hint="eastAsia"/>
              </w:rPr>
              <w:t>2023</w:t>
            </w:r>
            <w:r w:rsidRPr="001949D7">
              <w:rPr>
                <w:rFonts w:ascii="Candara" w:hAnsi="Candara" w:hint="eastAsia"/>
              </w:rPr>
              <w:t>）</w:t>
            </w:r>
          </w:p>
        </w:tc>
        <w:tc>
          <w:tcPr>
            <w:tcW w:w="7770" w:type="dxa"/>
            <w:vAlign w:val="center"/>
          </w:tcPr>
          <w:p w14:paraId="39C08E06" w14:textId="1E9ABECC" w:rsidR="001949D7" w:rsidRPr="001949D7" w:rsidRDefault="001949D7" w:rsidP="001949D7">
            <w:pPr>
              <w:pStyle w:val="a9"/>
              <w:numPr>
                <w:ilvl w:val="0"/>
                <w:numId w:val="15"/>
              </w:numPr>
              <w:rPr>
                <w:rFonts w:ascii="Candara" w:hAnsi="Candara"/>
              </w:rPr>
            </w:pPr>
            <w:r w:rsidRPr="001949D7">
              <w:rPr>
                <w:rFonts w:ascii="Candara" w:hAnsi="Candara" w:hint="eastAsia"/>
              </w:rPr>
              <w:t>These patients were censored for the primary analyses, and a sensitivity analysis treating these patients as recovered did not substantively impact the results.</w:t>
            </w:r>
          </w:p>
        </w:tc>
        <w:tc>
          <w:tcPr>
            <w:tcW w:w="2329" w:type="dxa"/>
            <w:vAlign w:val="center"/>
          </w:tcPr>
          <w:p w14:paraId="0E8F5E12" w14:textId="0A103A4D" w:rsidR="001949D7" w:rsidRPr="00BB14E2" w:rsidRDefault="001949D7" w:rsidP="001949D7">
            <w:pPr>
              <w:rPr>
                <w:rFonts w:ascii="Candara" w:hAnsi="Candara"/>
              </w:rPr>
            </w:pPr>
            <w:r w:rsidRPr="001949D7">
              <w:rPr>
                <w:rFonts w:ascii="Candara" w:hAnsi="Candara" w:hint="eastAsia"/>
              </w:rPr>
              <w:t>7</w:t>
            </w:r>
          </w:p>
        </w:tc>
      </w:tr>
      <w:tr w:rsidR="001949D7" w:rsidRPr="00BB14E2" w14:paraId="095C8267" w14:textId="2D187F34" w:rsidTr="001949D7">
        <w:tc>
          <w:tcPr>
            <w:tcW w:w="562" w:type="dxa"/>
            <w:vAlign w:val="center"/>
          </w:tcPr>
          <w:p w14:paraId="7F0556F7" w14:textId="0ADE7A1C" w:rsidR="001949D7" w:rsidRPr="00BB14E2" w:rsidRDefault="001949D7" w:rsidP="001949D7">
            <w:pPr>
              <w:rPr>
                <w:rFonts w:ascii="Candara" w:hAnsi="Candara"/>
              </w:rPr>
            </w:pPr>
            <w:r w:rsidRPr="00BB14E2">
              <w:rPr>
                <w:rFonts w:ascii="Candara" w:hAnsi="Candara" w:hint="eastAsia"/>
              </w:rPr>
              <w:t>11</w:t>
            </w:r>
          </w:p>
        </w:tc>
        <w:tc>
          <w:tcPr>
            <w:tcW w:w="3287" w:type="dxa"/>
            <w:vAlign w:val="center"/>
          </w:tcPr>
          <w:p w14:paraId="6D7D84E2" w14:textId="0D344F95" w:rsidR="001949D7" w:rsidRPr="00BB14E2" w:rsidRDefault="001949D7" w:rsidP="001949D7">
            <w:pPr>
              <w:rPr>
                <w:rFonts w:ascii="Candara" w:hAnsi="Candara"/>
              </w:rPr>
            </w:pPr>
            <w:r w:rsidRPr="001949D7">
              <w:rPr>
                <w:rFonts w:ascii="Candara" w:hAnsi="Candara"/>
              </w:rPr>
              <w:t>Olivier Hermine (2021)</w:t>
            </w:r>
          </w:p>
        </w:tc>
        <w:tc>
          <w:tcPr>
            <w:tcW w:w="7770" w:type="dxa"/>
            <w:vAlign w:val="center"/>
          </w:tcPr>
          <w:p w14:paraId="0E1F5DF1" w14:textId="77777777" w:rsidR="001949D7" w:rsidRDefault="001949D7" w:rsidP="001949D7">
            <w:pPr>
              <w:pStyle w:val="a9"/>
              <w:numPr>
                <w:ilvl w:val="0"/>
                <w:numId w:val="16"/>
              </w:numPr>
              <w:rPr>
                <w:rFonts w:ascii="Candara" w:hAnsi="Candara"/>
              </w:rPr>
            </w:pPr>
            <w:r w:rsidRPr="001949D7">
              <w:rPr>
                <w:rFonts w:ascii="Candara" w:hAnsi="Candara" w:hint="eastAsia"/>
              </w:rPr>
              <w:t>eFigure 2. Sensitivity to the prior distribution.</w:t>
            </w:r>
          </w:p>
          <w:p w14:paraId="035FB2D7" w14:textId="646396E1" w:rsidR="001949D7" w:rsidRPr="001949D7" w:rsidRDefault="001949D7" w:rsidP="001949D7">
            <w:pPr>
              <w:pStyle w:val="a9"/>
              <w:numPr>
                <w:ilvl w:val="0"/>
                <w:numId w:val="16"/>
              </w:numPr>
              <w:rPr>
                <w:rFonts w:ascii="Candara" w:hAnsi="Candara"/>
              </w:rPr>
            </w:pPr>
            <w:r w:rsidRPr="001949D7">
              <w:rPr>
                <w:rFonts w:ascii="Candara" w:hAnsi="Candara" w:hint="eastAsia"/>
              </w:rPr>
              <w:t>eTable 5. Sensitivity analyses for the primary outcome.</w:t>
            </w:r>
          </w:p>
        </w:tc>
        <w:tc>
          <w:tcPr>
            <w:tcW w:w="2329" w:type="dxa"/>
            <w:vAlign w:val="center"/>
          </w:tcPr>
          <w:p w14:paraId="1FD4BD3E" w14:textId="387D93A9" w:rsidR="001949D7" w:rsidRPr="00BB14E2" w:rsidRDefault="001949D7" w:rsidP="001949D7">
            <w:pPr>
              <w:rPr>
                <w:rFonts w:ascii="Candara" w:hAnsi="Candara"/>
              </w:rPr>
            </w:pPr>
            <w:r w:rsidRPr="001949D7">
              <w:rPr>
                <w:rFonts w:ascii="Candara" w:hAnsi="Candara" w:hint="eastAsia"/>
              </w:rPr>
              <w:t>7</w:t>
            </w:r>
            <w:r w:rsidR="00716B9D">
              <w:rPr>
                <w:rFonts w:ascii="Candara" w:hAnsi="Candara" w:hint="eastAsia"/>
              </w:rPr>
              <w:t xml:space="preserve">, </w:t>
            </w:r>
            <w:r w:rsidRPr="001949D7">
              <w:rPr>
                <w:rFonts w:ascii="Candara" w:hAnsi="Candara" w:hint="eastAsia"/>
              </w:rPr>
              <w:t>11</w:t>
            </w:r>
          </w:p>
        </w:tc>
      </w:tr>
      <w:tr w:rsidR="001949D7" w:rsidRPr="00BB14E2" w14:paraId="53575B9A" w14:textId="3F6CB4B6" w:rsidTr="001949D7">
        <w:tc>
          <w:tcPr>
            <w:tcW w:w="562" w:type="dxa"/>
            <w:vAlign w:val="center"/>
          </w:tcPr>
          <w:p w14:paraId="3F5C757C" w14:textId="4031F68C" w:rsidR="001949D7" w:rsidRPr="00BB14E2" w:rsidRDefault="001949D7" w:rsidP="001949D7">
            <w:pPr>
              <w:rPr>
                <w:rFonts w:ascii="Candara" w:hAnsi="Candara"/>
              </w:rPr>
            </w:pPr>
            <w:r w:rsidRPr="00BB14E2">
              <w:rPr>
                <w:rFonts w:ascii="Candara" w:hAnsi="Candara" w:hint="eastAsia"/>
              </w:rPr>
              <w:t>12</w:t>
            </w:r>
          </w:p>
        </w:tc>
        <w:tc>
          <w:tcPr>
            <w:tcW w:w="3287" w:type="dxa"/>
            <w:vAlign w:val="center"/>
          </w:tcPr>
          <w:p w14:paraId="3D0367E9" w14:textId="2ADDB702" w:rsidR="001949D7" w:rsidRPr="00BB14E2" w:rsidRDefault="001949D7" w:rsidP="001949D7">
            <w:pPr>
              <w:rPr>
                <w:rFonts w:ascii="Candara" w:hAnsi="Candara"/>
              </w:rPr>
            </w:pPr>
            <w:r w:rsidRPr="001949D7">
              <w:rPr>
                <w:rFonts w:ascii="Candara" w:hAnsi="Candara" w:hint="eastAsia"/>
              </w:rPr>
              <w:t>Susan E Carlson (2021)</w:t>
            </w:r>
          </w:p>
        </w:tc>
        <w:tc>
          <w:tcPr>
            <w:tcW w:w="7770" w:type="dxa"/>
            <w:vAlign w:val="center"/>
          </w:tcPr>
          <w:p w14:paraId="09A9B76B" w14:textId="77777777" w:rsidR="001949D7" w:rsidRPr="001949D7" w:rsidRDefault="001949D7" w:rsidP="001949D7">
            <w:pPr>
              <w:pStyle w:val="a9"/>
              <w:numPr>
                <w:ilvl w:val="0"/>
                <w:numId w:val="17"/>
              </w:numPr>
              <w:rPr>
                <w:rFonts w:ascii="Candara" w:hAnsi="Candara"/>
              </w:rPr>
            </w:pPr>
            <w:r w:rsidRPr="001949D7">
              <w:rPr>
                <w:rFonts w:ascii="Candara" w:hAnsi="Candara"/>
              </w:rPr>
              <w:t>Modelled</w:t>
            </w:r>
            <w:r w:rsidRPr="001949D7">
              <w:rPr>
                <w:rFonts w:ascii="Candara" w:hAnsi="Candara" w:hint="eastAsia"/>
              </w:rPr>
              <w:t xml:space="preserve"> as time-to-event, the posterior probability means and 95% Bayesian credible interval rates were 1.7% (CI 0.8%, 2.8%) for 1000 mg and 2.9% (CI 1.6%,4.3%) for 200 mg (pp=0.91). </w:t>
            </w:r>
          </w:p>
          <w:p w14:paraId="46B61BDA" w14:textId="7E9A89E9" w:rsidR="001949D7" w:rsidRPr="001949D7" w:rsidRDefault="001949D7" w:rsidP="001949D7">
            <w:pPr>
              <w:pStyle w:val="a9"/>
              <w:numPr>
                <w:ilvl w:val="0"/>
                <w:numId w:val="17"/>
              </w:numPr>
              <w:rPr>
                <w:rFonts w:ascii="Candara" w:hAnsi="Candara"/>
              </w:rPr>
            </w:pPr>
            <w:r w:rsidRPr="001949D7">
              <w:rPr>
                <w:rFonts w:ascii="Candara" w:hAnsi="Candara" w:hint="eastAsia"/>
              </w:rPr>
              <w:t xml:space="preserve">Participants enrolling with low DHA status had an observed EPB rate of 2.0% </w:t>
            </w:r>
            <w:r w:rsidRPr="001949D7">
              <w:rPr>
                <w:rFonts w:ascii="Candara" w:hAnsi="Candara" w:hint="eastAsia"/>
              </w:rPr>
              <w:lastRenderedPageBreak/>
              <w:t>(5/249) if assigned to 1000 mg and 4.1% (9/219) if assigned to 200 mg.</w:t>
            </w:r>
          </w:p>
        </w:tc>
        <w:tc>
          <w:tcPr>
            <w:tcW w:w="2329" w:type="dxa"/>
            <w:vAlign w:val="center"/>
          </w:tcPr>
          <w:p w14:paraId="485D8501" w14:textId="6C5161B1" w:rsidR="001949D7" w:rsidRPr="00BB14E2" w:rsidRDefault="001949D7" w:rsidP="001949D7">
            <w:pPr>
              <w:rPr>
                <w:rFonts w:ascii="Candara" w:hAnsi="Candara"/>
              </w:rPr>
            </w:pPr>
            <w:r w:rsidRPr="001949D7">
              <w:rPr>
                <w:rFonts w:ascii="Candara" w:hAnsi="Candara" w:hint="eastAsia"/>
              </w:rPr>
              <w:lastRenderedPageBreak/>
              <w:t>5</w:t>
            </w:r>
          </w:p>
        </w:tc>
      </w:tr>
      <w:tr w:rsidR="001949D7" w:rsidRPr="00BB14E2" w14:paraId="2D0F8C42" w14:textId="46C45DDD" w:rsidTr="001949D7">
        <w:tc>
          <w:tcPr>
            <w:tcW w:w="562" w:type="dxa"/>
            <w:vAlign w:val="center"/>
          </w:tcPr>
          <w:p w14:paraId="6BB316F9" w14:textId="4F65D2D6" w:rsidR="001949D7" w:rsidRPr="00BB14E2" w:rsidRDefault="001949D7" w:rsidP="001949D7">
            <w:pPr>
              <w:rPr>
                <w:rFonts w:ascii="Candara" w:hAnsi="Candara"/>
              </w:rPr>
            </w:pPr>
            <w:r w:rsidRPr="00BB14E2">
              <w:rPr>
                <w:rFonts w:ascii="Candara" w:hAnsi="Candara" w:hint="eastAsia"/>
              </w:rPr>
              <w:t>13</w:t>
            </w:r>
          </w:p>
        </w:tc>
        <w:tc>
          <w:tcPr>
            <w:tcW w:w="3287" w:type="dxa"/>
            <w:vAlign w:val="center"/>
          </w:tcPr>
          <w:p w14:paraId="596201E1" w14:textId="16C2A431" w:rsidR="001949D7" w:rsidRPr="00BB14E2" w:rsidRDefault="001949D7" w:rsidP="001949D7">
            <w:pPr>
              <w:rPr>
                <w:rFonts w:ascii="Candara" w:hAnsi="Candara"/>
              </w:rPr>
            </w:pPr>
            <w:r w:rsidRPr="001949D7">
              <w:rPr>
                <w:rFonts w:ascii="Candara" w:hAnsi="Candara"/>
              </w:rPr>
              <w:t>Alexander M. Kaizer (2023)</w:t>
            </w:r>
          </w:p>
        </w:tc>
        <w:tc>
          <w:tcPr>
            <w:tcW w:w="7770" w:type="dxa"/>
            <w:vAlign w:val="center"/>
          </w:tcPr>
          <w:p w14:paraId="7E82D81E" w14:textId="77777777" w:rsidR="001949D7" w:rsidRPr="001949D7" w:rsidRDefault="001949D7" w:rsidP="001949D7">
            <w:pPr>
              <w:pStyle w:val="a9"/>
              <w:numPr>
                <w:ilvl w:val="0"/>
                <w:numId w:val="18"/>
              </w:numPr>
              <w:rPr>
                <w:rFonts w:ascii="Candara" w:hAnsi="Candara"/>
              </w:rPr>
            </w:pPr>
            <w:r w:rsidRPr="001949D7">
              <w:rPr>
                <w:rFonts w:ascii="Candara" w:hAnsi="Candara" w:hint="eastAsia"/>
              </w:rPr>
              <w:t>The unadjusted odds of LPV/r resulting in a better ordinal category than Plb was 0.97 (95% credible interval [CrI]: 0.67 to 1.40; Pr[OR &gt;1] = 0.44) over the first 15 days after randomization.</w:t>
            </w:r>
          </w:p>
          <w:p w14:paraId="1FEEF3E6" w14:textId="7CA9E604" w:rsidR="001949D7" w:rsidRPr="001949D7" w:rsidRDefault="001949D7" w:rsidP="001949D7">
            <w:pPr>
              <w:pStyle w:val="a9"/>
              <w:numPr>
                <w:ilvl w:val="0"/>
                <w:numId w:val="18"/>
              </w:numPr>
              <w:rPr>
                <w:rFonts w:ascii="Candara" w:hAnsi="Candara"/>
              </w:rPr>
            </w:pPr>
            <w:r w:rsidRPr="001949D7">
              <w:rPr>
                <w:rFonts w:ascii="Candara" w:hAnsi="Candara" w:hint="eastAsia"/>
              </w:rPr>
              <w:t>Similar results were observed after adjusting for other covariates.</w:t>
            </w:r>
          </w:p>
        </w:tc>
        <w:tc>
          <w:tcPr>
            <w:tcW w:w="2329" w:type="dxa"/>
            <w:vAlign w:val="center"/>
          </w:tcPr>
          <w:p w14:paraId="7651D3B4" w14:textId="54834D63" w:rsidR="001949D7" w:rsidRPr="00BB14E2" w:rsidRDefault="001949D7" w:rsidP="001949D7">
            <w:pPr>
              <w:rPr>
                <w:rFonts w:ascii="Candara" w:hAnsi="Candara"/>
              </w:rPr>
            </w:pPr>
            <w:r w:rsidRPr="001949D7">
              <w:rPr>
                <w:rFonts w:ascii="Candara" w:hAnsi="Candara" w:hint="eastAsia"/>
              </w:rPr>
              <w:t>226</w:t>
            </w:r>
          </w:p>
        </w:tc>
      </w:tr>
      <w:tr w:rsidR="001949D7" w:rsidRPr="00BB14E2" w14:paraId="277E5CBA" w14:textId="3C339A39" w:rsidTr="001949D7">
        <w:tc>
          <w:tcPr>
            <w:tcW w:w="562" w:type="dxa"/>
            <w:vAlign w:val="center"/>
          </w:tcPr>
          <w:p w14:paraId="222DBD7D" w14:textId="58C50A9B" w:rsidR="001949D7" w:rsidRPr="00BB14E2" w:rsidRDefault="001949D7" w:rsidP="001949D7">
            <w:pPr>
              <w:rPr>
                <w:rFonts w:ascii="Candara" w:hAnsi="Candara"/>
              </w:rPr>
            </w:pPr>
            <w:r w:rsidRPr="00BB14E2">
              <w:rPr>
                <w:rFonts w:ascii="Candara" w:hAnsi="Candara" w:hint="eastAsia"/>
              </w:rPr>
              <w:t>14</w:t>
            </w:r>
          </w:p>
        </w:tc>
        <w:tc>
          <w:tcPr>
            <w:tcW w:w="3287" w:type="dxa"/>
            <w:vAlign w:val="center"/>
          </w:tcPr>
          <w:p w14:paraId="48848150" w14:textId="4421A4D2" w:rsidR="001949D7" w:rsidRPr="00BB14E2" w:rsidRDefault="001949D7" w:rsidP="001949D7">
            <w:pPr>
              <w:rPr>
                <w:rFonts w:ascii="Candara" w:hAnsi="Candara"/>
              </w:rPr>
            </w:pPr>
            <w:r w:rsidRPr="001949D7">
              <w:rPr>
                <w:rFonts w:ascii="Candara" w:hAnsi="Candara" w:hint="eastAsia"/>
              </w:rPr>
              <w:t>Taku Kinoshita (2022)</w:t>
            </w:r>
          </w:p>
        </w:tc>
        <w:tc>
          <w:tcPr>
            <w:tcW w:w="7770" w:type="dxa"/>
            <w:vAlign w:val="center"/>
          </w:tcPr>
          <w:p w14:paraId="1E61C2E4" w14:textId="34AA0E5F" w:rsidR="001949D7" w:rsidRPr="001949D7" w:rsidRDefault="001949D7" w:rsidP="001949D7">
            <w:pPr>
              <w:pStyle w:val="a9"/>
              <w:numPr>
                <w:ilvl w:val="0"/>
                <w:numId w:val="19"/>
              </w:numPr>
              <w:rPr>
                <w:rFonts w:ascii="Candara" w:hAnsi="Candara"/>
              </w:rPr>
            </w:pPr>
            <w:r w:rsidRPr="001949D7">
              <w:rPr>
                <w:rFonts w:ascii="Candara" w:hAnsi="Candara" w:hint="eastAsia"/>
              </w:rPr>
              <w:t>Table S8. Time to negative SARS-CoV-2 status as measured at the central laboratory</w:t>
            </w:r>
          </w:p>
        </w:tc>
        <w:tc>
          <w:tcPr>
            <w:tcW w:w="2329" w:type="dxa"/>
            <w:vAlign w:val="center"/>
          </w:tcPr>
          <w:p w14:paraId="22B06409" w14:textId="4FBA0646" w:rsidR="001949D7" w:rsidRPr="00BB14E2" w:rsidRDefault="001949D7" w:rsidP="001949D7">
            <w:pPr>
              <w:rPr>
                <w:rFonts w:ascii="Candara" w:hAnsi="Candara"/>
              </w:rPr>
            </w:pPr>
            <w:r w:rsidRPr="001949D7">
              <w:rPr>
                <w:rFonts w:ascii="Candara" w:hAnsi="Candara" w:hint="eastAsia"/>
              </w:rPr>
              <w:t>15</w:t>
            </w:r>
          </w:p>
        </w:tc>
      </w:tr>
      <w:tr w:rsidR="001949D7" w:rsidRPr="00BB14E2" w14:paraId="03826117" w14:textId="63FA7340" w:rsidTr="001949D7">
        <w:tc>
          <w:tcPr>
            <w:tcW w:w="562" w:type="dxa"/>
            <w:vAlign w:val="center"/>
          </w:tcPr>
          <w:p w14:paraId="42149AF3" w14:textId="7683FBB6" w:rsidR="001949D7" w:rsidRPr="00BB14E2" w:rsidRDefault="001949D7" w:rsidP="001949D7">
            <w:pPr>
              <w:rPr>
                <w:rFonts w:ascii="Candara" w:hAnsi="Candara"/>
              </w:rPr>
            </w:pPr>
            <w:r w:rsidRPr="00BB14E2">
              <w:rPr>
                <w:rFonts w:ascii="Candara" w:hAnsi="Candara" w:hint="eastAsia"/>
              </w:rPr>
              <w:t>15</w:t>
            </w:r>
          </w:p>
        </w:tc>
        <w:tc>
          <w:tcPr>
            <w:tcW w:w="3287" w:type="dxa"/>
            <w:vAlign w:val="center"/>
          </w:tcPr>
          <w:p w14:paraId="35B81261" w14:textId="59BCEEE5" w:rsidR="001949D7" w:rsidRPr="00BB14E2" w:rsidRDefault="001949D7" w:rsidP="001949D7">
            <w:pPr>
              <w:rPr>
                <w:rFonts w:ascii="Candara" w:hAnsi="Candara"/>
              </w:rPr>
            </w:pPr>
            <w:r w:rsidRPr="001949D7">
              <w:rPr>
                <w:rFonts w:ascii="Candara" w:hAnsi="Candara" w:hint="eastAsia"/>
              </w:rPr>
              <w:t>Christopher C Butler (2021)</w:t>
            </w:r>
          </w:p>
        </w:tc>
        <w:tc>
          <w:tcPr>
            <w:tcW w:w="7770" w:type="dxa"/>
            <w:vAlign w:val="center"/>
          </w:tcPr>
          <w:p w14:paraId="71A5DFAA" w14:textId="4D7593E1" w:rsidR="001949D7" w:rsidRPr="001949D7" w:rsidRDefault="001949D7" w:rsidP="001949D7">
            <w:pPr>
              <w:pStyle w:val="a9"/>
              <w:numPr>
                <w:ilvl w:val="0"/>
                <w:numId w:val="20"/>
              </w:numPr>
              <w:rPr>
                <w:rFonts w:ascii="Candara" w:hAnsi="Candara"/>
              </w:rPr>
            </w:pPr>
            <w:r w:rsidRPr="001949D7">
              <w:rPr>
                <w:rFonts w:ascii="Candara" w:hAnsi="Candara" w:hint="eastAsia"/>
              </w:rPr>
              <w:t>Results of both primary outcomes were consistent in the SARS-CoV-2 PCR-positive population (time to recovery HR 1</w:t>
            </w:r>
            <w:r w:rsidRPr="001949D7">
              <w:rPr>
                <w:rFonts w:ascii="Candara" w:hAnsi="Candara" w:hint="eastAsia"/>
              </w:rPr>
              <w:t>·</w:t>
            </w:r>
            <w:r w:rsidRPr="001949D7">
              <w:rPr>
                <w:rFonts w:ascii="Candara" w:hAnsi="Candara" w:hint="eastAsia"/>
              </w:rPr>
              <w:t>05 [95% BCI 0</w:t>
            </w:r>
            <w:r w:rsidRPr="001949D7">
              <w:rPr>
                <w:rFonts w:ascii="Candara" w:hAnsi="Candara" w:hint="eastAsia"/>
              </w:rPr>
              <w:t>·</w:t>
            </w:r>
            <w:r w:rsidRPr="001949D7">
              <w:rPr>
                <w:rFonts w:ascii="Candara" w:hAnsi="Candara" w:hint="eastAsia"/>
              </w:rPr>
              <w:t>90 to 1</w:t>
            </w:r>
            <w:r w:rsidRPr="001949D7">
              <w:rPr>
                <w:rFonts w:ascii="Candara" w:hAnsi="Candara" w:hint="eastAsia"/>
              </w:rPr>
              <w:t>·</w:t>
            </w:r>
            <w:r w:rsidRPr="001949D7">
              <w:rPr>
                <w:rFonts w:ascii="Candara" w:hAnsi="Candara" w:hint="eastAsia"/>
              </w:rPr>
              <w:t>24], estimated median benefit 0</w:t>
            </w:r>
            <w:r w:rsidRPr="001949D7">
              <w:rPr>
                <w:rFonts w:ascii="Candara" w:hAnsi="Candara" w:hint="eastAsia"/>
              </w:rPr>
              <w:t>·</w:t>
            </w:r>
            <w:r w:rsidRPr="001949D7">
              <w:rPr>
                <w:rFonts w:ascii="Candara" w:hAnsi="Candara" w:hint="eastAsia"/>
              </w:rPr>
              <w:t>70 days [</w:t>
            </w:r>
            <w:r w:rsidRPr="001949D7">
              <w:rPr>
                <w:rFonts w:ascii="Candara" w:hAnsi="Candara" w:hint="eastAsia"/>
              </w:rPr>
              <w:t>–</w:t>
            </w:r>
            <w:r w:rsidRPr="001949D7">
              <w:rPr>
                <w:rFonts w:ascii="Candara" w:hAnsi="Candara" w:hint="eastAsia"/>
              </w:rPr>
              <w:t>1</w:t>
            </w:r>
            <w:r w:rsidRPr="001949D7">
              <w:rPr>
                <w:rFonts w:ascii="Candara" w:hAnsi="Candara" w:hint="eastAsia"/>
              </w:rPr>
              <w:t>·</w:t>
            </w:r>
            <w:r w:rsidRPr="001949D7">
              <w:rPr>
                <w:rFonts w:ascii="Candara" w:hAnsi="Candara" w:hint="eastAsia"/>
              </w:rPr>
              <w:t>45 to 3</w:t>
            </w:r>
            <w:r w:rsidRPr="001949D7">
              <w:rPr>
                <w:rFonts w:ascii="Candara" w:hAnsi="Candara" w:hint="eastAsia"/>
              </w:rPr>
              <w:t>·</w:t>
            </w:r>
            <w:r w:rsidRPr="001949D7">
              <w:rPr>
                <w:rFonts w:ascii="Candara" w:hAnsi="Candara" w:hint="eastAsia"/>
              </w:rPr>
              <w:t>03], probability of meaningful benefit 0</w:t>
            </w:r>
            <w:r w:rsidRPr="001949D7">
              <w:rPr>
                <w:rFonts w:ascii="Candara" w:hAnsi="Candara" w:hint="eastAsia"/>
              </w:rPr>
              <w:t>·</w:t>
            </w:r>
            <w:r w:rsidRPr="001949D7">
              <w:rPr>
                <w:rFonts w:ascii="Candara" w:hAnsi="Candara" w:hint="eastAsia"/>
              </w:rPr>
              <w:t>24; rate of hospitalisations or deaths related to COVID-19 estimated absolute percentage difference 1</w:t>
            </w:r>
            <w:r w:rsidRPr="001949D7">
              <w:rPr>
                <w:rFonts w:ascii="Candara" w:hAnsi="Candara" w:hint="eastAsia"/>
              </w:rPr>
              <w:t>·</w:t>
            </w:r>
            <w:r w:rsidRPr="001949D7">
              <w:rPr>
                <w:rFonts w:ascii="Candara" w:hAnsi="Candara" w:hint="eastAsia"/>
              </w:rPr>
              <w:t>2% [</w:t>
            </w:r>
            <w:r w:rsidRPr="001949D7">
              <w:rPr>
                <w:rFonts w:ascii="Candara" w:hAnsi="Candara" w:hint="eastAsia"/>
              </w:rPr>
              <w:t>–</w:t>
            </w:r>
            <w:r w:rsidRPr="001949D7">
              <w:rPr>
                <w:rFonts w:ascii="Candara" w:hAnsi="Candara" w:hint="eastAsia"/>
              </w:rPr>
              <w:t>2</w:t>
            </w:r>
            <w:r w:rsidRPr="001949D7">
              <w:rPr>
                <w:rFonts w:ascii="Candara" w:hAnsi="Candara" w:hint="eastAsia"/>
              </w:rPr>
              <w:t>·</w:t>
            </w:r>
            <w:r w:rsidRPr="001949D7">
              <w:rPr>
                <w:rFonts w:ascii="Candara" w:hAnsi="Candara" w:hint="eastAsia"/>
              </w:rPr>
              <w:t>7% to 5</w:t>
            </w:r>
            <w:r w:rsidRPr="001949D7">
              <w:rPr>
                <w:rFonts w:ascii="Candara" w:hAnsi="Candara" w:hint="eastAsia"/>
              </w:rPr>
              <w:t>·</w:t>
            </w:r>
            <w:r w:rsidRPr="001949D7">
              <w:rPr>
                <w:rFonts w:ascii="Candara" w:hAnsi="Candara" w:hint="eastAsia"/>
              </w:rPr>
              <w:t>2%], probability of meaningful benefit 0</w:t>
            </w:r>
            <w:r w:rsidRPr="001949D7">
              <w:rPr>
                <w:rFonts w:ascii="Candara" w:hAnsi="Candara" w:hint="eastAsia"/>
              </w:rPr>
              <w:t>·</w:t>
            </w:r>
            <w:r w:rsidRPr="001949D7">
              <w:rPr>
                <w:rFonts w:ascii="Candara" w:hAnsi="Candara" w:hint="eastAsia"/>
              </w:rPr>
              <w:t>35; table 2).</w:t>
            </w:r>
          </w:p>
        </w:tc>
        <w:tc>
          <w:tcPr>
            <w:tcW w:w="2329" w:type="dxa"/>
            <w:vAlign w:val="center"/>
          </w:tcPr>
          <w:p w14:paraId="1A24511E" w14:textId="520FA436" w:rsidR="001949D7" w:rsidRPr="00BB14E2" w:rsidRDefault="001949D7" w:rsidP="001949D7">
            <w:pPr>
              <w:rPr>
                <w:rFonts w:ascii="Candara" w:hAnsi="Candara"/>
              </w:rPr>
            </w:pPr>
            <w:r w:rsidRPr="001949D7">
              <w:rPr>
                <w:rFonts w:ascii="Candara" w:hAnsi="Candara" w:hint="eastAsia"/>
              </w:rPr>
              <w:t>7</w:t>
            </w:r>
          </w:p>
        </w:tc>
      </w:tr>
      <w:tr w:rsidR="001949D7" w:rsidRPr="00BB14E2" w14:paraId="1C89C0BA" w14:textId="77777777" w:rsidTr="001949D7">
        <w:tc>
          <w:tcPr>
            <w:tcW w:w="562" w:type="dxa"/>
            <w:vAlign w:val="center"/>
          </w:tcPr>
          <w:p w14:paraId="041B1B82" w14:textId="7860B55B" w:rsidR="001949D7" w:rsidRPr="00BB14E2" w:rsidRDefault="001949D7" w:rsidP="001949D7">
            <w:pPr>
              <w:rPr>
                <w:rFonts w:ascii="Candara" w:hAnsi="Candara" w:hint="eastAsia"/>
              </w:rPr>
            </w:pPr>
            <w:r>
              <w:rPr>
                <w:rFonts w:ascii="Candara" w:hAnsi="Candara" w:hint="eastAsia"/>
              </w:rPr>
              <w:t>16</w:t>
            </w:r>
          </w:p>
        </w:tc>
        <w:tc>
          <w:tcPr>
            <w:tcW w:w="3287" w:type="dxa"/>
            <w:vAlign w:val="center"/>
          </w:tcPr>
          <w:p w14:paraId="1EFAFDEE" w14:textId="4025A288" w:rsidR="001949D7" w:rsidRPr="00BB14E2" w:rsidRDefault="001949D7" w:rsidP="001949D7">
            <w:pPr>
              <w:rPr>
                <w:rFonts w:ascii="Candara" w:hAnsi="Candara"/>
              </w:rPr>
            </w:pPr>
            <w:r w:rsidRPr="001949D7">
              <w:rPr>
                <w:rFonts w:ascii="Candara" w:hAnsi="Candara" w:hint="eastAsia"/>
              </w:rPr>
              <w:t>William T. Abraham (2018)</w:t>
            </w:r>
          </w:p>
        </w:tc>
        <w:tc>
          <w:tcPr>
            <w:tcW w:w="7770" w:type="dxa"/>
            <w:vAlign w:val="center"/>
          </w:tcPr>
          <w:p w14:paraId="1DDBA0CD" w14:textId="77777777" w:rsidR="001949D7" w:rsidRPr="001949D7" w:rsidRDefault="001949D7" w:rsidP="001949D7">
            <w:pPr>
              <w:pStyle w:val="a9"/>
              <w:numPr>
                <w:ilvl w:val="0"/>
                <w:numId w:val="21"/>
              </w:numPr>
              <w:rPr>
                <w:rFonts w:ascii="Candara" w:hAnsi="Candara"/>
              </w:rPr>
            </w:pPr>
            <w:r w:rsidRPr="001949D7">
              <w:rPr>
                <w:rFonts w:ascii="Candara" w:hAnsi="Candara" w:hint="eastAsia"/>
              </w:rPr>
              <w:t xml:space="preserve">Several sensitivity analyses were conducted to evaluate the robustness of the primary efficacy results. These included various methods of imputation for missing data (missing data due to death imputed as 0, imputed as the lowest pVo2 at any visit, or no imputation), as well as an assessment of site-to-site heterogeneity of the treatment effect. </w:t>
            </w:r>
          </w:p>
          <w:p w14:paraId="66690CE8" w14:textId="77777777" w:rsidR="001949D7" w:rsidRPr="001949D7" w:rsidRDefault="001949D7" w:rsidP="001949D7">
            <w:pPr>
              <w:pStyle w:val="a9"/>
              <w:numPr>
                <w:ilvl w:val="0"/>
                <w:numId w:val="21"/>
              </w:numPr>
              <w:rPr>
                <w:rFonts w:ascii="Candara" w:hAnsi="Candara"/>
              </w:rPr>
            </w:pPr>
            <w:r w:rsidRPr="001949D7">
              <w:rPr>
                <w:rFonts w:ascii="Candara" w:hAnsi="Candara" w:hint="eastAsia"/>
              </w:rPr>
              <w:t xml:space="preserve">The conclusion of CCM superiority with respect to mean pVo2 was consistent across all sensitivity analyses (details not shown). </w:t>
            </w:r>
          </w:p>
          <w:p w14:paraId="1DEC53AD" w14:textId="672116BE" w:rsidR="001949D7" w:rsidRPr="001949D7" w:rsidRDefault="001949D7" w:rsidP="001949D7">
            <w:pPr>
              <w:pStyle w:val="a9"/>
              <w:numPr>
                <w:ilvl w:val="0"/>
                <w:numId w:val="21"/>
              </w:numPr>
              <w:rPr>
                <w:rFonts w:ascii="Candara" w:hAnsi="Candara" w:hint="eastAsia"/>
              </w:rPr>
            </w:pPr>
            <w:r w:rsidRPr="001949D7">
              <w:rPr>
                <w:rFonts w:ascii="Candara" w:hAnsi="Candara" w:hint="eastAsia"/>
              </w:rPr>
              <w:t>In addition, it was noted that the primary analysis would achieve statistical significance with any borrowing weight of 0.11 or larger (as noted in the previous text, 0.30 was prespecified in the analysis plan).</w:t>
            </w:r>
          </w:p>
        </w:tc>
        <w:tc>
          <w:tcPr>
            <w:tcW w:w="2329" w:type="dxa"/>
            <w:vAlign w:val="center"/>
          </w:tcPr>
          <w:p w14:paraId="0E52E0E1" w14:textId="3D1B9FE8" w:rsidR="001949D7" w:rsidRPr="00BB14E2" w:rsidRDefault="001949D7" w:rsidP="001949D7">
            <w:pPr>
              <w:rPr>
                <w:rFonts w:ascii="Candara" w:hAnsi="Candara" w:hint="eastAsia"/>
              </w:rPr>
            </w:pPr>
            <w:r w:rsidRPr="001949D7">
              <w:rPr>
                <w:rFonts w:ascii="Candara" w:hAnsi="Candara" w:hint="eastAsia"/>
              </w:rPr>
              <w:t>878, 879</w:t>
            </w:r>
          </w:p>
        </w:tc>
      </w:tr>
      <w:tr w:rsidR="001949D7" w:rsidRPr="00BB14E2" w14:paraId="5B36FD60" w14:textId="77777777" w:rsidTr="001949D7">
        <w:tc>
          <w:tcPr>
            <w:tcW w:w="562" w:type="dxa"/>
            <w:vAlign w:val="center"/>
          </w:tcPr>
          <w:p w14:paraId="48748F56" w14:textId="5D59E684" w:rsidR="001949D7" w:rsidRPr="00BB14E2" w:rsidRDefault="001949D7" w:rsidP="001949D7">
            <w:pPr>
              <w:rPr>
                <w:rFonts w:ascii="Candara" w:hAnsi="Candara" w:hint="eastAsia"/>
              </w:rPr>
            </w:pPr>
            <w:r>
              <w:rPr>
                <w:rFonts w:ascii="Candara" w:hAnsi="Candara" w:hint="eastAsia"/>
              </w:rPr>
              <w:t>17</w:t>
            </w:r>
          </w:p>
        </w:tc>
        <w:tc>
          <w:tcPr>
            <w:tcW w:w="3287" w:type="dxa"/>
            <w:vAlign w:val="center"/>
          </w:tcPr>
          <w:p w14:paraId="3AABBF5E" w14:textId="7ED8FEFD" w:rsidR="001949D7" w:rsidRPr="00BB14E2" w:rsidRDefault="001949D7" w:rsidP="001949D7">
            <w:pPr>
              <w:rPr>
                <w:rFonts w:ascii="Candara" w:hAnsi="Candara"/>
              </w:rPr>
            </w:pPr>
            <w:r w:rsidRPr="001949D7">
              <w:rPr>
                <w:rFonts w:ascii="Candara" w:hAnsi="Candara" w:hint="eastAsia"/>
              </w:rPr>
              <w:t>Benjamin A Fisher (2022)</w:t>
            </w:r>
          </w:p>
        </w:tc>
        <w:tc>
          <w:tcPr>
            <w:tcW w:w="7770" w:type="dxa"/>
            <w:vAlign w:val="center"/>
          </w:tcPr>
          <w:p w14:paraId="0D4DB6D5" w14:textId="77777777" w:rsidR="001949D7" w:rsidRPr="001949D7" w:rsidRDefault="001949D7" w:rsidP="001949D7">
            <w:pPr>
              <w:pStyle w:val="a9"/>
              <w:numPr>
                <w:ilvl w:val="0"/>
                <w:numId w:val="22"/>
              </w:numPr>
              <w:rPr>
                <w:rFonts w:ascii="Candara" w:hAnsi="Candara"/>
              </w:rPr>
            </w:pPr>
            <w:r w:rsidRPr="001949D7">
              <w:rPr>
                <w:rFonts w:ascii="Candara" w:hAnsi="Candara" w:hint="eastAsia"/>
              </w:rPr>
              <w:t>Model fitted values were in good agreement with raw data.</w:t>
            </w:r>
          </w:p>
          <w:p w14:paraId="51155353" w14:textId="77777777" w:rsidR="001949D7" w:rsidRPr="001949D7" w:rsidRDefault="001949D7" w:rsidP="001949D7">
            <w:pPr>
              <w:pStyle w:val="a9"/>
              <w:numPr>
                <w:ilvl w:val="0"/>
                <w:numId w:val="22"/>
              </w:numPr>
              <w:rPr>
                <w:rFonts w:ascii="Candara" w:hAnsi="Candara"/>
              </w:rPr>
            </w:pPr>
            <w:r w:rsidRPr="001949D7">
              <w:rPr>
                <w:rFonts w:ascii="Candara" w:hAnsi="Candara" w:hint="eastAsia"/>
              </w:rPr>
              <w:t xml:space="preserve">This effect was consistent in ward and ICU groups based on care location at randomisation, as visualised in the conditional effects plots (figure 2), and in </w:t>
            </w:r>
            <w:r w:rsidRPr="001949D7">
              <w:rPr>
                <w:rFonts w:ascii="Candara" w:hAnsi="Candara" w:hint="eastAsia"/>
              </w:rPr>
              <w:lastRenderedPageBreak/>
              <w:t xml:space="preserve">patients with severe and non-severe disease at baseline (appendix p 14). </w:t>
            </w:r>
          </w:p>
          <w:p w14:paraId="0A1DC7DD" w14:textId="77777777" w:rsidR="001949D7" w:rsidRPr="001949D7" w:rsidRDefault="001949D7" w:rsidP="001949D7">
            <w:pPr>
              <w:pStyle w:val="a9"/>
              <w:numPr>
                <w:ilvl w:val="0"/>
                <w:numId w:val="22"/>
              </w:numPr>
              <w:rPr>
                <w:rFonts w:ascii="Candara" w:hAnsi="Candara"/>
              </w:rPr>
            </w:pPr>
            <w:r w:rsidRPr="001949D7">
              <w:rPr>
                <w:rFonts w:ascii="Candara" w:hAnsi="Candara" w:hint="eastAsia"/>
              </w:rPr>
              <w:t>The effect of namilumab on CRP concentration was independent of age (appendix p 15).</w:t>
            </w:r>
          </w:p>
          <w:p w14:paraId="2BE25061" w14:textId="1F78A358" w:rsidR="001949D7" w:rsidRPr="001949D7" w:rsidRDefault="001949D7" w:rsidP="001949D7">
            <w:pPr>
              <w:pStyle w:val="a9"/>
              <w:numPr>
                <w:ilvl w:val="0"/>
                <w:numId w:val="22"/>
              </w:numPr>
              <w:rPr>
                <w:rFonts w:ascii="Candara" w:hAnsi="Candara"/>
              </w:rPr>
            </w:pPr>
            <w:r w:rsidRPr="001949D7">
              <w:rPr>
                <w:rFonts w:ascii="Candara" w:hAnsi="Candara" w:hint="eastAsia"/>
              </w:rPr>
              <w:t xml:space="preserve">In the post-hoc sensitivity analyses to assess the effect of baseline remdesivir use, smoking status, and frailty, the inference for both drugs remained unchanged (data not shown). </w:t>
            </w:r>
          </w:p>
          <w:p w14:paraId="18A45D79" w14:textId="77777777" w:rsidR="001949D7" w:rsidRPr="001949D7" w:rsidRDefault="001949D7" w:rsidP="001949D7">
            <w:pPr>
              <w:pStyle w:val="a9"/>
              <w:numPr>
                <w:ilvl w:val="0"/>
                <w:numId w:val="22"/>
              </w:numPr>
              <w:rPr>
                <w:rFonts w:ascii="Candara" w:hAnsi="Candara"/>
              </w:rPr>
            </w:pPr>
            <w:r w:rsidRPr="001949D7">
              <w:rPr>
                <w:rFonts w:ascii="Candara" w:hAnsi="Candara" w:hint="eastAsia"/>
              </w:rPr>
              <w:t xml:space="preserve">Likewise, excluding patients without a positive SARS-CoV-2 PCR test did not change the inference for either drug (data not shown). </w:t>
            </w:r>
          </w:p>
          <w:p w14:paraId="69D94CEB" w14:textId="6A173DA2" w:rsidR="001949D7" w:rsidRPr="001949D7" w:rsidRDefault="001949D7" w:rsidP="001949D7">
            <w:pPr>
              <w:pStyle w:val="a9"/>
              <w:numPr>
                <w:ilvl w:val="0"/>
                <w:numId w:val="22"/>
              </w:numPr>
              <w:rPr>
                <w:rFonts w:ascii="Candara" w:hAnsi="Candara" w:hint="eastAsia"/>
              </w:rPr>
            </w:pPr>
            <w:r w:rsidRPr="001949D7">
              <w:rPr>
                <w:rFonts w:ascii="Candara" w:hAnsi="Candara" w:hint="eastAsia"/>
              </w:rPr>
              <w:t>Effects of namilumab and infliximab on CRP concentration were also consistent with an area under the curve analysis (data not shown).</w:t>
            </w:r>
          </w:p>
        </w:tc>
        <w:tc>
          <w:tcPr>
            <w:tcW w:w="2329" w:type="dxa"/>
            <w:vAlign w:val="center"/>
          </w:tcPr>
          <w:p w14:paraId="5068B00F" w14:textId="67D25D86" w:rsidR="001949D7" w:rsidRPr="00BB14E2" w:rsidRDefault="001949D7" w:rsidP="001949D7">
            <w:pPr>
              <w:rPr>
                <w:rFonts w:ascii="Candara" w:hAnsi="Candara" w:hint="eastAsia"/>
              </w:rPr>
            </w:pPr>
            <w:r w:rsidRPr="001949D7">
              <w:rPr>
                <w:rFonts w:ascii="Candara" w:hAnsi="Candara" w:hint="eastAsia"/>
              </w:rPr>
              <w:lastRenderedPageBreak/>
              <w:t>260</w:t>
            </w:r>
          </w:p>
        </w:tc>
      </w:tr>
      <w:tr w:rsidR="001949D7" w:rsidRPr="00BB14E2" w14:paraId="74456F5B" w14:textId="77777777" w:rsidTr="001949D7">
        <w:tc>
          <w:tcPr>
            <w:tcW w:w="562" w:type="dxa"/>
            <w:vAlign w:val="center"/>
          </w:tcPr>
          <w:p w14:paraId="2BDD0510" w14:textId="139421CF" w:rsidR="001949D7" w:rsidRPr="00BB14E2" w:rsidRDefault="001949D7" w:rsidP="001949D7">
            <w:pPr>
              <w:rPr>
                <w:rFonts w:ascii="Candara" w:hAnsi="Candara" w:hint="eastAsia"/>
              </w:rPr>
            </w:pPr>
            <w:r>
              <w:rPr>
                <w:rFonts w:ascii="Candara" w:hAnsi="Candara" w:hint="eastAsia"/>
              </w:rPr>
              <w:t>18</w:t>
            </w:r>
          </w:p>
        </w:tc>
        <w:tc>
          <w:tcPr>
            <w:tcW w:w="3287" w:type="dxa"/>
            <w:vAlign w:val="center"/>
          </w:tcPr>
          <w:p w14:paraId="59180DE1" w14:textId="65BB29F7" w:rsidR="001949D7" w:rsidRPr="00BB14E2" w:rsidRDefault="001949D7" w:rsidP="001949D7">
            <w:pPr>
              <w:rPr>
                <w:rFonts w:ascii="Candara" w:hAnsi="Candara"/>
              </w:rPr>
            </w:pPr>
            <w:r w:rsidRPr="001949D7">
              <w:rPr>
                <w:rFonts w:ascii="Candara" w:hAnsi="Candara" w:hint="eastAsia"/>
              </w:rPr>
              <w:t>Vinay K. Puduvalli (2020)</w:t>
            </w:r>
          </w:p>
        </w:tc>
        <w:tc>
          <w:tcPr>
            <w:tcW w:w="7770" w:type="dxa"/>
            <w:vAlign w:val="center"/>
          </w:tcPr>
          <w:p w14:paraId="0AD94D21" w14:textId="55FF169E" w:rsidR="001949D7" w:rsidRPr="001949D7" w:rsidRDefault="001949D7" w:rsidP="001949D7">
            <w:pPr>
              <w:pStyle w:val="a9"/>
              <w:numPr>
                <w:ilvl w:val="0"/>
                <w:numId w:val="23"/>
              </w:numPr>
              <w:rPr>
                <w:rFonts w:ascii="Candara" w:hAnsi="Candara" w:hint="eastAsia"/>
              </w:rPr>
            </w:pPr>
            <w:r w:rsidRPr="001949D7">
              <w:rPr>
                <w:rFonts w:ascii="Candara" w:hAnsi="Candara" w:hint="eastAsia"/>
              </w:rPr>
              <w:t>Efficacy was analyzed in both univariate and multivariate Cox regression models for PFS and OS.</w:t>
            </w:r>
          </w:p>
        </w:tc>
        <w:tc>
          <w:tcPr>
            <w:tcW w:w="2329" w:type="dxa"/>
            <w:vAlign w:val="center"/>
          </w:tcPr>
          <w:p w14:paraId="4D709D0A" w14:textId="0C5ABA25" w:rsidR="001949D7" w:rsidRPr="00BB14E2" w:rsidRDefault="001949D7" w:rsidP="001949D7">
            <w:pPr>
              <w:rPr>
                <w:rFonts w:ascii="Candara" w:hAnsi="Candara" w:hint="eastAsia"/>
              </w:rPr>
            </w:pPr>
            <w:r w:rsidRPr="001949D7">
              <w:rPr>
                <w:rFonts w:ascii="Candara" w:hAnsi="Candara" w:hint="eastAsia"/>
              </w:rPr>
              <w:t>1509</w:t>
            </w:r>
          </w:p>
        </w:tc>
      </w:tr>
      <w:tr w:rsidR="001949D7" w:rsidRPr="00BB14E2" w14:paraId="2BBA9DB1" w14:textId="77777777" w:rsidTr="001949D7">
        <w:tc>
          <w:tcPr>
            <w:tcW w:w="562" w:type="dxa"/>
            <w:vAlign w:val="center"/>
          </w:tcPr>
          <w:p w14:paraId="0337DF55" w14:textId="5126297A" w:rsidR="001949D7" w:rsidRPr="00BB14E2" w:rsidRDefault="001949D7" w:rsidP="001949D7">
            <w:pPr>
              <w:rPr>
                <w:rFonts w:ascii="Candara" w:hAnsi="Candara" w:hint="eastAsia"/>
              </w:rPr>
            </w:pPr>
            <w:r>
              <w:rPr>
                <w:rFonts w:ascii="Candara" w:hAnsi="Candara" w:hint="eastAsia"/>
              </w:rPr>
              <w:t>19</w:t>
            </w:r>
          </w:p>
        </w:tc>
        <w:tc>
          <w:tcPr>
            <w:tcW w:w="3287" w:type="dxa"/>
            <w:vAlign w:val="center"/>
          </w:tcPr>
          <w:p w14:paraId="117F73BC" w14:textId="5845E4E3" w:rsidR="001949D7" w:rsidRPr="00BB14E2" w:rsidRDefault="001949D7" w:rsidP="001949D7">
            <w:pPr>
              <w:rPr>
                <w:rFonts w:ascii="Candara" w:hAnsi="Candara"/>
              </w:rPr>
            </w:pPr>
            <w:r w:rsidRPr="001949D7">
              <w:rPr>
                <w:rFonts w:ascii="Candara" w:hAnsi="Candara" w:hint="eastAsia"/>
              </w:rPr>
              <w:t>Gilmar Reis (2022)</w:t>
            </w:r>
          </w:p>
        </w:tc>
        <w:tc>
          <w:tcPr>
            <w:tcW w:w="7770" w:type="dxa"/>
            <w:vAlign w:val="center"/>
          </w:tcPr>
          <w:p w14:paraId="61879B16" w14:textId="3BB331A3" w:rsidR="001949D7" w:rsidRPr="001949D7" w:rsidRDefault="001949D7" w:rsidP="001949D7">
            <w:pPr>
              <w:pStyle w:val="a9"/>
              <w:numPr>
                <w:ilvl w:val="0"/>
                <w:numId w:val="24"/>
              </w:numPr>
              <w:rPr>
                <w:rFonts w:ascii="Candara" w:hAnsi="Candara" w:hint="eastAsia"/>
              </w:rPr>
            </w:pPr>
            <w:r w:rsidRPr="001949D7">
              <w:rPr>
                <w:rFonts w:ascii="Candara" w:hAnsi="Candara" w:hint="eastAsia"/>
              </w:rPr>
              <w:t>Based on the Bayesian beta-binomial model, there was no evidence of an effect of metformin over placebo on the primary outcome of hospitalization, defined as either retention in a COVID-19 emergency setting for &gt; 6 h or transfer to a tertiary hospital due to COVID-19 for either the ITT population (Relative Risk [RR]: 1.14; 95% Bayesian Credible Interval [BCI]: 0.73 to 1.81), the mITT population (RR: 1.03; 95% BCI: 0.64 to 1.66), or the PP population (RR: 0.88; 95% BCI: 0.45 to 1.71)</w:t>
            </w:r>
            <w:r>
              <w:rPr>
                <w:rFonts w:ascii="Candara" w:hAnsi="Candara" w:hint="eastAsia"/>
              </w:rPr>
              <w:t>.</w:t>
            </w:r>
          </w:p>
        </w:tc>
        <w:tc>
          <w:tcPr>
            <w:tcW w:w="2329" w:type="dxa"/>
            <w:vAlign w:val="center"/>
          </w:tcPr>
          <w:p w14:paraId="2A5576C8" w14:textId="0FA3D677" w:rsidR="001949D7" w:rsidRPr="00BB14E2" w:rsidRDefault="001949D7" w:rsidP="001949D7">
            <w:pPr>
              <w:rPr>
                <w:rFonts w:ascii="Candara" w:hAnsi="Candara" w:hint="eastAsia"/>
              </w:rPr>
            </w:pPr>
            <w:r w:rsidRPr="001949D7">
              <w:rPr>
                <w:rFonts w:ascii="Candara" w:hAnsi="Candara" w:hint="eastAsia"/>
              </w:rPr>
              <w:t>4</w:t>
            </w:r>
          </w:p>
        </w:tc>
      </w:tr>
      <w:tr w:rsidR="001949D7" w:rsidRPr="00BB14E2" w14:paraId="1F3ED598" w14:textId="77777777" w:rsidTr="001949D7">
        <w:tc>
          <w:tcPr>
            <w:tcW w:w="562" w:type="dxa"/>
            <w:vAlign w:val="center"/>
          </w:tcPr>
          <w:p w14:paraId="241697E5" w14:textId="1027D05F" w:rsidR="001949D7" w:rsidRPr="00BB14E2" w:rsidRDefault="001949D7" w:rsidP="001949D7">
            <w:pPr>
              <w:rPr>
                <w:rFonts w:ascii="Candara" w:hAnsi="Candara" w:hint="eastAsia"/>
              </w:rPr>
            </w:pPr>
            <w:r>
              <w:rPr>
                <w:rFonts w:ascii="Candara" w:hAnsi="Candara" w:hint="eastAsia"/>
              </w:rPr>
              <w:t>20</w:t>
            </w:r>
          </w:p>
        </w:tc>
        <w:tc>
          <w:tcPr>
            <w:tcW w:w="3287" w:type="dxa"/>
            <w:vAlign w:val="center"/>
          </w:tcPr>
          <w:p w14:paraId="11CDE105" w14:textId="0C6AB17C" w:rsidR="001949D7" w:rsidRPr="00BB14E2" w:rsidRDefault="001949D7" w:rsidP="001949D7">
            <w:pPr>
              <w:rPr>
                <w:rFonts w:ascii="Candara" w:hAnsi="Candara"/>
              </w:rPr>
            </w:pPr>
            <w:r w:rsidRPr="001949D7">
              <w:rPr>
                <w:rFonts w:ascii="Candara" w:hAnsi="Candara" w:hint="eastAsia"/>
              </w:rPr>
              <w:t>Writing Committee for the REMAP-CAP Investigators (2023)</w:t>
            </w:r>
          </w:p>
        </w:tc>
        <w:tc>
          <w:tcPr>
            <w:tcW w:w="7770" w:type="dxa"/>
            <w:vAlign w:val="center"/>
          </w:tcPr>
          <w:p w14:paraId="223E3278" w14:textId="264462D3" w:rsidR="001949D7" w:rsidRPr="001949D7" w:rsidRDefault="001949D7" w:rsidP="001949D7">
            <w:pPr>
              <w:pStyle w:val="a9"/>
              <w:numPr>
                <w:ilvl w:val="0"/>
                <w:numId w:val="25"/>
              </w:numPr>
              <w:rPr>
                <w:rFonts w:ascii="Candara" w:hAnsi="Candara" w:hint="eastAsia"/>
              </w:rPr>
            </w:pPr>
            <w:r w:rsidRPr="001949D7">
              <w:rPr>
                <w:rFonts w:ascii="Candara" w:hAnsi="Candara" w:hint="eastAsia"/>
              </w:rPr>
              <w:t>Results were generally consistent in sensitivity analyses, including after adjustment for potentially imbalanced baseline variable</w:t>
            </w:r>
          </w:p>
        </w:tc>
        <w:tc>
          <w:tcPr>
            <w:tcW w:w="2329" w:type="dxa"/>
            <w:vAlign w:val="center"/>
          </w:tcPr>
          <w:p w14:paraId="4722DB2B" w14:textId="1B674F7A" w:rsidR="001949D7" w:rsidRPr="00BB14E2" w:rsidRDefault="001949D7" w:rsidP="001949D7">
            <w:pPr>
              <w:rPr>
                <w:rFonts w:ascii="Candara" w:hAnsi="Candara" w:hint="eastAsia"/>
              </w:rPr>
            </w:pPr>
            <w:r w:rsidRPr="001949D7">
              <w:rPr>
                <w:rFonts w:ascii="Candara" w:hAnsi="Candara" w:hint="eastAsia"/>
              </w:rPr>
              <w:t>1189</w:t>
            </w:r>
          </w:p>
        </w:tc>
      </w:tr>
      <w:tr w:rsidR="001949D7" w:rsidRPr="00BB14E2" w14:paraId="4D4E16ED" w14:textId="77777777" w:rsidTr="001949D7">
        <w:tc>
          <w:tcPr>
            <w:tcW w:w="562" w:type="dxa"/>
            <w:vAlign w:val="center"/>
          </w:tcPr>
          <w:p w14:paraId="1F0031CA" w14:textId="3590125F" w:rsidR="001949D7" w:rsidRPr="00BB14E2" w:rsidRDefault="001949D7" w:rsidP="001949D7">
            <w:pPr>
              <w:rPr>
                <w:rFonts w:ascii="Candara" w:hAnsi="Candara" w:hint="eastAsia"/>
              </w:rPr>
            </w:pPr>
            <w:r>
              <w:rPr>
                <w:rFonts w:ascii="Candara" w:hAnsi="Candara" w:hint="eastAsia"/>
              </w:rPr>
              <w:t>21</w:t>
            </w:r>
          </w:p>
        </w:tc>
        <w:tc>
          <w:tcPr>
            <w:tcW w:w="3287" w:type="dxa"/>
            <w:vAlign w:val="center"/>
          </w:tcPr>
          <w:p w14:paraId="6582D6DE" w14:textId="74278D6D" w:rsidR="001949D7" w:rsidRPr="00BB14E2" w:rsidRDefault="001949D7" w:rsidP="001949D7">
            <w:pPr>
              <w:rPr>
                <w:rFonts w:ascii="Candara" w:hAnsi="Candara"/>
              </w:rPr>
            </w:pPr>
            <w:r w:rsidRPr="001949D7">
              <w:rPr>
                <w:rFonts w:ascii="Candara" w:hAnsi="Candara" w:hint="eastAsia"/>
              </w:rPr>
              <w:t>Saye H Khoo (2023)</w:t>
            </w:r>
          </w:p>
        </w:tc>
        <w:tc>
          <w:tcPr>
            <w:tcW w:w="7770" w:type="dxa"/>
            <w:vAlign w:val="center"/>
          </w:tcPr>
          <w:p w14:paraId="053F167A" w14:textId="77777777" w:rsidR="001949D7" w:rsidRPr="001949D7" w:rsidRDefault="001949D7" w:rsidP="001949D7">
            <w:pPr>
              <w:pStyle w:val="a9"/>
              <w:numPr>
                <w:ilvl w:val="0"/>
                <w:numId w:val="26"/>
              </w:numPr>
              <w:rPr>
                <w:rFonts w:ascii="Candara" w:hAnsi="Candara"/>
              </w:rPr>
            </w:pPr>
            <w:r w:rsidRPr="001949D7">
              <w:rPr>
                <w:rFonts w:ascii="Candara" w:hAnsi="Candara" w:hint="eastAsia"/>
              </w:rPr>
              <w:t>Participants in the molnupiravir group had a faster median time from randomisation to PCR negativity  (8 days [95% CI 8</w:t>
            </w:r>
            <w:r w:rsidRPr="001949D7">
              <w:rPr>
                <w:rFonts w:ascii="Candara" w:hAnsi="Candara" w:hint="eastAsia"/>
              </w:rPr>
              <w:t>–</w:t>
            </w:r>
            <w:r w:rsidRPr="001949D7">
              <w:rPr>
                <w:rFonts w:ascii="Candara" w:hAnsi="Candara" w:hint="eastAsia"/>
              </w:rPr>
              <w:t>9]) than participants in the placebo group (11 days [10</w:t>
            </w:r>
            <w:r w:rsidRPr="001949D7">
              <w:rPr>
                <w:rFonts w:ascii="Candara" w:hAnsi="Candara" w:hint="eastAsia"/>
              </w:rPr>
              <w:t>–</w:t>
            </w:r>
            <w:r w:rsidRPr="001949D7">
              <w:rPr>
                <w:rFonts w:ascii="Candara" w:hAnsi="Candara" w:hint="eastAsia"/>
              </w:rPr>
              <w:t>11]; log-rank p=0</w:t>
            </w:r>
            <w:r w:rsidRPr="001949D7">
              <w:rPr>
                <w:rFonts w:ascii="Candara" w:hAnsi="Candara" w:hint="eastAsia"/>
              </w:rPr>
              <w:t>·</w:t>
            </w:r>
            <w:r w:rsidRPr="001949D7">
              <w:rPr>
                <w:rFonts w:ascii="Candara" w:hAnsi="Candara" w:hint="eastAsia"/>
              </w:rPr>
              <w:t>074; Breslow</w:t>
            </w:r>
            <w:r w:rsidRPr="001949D7">
              <w:rPr>
                <w:rFonts w:ascii="Candara" w:hAnsi="Candara" w:hint="eastAsia"/>
              </w:rPr>
              <w:t>–</w:t>
            </w:r>
            <w:r w:rsidRPr="001949D7">
              <w:rPr>
                <w:rFonts w:ascii="Candara" w:hAnsi="Candara" w:hint="eastAsia"/>
              </w:rPr>
              <w:t>Gehan</w:t>
            </w:r>
            <w:r w:rsidRPr="001949D7">
              <w:rPr>
                <w:rFonts w:ascii="Candara" w:hAnsi="Candara" w:hint="eastAsia"/>
              </w:rPr>
              <w:t>–</w:t>
            </w:r>
            <w:r w:rsidRPr="001949D7">
              <w:rPr>
                <w:rFonts w:ascii="Candara" w:hAnsi="Candara" w:hint="eastAsia"/>
              </w:rPr>
              <w:t>Wilcoxon p=0</w:t>
            </w:r>
            <w:r w:rsidRPr="001949D7">
              <w:rPr>
                <w:rFonts w:ascii="Candara" w:hAnsi="Candara" w:hint="eastAsia"/>
              </w:rPr>
              <w:t>·</w:t>
            </w:r>
            <w:r w:rsidRPr="001949D7">
              <w:rPr>
                <w:rFonts w:ascii="Candara" w:hAnsi="Candara" w:hint="eastAsia"/>
              </w:rPr>
              <w:t>032; table 2; figure 2).</w:t>
            </w:r>
          </w:p>
          <w:p w14:paraId="6779DD3C" w14:textId="604DFBE4" w:rsidR="001949D7" w:rsidRPr="001949D7" w:rsidRDefault="001949D7" w:rsidP="001949D7">
            <w:pPr>
              <w:pStyle w:val="a9"/>
              <w:numPr>
                <w:ilvl w:val="0"/>
                <w:numId w:val="26"/>
              </w:numPr>
              <w:rPr>
                <w:rFonts w:ascii="Candara" w:hAnsi="Candara" w:hint="eastAsia"/>
              </w:rPr>
            </w:pPr>
            <w:r w:rsidRPr="001949D7">
              <w:rPr>
                <w:rFonts w:ascii="Candara" w:hAnsi="Candara" w:hint="eastAsia"/>
              </w:rPr>
              <w:t>However, our sensitivity analysis with non-informative, continuous priors gave a corresponding probability of the HR being greater than 1 of 94</w:t>
            </w:r>
            <w:r w:rsidRPr="001949D7">
              <w:rPr>
                <w:rFonts w:ascii="Candara" w:hAnsi="Candara" w:hint="eastAsia"/>
              </w:rPr>
              <w:t>·</w:t>
            </w:r>
            <w:r w:rsidRPr="001949D7">
              <w:rPr>
                <w:rFonts w:ascii="Candara" w:hAnsi="Candara" w:hint="eastAsia"/>
              </w:rPr>
              <w:t xml:space="preserve">7%, with an </w:t>
            </w:r>
            <w:r w:rsidRPr="001949D7">
              <w:rPr>
                <w:rFonts w:ascii="Candara" w:hAnsi="Candara" w:hint="eastAsia"/>
              </w:rPr>
              <w:lastRenderedPageBreak/>
              <w:t>estimated HR of 1</w:t>
            </w:r>
            <w:r w:rsidRPr="001949D7">
              <w:rPr>
                <w:rFonts w:ascii="Candara" w:hAnsi="Candara" w:hint="eastAsia"/>
              </w:rPr>
              <w:t>·</w:t>
            </w:r>
            <w:r w:rsidRPr="001949D7">
              <w:rPr>
                <w:rFonts w:ascii="Candara" w:hAnsi="Candara" w:hint="eastAsia"/>
              </w:rPr>
              <w:t>30 (95% CrI 0</w:t>
            </w:r>
            <w:r w:rsidRPr="001949D7">
              <w:rPr>
                <w:rFonts w:ascii="Candara" w:hAnsi="Candara" w:hint="eastAsia"/>
              </w:rPr>
              <w:t>·</w:t>
            </w:r>
            <w:r w:rsidRPr="001949D7">
              <w:rPr>
                <w:rFonts w:ascii="Candara" w:hAnsi="Candara" w:hint="eastAsia"/>
              </w:rPr>
              <w:t>92</w:t>
            </w:r>
            <w:r w:rsidRPr="001949D7">
              <w:rPr>
                <w:rFonts w:ascii="Candara" w:hAnsi="Candara" w:hint="eastAsia"/>
              </w:rPr>
              <w:t>–</w:t>
            </w:r>
            <w:r w:rsidRPr="001949D7">
              <w:rPr>
                <w:rFonts w:ascii="Candara" w:hAnsi="Candara" w:hint="eastAsia"/>
              </w:rPr>
              <w:t>1</w:t>
            </w:r>
            <w:r w:rsidRPr="001949D7">
              <w:rPr>
                <w:rFonts w:ascii="Candara" w:hAnsi="Candara" w:hint="eastAsia"/>
              </w:rPr>
              <w:t>·</w:t>
            </w:r>
            <w:r w:rsidRPr="001949D7">
              <w:rPr>
                <w:rFonts w:ascii="Candara" w:hAnsi="Candara" w:hint="eastAsia"/>
              </w:rPr>
              <w:t xml:space="preserve">71; appendix 2 p9). </w:t>
            </w:r>
          </w:p>
        </w:tc>
        <w:tc>
          <w:tcPr>
            <w:tcW w:w="2329" w:type="dxa"/>
            <w:vAlign w:val="center"/>
          </w:tcPr>
          <w:p w14:paraId="492937CA" w14:textId="6560B04B" w:rsidR="001949D7" w:rsidRPr="00BB14E2" w:rsidRDefault="001949D7" w:rsidP="001949D7">
            <w:pPr>
              <w:rPr>
                <w:rFonts w:ascii="Candara" w:hAnsi="Candara" w:hint="eastAsia"/>
              </w:rPr>
            </w:pPr>
            <w:r w:rsidRPr="001949D7">
              <w:rPr>
                <w:rFonts w:ascii="Candara" w:hAnsi="Candara" w:hint="eastAsia"/>
              </w:rPr>
              <w:lastRenderedPageBreak/>
              <w:t>189</w:t>
            </w:r>
          </w:p>
        </w:tc>
      </w:tr>
      <w:tr w:rsidR="001949D7" w:rsidRPr="00BB14E2" w14:paraId="785D1BEF" w14:textId="77777777" w:rsidTr="001949D7">
        <w:tc>
          <w:tcPr>
            <w:tcW w:w="562" w:type="dxa"/>
            <w:vAlign w:val="center"/>
          </w:tcPr>
          <w:p w14:paraId="0510D46A" w14:textId="4F4D7485" w:rsidR="001949D7" w:rsidRPr="00BB14E2" w:rsidRDefault="001949D7" w:rsidP="001949D7">
            <w:pPr>
              <w:rPr>
                <w:rFonts w:ascii="Candara" w:hAnsi="Candara" w:hint="eastAsia"/>
              </w:rPr>
            </w:pPr>
            <w:r>
              <w:rPr>
                <w:rFonts w:ascii="Candara" w:hAnsi="Candara" w:hint="eastAsia"/>
              </w:rPr>
              <w:t>22</w:t>
            </w:r>
          </w:p>
        </w:tc>
        <w:tc>
          <w:tcPr>
            <w:tcW w:w="3287" w:type="dxa"/>
            <w:vAlign w:val="center"/>
          </w:tcPr>
          <w:p w14:paraId="71B1A538" w14:textId="2C699552" w:rsidR="001949D7" w:rsidRPr="00BB14E2" w:rsidRDefault="001949D7" w:rsidP="001949D7">
            <w:pPr>
              <w:rPr>
                <w:rFonts w:ascii="Candara" w:hAnsi="Candara"/>
              </w:rPr>
            </w:pPr>
            <w:r w:rsidRPr="001949D7">
              <w:rPr>
                <w:rFonts w:ascii="Candara" w:hAnsi="Candara" w:hint="eastAsia"/>
              </w:rPr>
              <w:t>Christopher C Butler (2020)</w:t>
            </w:r>
          </w:p>
        </w:tc>
        <w:tc>
          <w:tcPr>
            <w:tcW w:w="7770" w:type="dxa"/>
            <w:vAlign w:val="center"/>
          </w:tcPr>
          <w:p w14:paraId="471C56D2" w14:textId="6538B43A" w:rsidR="001949D7" w:rsidRPr="001949D7" w:rsidRDefault="001949D7" w:rsidP="001949D7">
            <w:pPr>
              <w:pStyle w:val="a9"/>
              <w:numPr>
                <w:ilvl w:val="0"/>
                <w:numId w:val="27"/>
              </w:numPr>
              <w:rPr>
                <w:rFonts w:ascii="Candara" w:hAnsi="Candara" w:hint="eastAsia"/>
              </w:rPr>
            </w:pPr>
            <w:r w:rsidRPr="001949D7">
              <w:rPr>
                <w:rFonts w:ascii="Candara" w:hAnsi="Candara" w:hint="eastAsia"/>
              </w:rPr>
              <w:t>no evidence of differential benefit between individuals infected with influenza A versus influenza B, no evidence of differential benefit by season.</w:t>
            </w:r>
          </w:p>
        </w:tc>
        <w:tc>
          <w:tcPr>
            <w:tcW w:w="2329" w:type="dxa"/>
            <w:vAlign w:val="center"/>
          </w:tcPr>
          <w:p w14:paraId="253B8B56" w14:textId="49581732" w:rsidR="001949D7" w:rsidRPr="00BB14E2" w:rsidRDefault="001949D7" w:rsidP="001949D7">
            <w:pPr>
              <w:rPr>
                <w:rFonts w:ascii="Candara" w:hAnsi="Candara" w:hint="eastAsia"/>
              </w:rPr>
            </w:pPr>
            <w:r w:rsidRPr="001949D7">
              <w:rPr>
                <w:rFonts w:ascii="Candara" w:hAnsi="Candara" w:hint="eastAsia"/>
              </w:rPr>
              <w:t>48</w:t>
            </w:r>
          </w:p>
        </w:tc>
      </w:tr>
      <w:tr w:rsidR="001949D7" w:rsidRPr="00BB14E2" w14:paraId="308D2421" w14:textId="77777777" w:rsidTr="001949D7">
        <w:tc>
          <w:tcPr>
            <w:tcW w:w="562" w:type="dxa"/>
            <w:vAlign w:val="center"/>
          </w:tcPr>
          <w:p w14:paraId="66E54DE9" w14:textId="50482169" w:rsidR="001949D7" w:rsidRPr="00BB14E2" w:rsidRDefault="001949D7" w:rsidP="001949D7">
            <w:pPr>
              <w:rPr>
                <w:rFonts w:ascii="Candara" w:hAnsi="Candara" w:hint="eastAsia"/>
              </w:rPr>
            </w:pPr>
            <w:r>
              <w:rPr>
                <w:rFonts w:ascii="Candara" w:hAnsi="Candara" w:hint="eastAsia"/>
              </w:rPr>
              <w:t>23</w:t>
            </w:r>
          </w:p>
        </w:tc>
        <w:tc>
          <w:tcPr>
            <w:tcW w:w="3287" w:type="dxa"/>
            <w:vAlign w:val="center"/>
          </w:tcPr>
          <w:p w14:paraId="05EACB33" w14:textId="6992350A" w:rsidR="001949D7" w:rsidRPr="00BB14E2" w:rsidRDefault="001949D7" w:rsidP="001949D7">
            <w:pPr>
              <w:rPr>
                <w:rFonts w:ascii="Candara" w:hAnsi="Candara"/>
              </w:rPr>
            </w:pPr>
            <w:r w:rsidRPr="001949D7">
              <w:rPr>
                <w:rFonts w:ascii="Candara" w:hAnsi="Candara" w:hint="eastAsia"/>
              </w:rPr>
              <w:t>Hilary Siddall (2020)</w:t>
            </w:r>
          </w:p>
        </w:tc>
        <w:tc>
          <w:tcPr>
            <w:tcW w:w="7770" w:type="dxa"/>
            <w:vAlign w:val="center"/>
          </w:tcPr>
          <w:p w14:paraId="1B82180E" w14:textId="4804C583" w:rsidR="001949D7" w:rsidRPr="001949D7" w:rsidRDefault="001949D7" w:rsidP="001949D7">
            <w:pPr>
              <w:pStyle w:val="a9"/>
              <w:numPr>
                <w:ilvl w:val="0"/>
                <w:numId w:val="27"/>
              </w:numPr>
              <w:rPr>
                <w:rFonts w:ascii="Candara" w:hAnsi="Candara" w:hint="eastAsia"/>
              </w:rPr>
            </w:pPr>
            <w:r w:rsidRPr="001949D7">
              <w:rPr>
                <w:rFonts w:ascii="Candara" w:hAnsi="Candara" w:hint="eastAsia"/>
              </w:rPr>
              <w:t>Overall, stratification by eosinophil level in the sensitivity analyses did not have a significant effect</w:t>
            </w:r>
          </w:p>
        </w:tc>
        <w:tc>
          <w:tcPr>
            <w:tcW w:w="2329" w:type="dxa"/>
            <w:vAlign w:val="center"/>
          </w:tcPr>
          <w:p w14:paraId="68E19139" w14:textId="537EACDC" w:rsidR="001949D7" w:rsidRPr="00BB14E2" w:rsidRDefault="001949D7" w:rsidP="001949D7">
            <w:pPr>
              <w:rPr>
                <w:rFonts w:ascii="Candara" w:hAnsi="Candara" w:hint="eastAsia"/>
              </w:rPr>
            </w:pPr>
            <w:r w:rsidRPr="001949D7">
              <w:rPr>
                <w:rFonts w:ascii="Candara" w:hAnsi="Candara" w:hint="eastAsia"/>
              </w:rPr>
              <w:t>7</w:t>
            </w:r>
          </w:p>
        </w:tc>
      </w:tr>
      <w:tr w:rsidR="001949D7" w:rsidRPr="00BB14E2" w14:paraId="386054D7" w14:textId="77777777" w:rsidTr="001949D7">
        <w:tc>
          <w:tcPr>
            <w:tcW w:w="562" w:type="dxa"/>
            <w:vAlign w:val="center"/>
          </w:tcPr>
          <w:p w14:paraId="2D9E8CB5" w14:textId="1E2CB721" w:rsidR="001949D7" w:rsidRPr="00BB14E2" w:rsidRDefault="001949D7" w:rsidP="001949D7">
            <w:pPr>
              <w:rPr>
                <w:rFonts w:ascii="Candara" w:hAnsi="Candara" w:hint="eastAsia"/>
              </w:rPr>
            </w:pPr>
            <w:r>
              <w:rPr>
                <w:rFonts w:ascii="Candara" w:hAnsi="Candara" w:hint="eastAsia"/>
              </w:rPr>
              <w:t>24</w:t>
            </w:r>
          </w:p>
        </w:tc>
        <w:tc>
          <w:tcPr>
            <w:tcW w:w="3287" w:type="dxa"/>
            <w:vAlign w:val="center"/>
          </w:tcPr>
          <w:p w14:paraId="3688B706" w14:textId="2909C110" w:rsidR="001949D7" w:rsidRPr="00BB14E2" w:rsidRDefault="001949D7" w:rsidP="001949D7">
            <w:pPr>
              <w:rPr>
                <w:rFonts w:ascii="Candara" w:hAnsi="Candara"/>
              </w:rPr>
            </w:pPr>
            <w:r w:rsidRPr="001949D7">
              <w:rPr>
                <w:rFonts w:ascii="Candara" w:hAnsi="Candara" w:hint="eastAsia"/>
              </w:rPr>
              <w:t>Jeffrey S. Berger (2022)</w:t>
            </w:r>
          </w:p>
        </w:tc>
        <w:tc>
          <w:tcPr>
            <w:tcW w:w="7770" w:type="dxa"/>
            <w:vAlign w:val="center"/>
          </w:tcPr>
          <w:p w14:paraId="0D4EB928" w14:textId="77777777" w:rsidR="001949D7" w:rsidRPr="001949D7" w:rsidRDefault="001949D7" w:rsidP="001949D7">
            <w:pPr>
              <w:pStyle w:val="a9"/>
              <w:numPr>
                <w:ilvl w:val="0"/>
                <w:numId w:val="28"/>
              </w:numPr>
              <w:rPr>
                <w:rFonts w:ascii="Candara" w:hAnsi="Candara"/>
              </w:rPr>
            </w:pPr>
            <w:r w:rsidRPr="001949D7">
              <w:rPr>
                <w:rFonts w:ascii="Candara" w:hAnsi="Candara" w:hint="eastAsia"/>
              </w:rPr>
              <w:t xml:space="preserve">The frequentist cumulative logistic model showed similar results to the Bayesian analysis. </w:t>
            </w:r>
          </w:p>
          <w:p w14:paraId="35E22EA8" w14:textId="02A4F4C4" w:rsidR="001949D7" w:rsidRPr="001949D7" w:rsidRDefault="001949D7" w:rsidP="001949D7">
            <w:pPr>
              <w:pStyle w:val="a9"/>
              <w:numPr>
                <w:ilvl w:val="0"/>
                <w:numId w:val="28"/>
              </w:numPr>
              <w:rPr>
                <w:rFonts w:ascii="Candara" w:hAnsi="Candara" w:hint="eastAsia"/>
              </w:rPr>
            </w:pPr>
            <w:r w:rsidRPr="001949D7">
              <w:rPr>
                <w:rFonts w:ascii="Candara" w:hAnsi="Candara" w:hint="eastAsia"/>
              </w:rPr>
              <w:t>After excluding 69 patients who did not receive a therapeutic dose of anticoagulant therapy, the estimated OR for the effect of a P2Y12 inhibitor on organ support</w:t>
            </w:r>
            <w:r w:rsidRPr="001949D7">
              <w:rPr>
                <w:rFonts w:ascii="Candara" w:hAnsi="Candara" w:hint="eastAsia"/>
              </w:rPr>
              <w:t>–</w:t>
            </w:r>
            <w:r w:rsidRPr="001949D7">
              <w:rPr>
                <w:rFonts w:ascii="Candara" w:hAnsi="Candara" w:hint="eastAsia"/>
              </w:rPr>
              <w:t>free days was 0.72.</w:t>
            </w:r>
          </w:p>
        </w:tc>
        <w:tc>
          <w:tcPr>
            <w:tcW w:w="2329" w:type="dxa"/>
            <w:vAlign w:val="center"/>
          </w:tcPr>
          <w:p w14:paraId="4124B5D4" w14:textId="44967C42" w:rsidR="001949D7" w:rsidRPr="00BB14E2" w:rsidRDefault="001949D7" w:rsidP="001949D7">
            <w:pPr>
              <w:rPr>
                <w:rFonts w:ascii="Candara" w:hAnsi="Candara" w:hint="eastAsia"/>
              </w:rPr>
            </w:pPr>
            <w:r w:rsidRPr="001949D7">
              <w:rPr>
                <w:rFonts w:ascii="Candara" w:hAnsi="Candara" w:hint="eastAsia"/>
              </w:rPr>
              <w:t>232,</w:t>
            </w:r>
            <w:r w:rsidR="00716B9D">
              <w:rPr>
                <w:rFonts w:ascii="Candara" w:hAnsi="Candara" w:hint="eastAsia"/>
              </w:rPr>
              <w:t xml:space="preserve"> </w:t>
            </w:r>
            <w:r w:rsidRPr="001949D7">
              <w:rPr>
                <w:rFonts w:ascii="Candara" w:hAnsi="Candara" w:hint="eastAsia"/>
              </w:rPr>
              <w:t>233</w:t>
            </w:r>
          </w:p>
        </w:tc>
      </w:tr>
      <w:bookmarkEnd w:id="0"/>
    </w:tbl>
    <w:p w14:paraId="60D52FB2" w14:textId="77777777" w:rsidR="00BB14E2" w:rsidRDefault="00BB14E2" w:rsidP="00BB14E2">
      <w:pPr>
        <w:pStyle w:val="a9"/>
        <w:ind w:left="360"/>
        <w:rPr>
          <w:rFonts w:ascii="Candara" w:hAnsi="Candara"/>
          <w:b/>
          <w:bCs/>
        </w:rPr>
      </w:pPr>
    </w:p>
    <w:p w14:paraId="164DB089" w14:textId="6D93ABB5" w:rsidR="00451AF7" w:rsidRDefault="00BB14E2" w:rsidP="00BB14E2">
      <w:pPr>
        <w:pStyle w:val="a9"/>
        <w:ind w:left="360"/>
        <w:rPr>
          <w:rFonts w:ascii="Candara" w:hAnsi="Candara"/>
          <w:b/>
          <w:bCs/>
        </w:rPr>
      </w:pPr>
      <w:r>
        <w:rPr>
          <w:rFonts w:ascii="Candara" w:hAnsi="Candara"/>
          <w:b/>
          <w:bCs/>
        </w:rPr>
        <w:t>Reference</w:t>
      </w:r>
    </w:p>
    <w:p w14:paraId="4B9F093A" w14:textId="3F7467E8" w:rsidR="006C08FB" w:rsidRPr="007B04D1" w:rsidRDefault="00CF02D9" w:rsidP="007B04D1">
      <w:pPr>
        <w:pStyle w:val="a9"/>
        <w:numPr>
          <w:ilvl w:val="0"/>
          <w:numId w:val="29"/>
        </w:numPr>
        <w:spacing w:line="360" w:lineRule="auto"/>
        <w:ind w:left="357" w:hanging="357"/>
        <w:rPr>
          <w:rFonts w:ascii="Candara" w:hAnsi="Candara"/>
        </w:rPr>
      </w:pPr>
      <w:bookmarkStart w:id="2" w:name="OLE_LINK13"/>
      <w:r w:rsidRPr="007B04D1">
        <w:rPr>
          <w:rFonts w:ascii="Candara" w:hAnsi="Candara"/>
        </w:rPr>
        <w:t>Yau TM, Pagani FD, Mancini DM, et al. Intramyocardial Injection of Mesenchymal Precursor Cells and Successful Temporary Weaning From Left Ventricular Assist Device Support in Patients With Advanced Heart Failure: A Randomized Clinical Trial. JAMA. 2019;321(12):1176-1186. doi:10.1001/jama.2019.2341</w:t>
      </w:r>
      <w:bookmarkEnd w:id="2"/>
      <w:r w:rsidR="007B04D1">
        <w:rPr>
          <w:rFonts w:ascii="Candara" w:hAnsi="Candara" w:hint="eastAsia"/>
        </w:rPr>
        <w:t>.</w:t>
      </w:r>
    </w:p>
    <w:p w14:paraId="047C5D8A" w14:textId="6FC2FB7B" w:rsidR="00CF02D9" w:rsidRPr="007B04D1" w:rsidRDefault="00CF02D9" w:rsidP="007B04D1">
      <w:pPr>
        <w:pStyle w:val="a9"/>
        <w:numPr>
          <w:ilvl w:val="0"/>
          <w:numId w:val="29"/>
        </w:numPr>
        <w:spacing w:line="360" w:lineRule="auto"/>
        <w:ind w:left="357" w:hanging="357"/>
        <w:rPr>
          <w:rFonts w:ascii="Candara" w:hAnsi="Candara"/>
        </w:rPr>
      </w:pPr>
      <w:r w:rsidRPr="007B04D1">
        <w:rPr>
          <w:rFonts w:ascii="Candara" w:hAnsi="Candara"/>
        </w:rPr>
        <w:t>Reis G, Dos Santos Moreira-Silva EA, Silva DCM, et al. Effect of early treatment with fluvoxamine on risk of emergency care and hospitalisation among patients with COVID-19: the TOGETHER randomised, platform clinical trial. Lancet Glob Health. 2022;10(1):e42-e51. doi:10.1016/S2214-109X(21)00448-4</w:t>
      </w:r>
      <w:r w:rsidR="007B04D1">
        <w:rPr>
          <w:rFonts w:ascii="Candara" w:hAnsi="Candara" w:hint="eastAsia"/>
        </w:rPr>
        <w:t>.</w:t>
      </w:r>
    </w:p>
    <w:p w14:paraId="7E4BD720" w14:textId="26369379" w:rsidR="00CF02D9" w:rsidRPr="007B04D1" w:rsidRDefault="00CF02D9" w:rsidP="007B04D1">
      <w:pPr>
        <w:pStyle w:val="a9"/>
        <w:numPr>
          <w:ilvl w:val="0"/>
          <w:numId w:val="29"/>
        </w:numPr>
        <w:spacing w:line="360" w:lineRule="auto"/>
        <w:ind w:left="357" w:hanging="357"/>
        <w:rPr>
          <w:rFonts w:ascii="Candara" w:hAnsi="Candara"/>
        </w:rPr>
      </w:pPr>
      <w:bookmarkStart w:id="3" w:name="_Hlk212650605"/>
      <w:r w:rsidRPr="007B04D1">
        <w:rPr>
          <w:rFonts w:ascii="Candara" w:hAnsi="Candara"/>
        </w:rPr>
        <w:t>Stahl A, Sukgen EA, Wu WC, et al. Effect of Intravitreal Aflibercept vs Laser Photocoagulation on Treatment Success of Retinopathy of Prematurity: The FIREFLEYE Randomized Clinical Trial. JAMA. 2022;328(4):348-359. doi:10.1001/jama.2022.10564</w:t>
      </w:r>
      <w:bookmarkEnd w:id="3"/>
      <w:r w:rsidR="007B04D1">
        <w:rPr>
          <w:rFonts w:ascii="Candara" w:hAnsi="Candara" w:hint="eastAsia"/>
        </w:rPr>
        <w:t>.</w:t>
      </w:r>
    </w:p>
    <w:p w14:paraId="3C59D12D" w14:textId="16C4511E" w:rsidR="00CF02D9" w:rsidRPr="007B04D1" w:rsidRDefault="00CF02D9" w:rsidP="007B04D1">
      <w:pPr>
        <w:pStyle w:val="a9"/>
        <w:numPr>
          <w:ilvl w:val="0"/>
          <w:numId w:val="29"/>
        </w:numPr>
        <w:spacing w:line="360" w:lineRule="auto"/>
        <w:ind w:left="357" w:hanging="357"/>
        <w:rPr>
          <w:rFonts w:ascii="Candara" w:hAnsi="Candara"/>
        </w:rPr>
      </w:pPr>
      <w:bookmarkStart w:id="4" w:name="_Hlk212650613"/>
      <w:r w:rsidRPr="007B04D1">
        <w:rPr>
          <w:rFonts w:ascii="Candara" w:hAnsi="Candara"/>
        </w:rPr>
        <w:t>REMAP-CAP Investigators, Gordon AC, Mouncey PR, et al. Interleukin-6 Receptor Antagonists in Critically Ill Patients with Covid-19. N Engl J Med. 2021;384(16):1491-1502. doi:10.1056/NEJMoa2100433</w:t>
      </w:r>
      <w:bookmarkEnd w:id="4"/>
      <w:r w:rsidR="007B04D1">
        <w:rPr>
          <w:rFonts w:ascii="Candara" w:hAnsi="Candara" w:hint="eastAsia"/>
        </w:rPr>
        <w:t>.</w:t>
      </w:r>
    </w:p>
    <w:p w14:paraId="664E0B46" w14:textId="04689C4E" w:rsidR="00CF02D9" w:rsidRPr="007B04D1" w:rsidRDefault="00CF02D9" w:rsidP="007B04D1">
      <w:pPr>
        <w:pStyle w:val="a9"/>
        <w:numPr>
          <w:ilvl w:val="0"/>
          <w:numId w:val="29"/>
        </w:numPr>
        <w:spacing w:line="360" w:lineRule="auto"/>
        <w:ind w:left="357" w:hanging="357"/>
        <w:rPr>
          <w:rFonts w:ascii="Candara" w:hAnsi="Candara"/>
        </w:rPr>
      </w:pPr>
      <w:bookmarkStart w:id="5" w:name="_Hlk212650620"/>
      <w:r w:rsidRPr="007B04D1">
        <w:rPr>
          <w:rFonts w:ascii="Candara" w:hAnsi="Candara"/>
        </w:rPr>
        <w:t xml:space="preserve">Reis G, Silva EASM, Silva DCM, et al. Effect of Early Treatment with Ivermectin among Patients with Covid-19. N Engl J Med. 2022;386(18):1721-1731. </w:t>
      </w:r>
      <w:r w:rsidRPr="007B04D1">
        <w:rPr>
          <w:rFonts w:ascii="Candara" w:hAnsi="Candara"/>
        </w:rPr>
        <w:lastRenderedPageBreak/>
        <w:t>doi:10.1056/NEJMoa2115869</w:t>
      </w:r>
      <w:bookmarkEnd w:id="5"/>
      <w:r w:rsidR="007B04D1">
        <w:rPr>
          <w:rFonts w:ascii="Candara" w:hAnsi="Candara" w:hint="eastAsia"/>
        </w:rPr>
        <w:t>.</w:t>
      </w:r>
    </w:p>
    <w:p w14:paraId="54E8AB79" w14:textId="3C411CDA" w:rsidR="00CF02D9" w:rsidRPr="007B04D1" w:rsidRDefault="00CF02D9" w:rsidP="007B04D1">
      <w:pPr>
        <w:pStyle w:val="a9"/>
        <w:numPr>
          <w:ilvl w:val="0"/>
          <w:numId w:val="29"/>
        </w:numPr>
        <w:spacing w:line="360" w:lineRule="auto"/>
        <w:ind w:left="357" w:hanging="357"/>
        <w:rPr>
          <w:rFonts w:ascii="Candara" w:hAnsi="Candara"/>
        </w:rPr>
      </w:pPr>
      <w:bookmarkStart w:id="6" w:name="_Hlk212650626"/>
      <w:r w:rsidRPr="007B04D1">
        <w:rPr>
          <w:rFonts w:ascii="Candara" w:hAnsi="Candara"/>
        </w:rPr>
        <w:t>Robinson MF, Damjanov N, Stamenkovic B, et al. Efficacy and Safety of PF-06651600 (Ritlecitinib), a Novel JAK3/TEC Inhibitor, in Patients With Moderate-to-Severe Rheumatoid Arthritis and an Inadequate Response to Methotrexate. Arthritis Rheumatol. 2020;72(10):1621-1631. doi:10.1002/art.41316</w:t>
      </w:r>
      <w:bookmarkEnd w:id="6"/>
      <w:r w:rsidR="007B04D1">
        <w:rPr>
          <w:rFonts w:ascii="Candara" w:hAnsi="Candara" w:hint="eastAsia"/>
        </w:rPr>
        <w:t>.</w:t>
      </w:r>
    </w:p>
    <w:p w14:paraId="7195D830" w14:textId="28FC99BC" w:rsidR="00CF02D9" w:rsidRPr="007B04D1" w:rsidRDefault="00CF02D9" w:rsidP="007B04D1">
      <w:pPr>
        <w:pStyle w:val="a9"/>
        <w:numPr>
          <w:ilvl w:val="0"/>
          <w:numId w:val="29"/>
        </w:numPr>
        <w:spacing w:line="360" w:lineRule="auto"/>
        <w:ind w:left="357" w:hanging="357"/>
        <w:rPr>
          <w:rFonts w:ascii="Candara" w:hAnsi="Candara"/>
        </w:rPr>
      </w:pPr>
      <w:bookmarkStart w:id="7" w:name="_Hlk212650631"/>
      <w:r w:rsidRPr="007B04D1">
        <w:rPr>
          <w:rFonts w:ascii="Candara" w:hAnsi="Candara"/>
        </w:rPr>
        <w:t>REMAP-CAP Investigators, Hills TE, Lorenzi E, et al. Simvastatin in Critically Ill Patients with Covid-19. N Engl J Med. 2023;389(25):2341-2354. doi:10.1056/NEJMoa2309995</w:t>
      </w:r>
      <w:bookmarkEnd w:id="7"/>
      <w:r w:rsidR="007B04D1">
        <w:rPr>
          <w:rFonts w:ascii="Candara" w:hAnsi="Candara" w:hint="eastAsia"/>
        </w:rPr>
        <w:t>.</w:t>
      </w:r>
    </w:p>
    <w:p w14:paraId="2DF9FCBC" w14:textId="7DA28029" w:rsidR="00CF02D9" w:rsidRPr="007B04D1" w:rsidRDefault="00CF02D9" w:rsidP="007B04D1">
      <w:pPr>
        <w:pStyle w:val="a9"/>
        <w:numPr>
          <w:ilvl w:val="0"/>
          <w:numId w:val="29"/>
        </w:numPr>
        <w:spacing w:line="360" w:lineRule="auto"/>
        <w:ind w:left="357" w:hanging="357"/>
        <w:rPr>
          <w:rFonts w:ascii="Candara" w:hAnsi="Candara" w:hint="eastAsia"/>
        </w:rPr>
      </w:pPr>
      <w:r w:rsidRPr="007B04D1">
        <w:rPr>
          <w:rFonts w:ascii="Candara" w:hAnsi="Candara"/>
        </w:rPr>
        <w:t>Iglesias JF, Muller O, Heg D, et al. Biodegradable polymer sirolimus-eluting stents versus durable polymer everolimus-eluting stents in patients with ST-segment elevation myocardial infarction (BIOSTEMI): a single-blind, prospective, randomised superiority trial. Lancet. 2019;394(10205):1243-1253. doi:10.1016/S0140-6736(19)31877-X</w:t>
      </w:r>
      <w:r w:rsidR="007B04D1">
        <w:rPr>
          <w:rFonts w:ascii="Candara" w:hAnsi="Candara" w:hint="eastAsia"/>
        </w:rPr>
        <w:t>.</w:t>
      </w:r>
    </w:p>
    <w:p w14:paraId="0DC30521" w14:textId="5E1B8DF1" w:rsidR="00CF02D9" w:rsidRPr="007B04D1" w:rsidRDefault="00CF02D9" w:rsidP="007B04D1">
      <w:pPr>
        <w:pStyle w:val="a9"/>
        <w:numPr>
          <w:ilvl w:val="0"/>
          <w:numId w:val="29"/>
        </w:numPr>
        <w:spacing w:line="360" w:lineRule="auto"/>
        <w:ind w:left="357" w:hanging="357"/>
        <w:rPr>
          <w:rFonts w:ascii="Candara" w:hAnsi="Candara"/>
        </w:rPr>
      </w:pPr>
      <w:r w:rsidRPr="007B04D1">
        <w:rPr>
          <w:rFonts w:ascii="Candara" w:hAnsi="Candara"/>
        </w:rPr>
        <w:t>Gronchi A, Palmerini E, Quagliuolo V, et al. Neoadjuvant Chemotherapy in High-Risk Soft Tissue Sarcomas: Final Results of a Randomized Trial From Italian (ISG), Spanish (GEIS), French (FSG), and Polish (PSG) Sarcoma Groups. J Clin Oncol. 2020;38(19):2178-2186. doi:10.1200/JCO.19.03289</w:t>
      </w:r>
      <w:r w:rsidR="007B04D1">
        <w:rPr>
          <w:rFonts w:ascii="Candara" w:hAnsi="Candara" w:hint="eastAsia"/>
        </w:rPr>
        <w:t>.</w:t>
      </w:r>
    </w:p>
    <w:p w14:paraId="4F9E1E99" w14:textId="622149DD" w:rsidR="00CF02D9" w:rsidRPr="007B04D1" w:rsidRDefault="00CF02D9" w:rsidP="007B04D1">
      <w:pPr>
        <w:pStyle w:val="a9"/>
        <w:numPr>
          <w:ilvl w:val="0"/>
          <w:numId w:val="29"/>
        </w:numPr>
        <w:spacing w:line="360" w:lineRule="auto"/>
        <w:ind w:left="357" w:hanging="357"/>
        <w:rPr>
          <w:rFonts w:ascii="Candara" w:hAnsi="Candara"/>
        </w:rPr>
      </w:pPr>
      <w:bookmarkStart w:id="8" w:name="_Hlk212650712"/>
      <w:r w:rsidRPr="007B04D1">
        <w:rPr>
          <w:rFonts w:ascii="Candara" w:hAnsi="Candara"/>
        </w:rPr>
        <w:t>I-SPY COVID Consortium. Report of the first seven agents in the I-SPY COVID trial: a phase 2, open label, adaptive platform randomised controlled trial. EClinicalMedicine. 2023;58:101889. doi:10.1016/j.eclinm.2023.101889</w:t>
      </w:r>
      <w:bookmarkEnd w:id="8"/>
      <w:r w:rsidR="007B04D1">
        <w:rPr>
          <w:rFonts w:ascii="Candara" w:hAnsi="Candara" w:hint="eastAsia"/>
        </w:rPr>
        <w:t>.</w:t>
      </w:r>
    </w:p>
    <w:p w14:paraId="03587EA9" w14:textId="321B9208" w:rsidR="00CF02D9" w:rsidRPr="007B04D1" w:rsidRDefault="00CF02D9" w:rsidP="007B04D1">
      <w:pPr>
        <w:pStyle w:val="a9"/>
        <w:numPr>
          <w:ilvl w:val="0"/>
          <w:numId w:val="29"/>
        </w:numPr>
        <w:spacing w:line="360" w:lineRule="auto"/>
        <w:ind w:left="357" w:hanging="357"/>
        <w:rPr>
          <w:rFonts w:ascii="Candara" w:hAnsi="Candara"/>
        </w:rPr>
      </w:pPr>
      <w:bookmarkStart w:id="9" w:name="_Hlk212650719"/>
      <w:r w:rsidRPr="007B04D1">
        <w:rPr>
          <w:rFonts w:ascii="Candara" w:hAnsi="Candara"/>
        </w:rPr>
        <w:t>Hermine O, Mariette X, Tharaux PL, et al. Effect of Tocilizumab vs Usual Care in Adults Hospitalized With COVID-19 and Moderate or Severe Pneumonia: A Randomized Clinical Trial. JAMA Intern Med. 2021;181(1):32-40. doi:10.1001/jamainternmed.2020.6820</w:t>
      </w:r>
      <w:bookmarkEnd w:id="9"/>
      <w:r w:rsidR="007B04D1">
        <w:rPr>
          <w:rFonts w:ascii="Candara" w:hAnsi="Candara" w:hint="eastAsia"/>
        </w:rPr>
        <w:t>.</w:t>
      </w:r>
    </w:p>
    <w:p w14:paraId="5E23225C" w14:textId="66BE0236" w:rsidR="00CF02D9" w:rsidRPr="007B04D1" w:rsidRDefault="00CF02D9" w:rsidP="007B04D1">
      <w:pPr>
        <w:pStyle w:val="a9"/>
        <w:numPr>
          <w:ilvl w:val="0"/>
          <w:numId w:val="29"/>
        </w:numPr>
        <w:spacing w:line="360" w:lineRule="auto"/>
        <w:ind w:left="357" w:hanging="357"/>
        <w:rPr>
          <w:rFonts w:ascii="Candara" w:hAnsi="Candara"/>
        </w:rPr>
      </w:pPr>
      <w:r w:rsidRPr="007B04D1">
        <w:rPr>
          <w:rFonts w:ascii="Candara" w:hAnsi="Candara"/>
        </w:rPr>
        <w:t>Carlson SE, Gajewski BJ, Valentine CJ, et al. Higher dose docosahexaenoic acid supplementation during pregnancy and early preterm birth: A randomised, double-blind, adaptive-design superiority trial. EClinicalMedicine. 2021;36:100905. Published 2021 May 17. doi:10.1016/j.eclinm.2021.100905</w:t>
      </w:r>
      <w:r w:rsidR="007B04D1">
        <w:rPr>
          <w:rFonts w:ascii="Candara" w:hAnsi="Candara" w:hint="eastAsia"/>
        </w:rPr>
        <w:t>.</w:t>
      </w:r>
    </w:p>
    <w:p w14:paraId="4B4022FC" w14:textId="2267D27F" w:rsidR="00CF02D9" w:rsidRPr="007B04D1" w:rsidRDefault="00CF02D9" w:rsidP="007B04D1">
      <w:pPr>
        <w:pStyle w:val="a9"/>
        <w:numPr>
          <w:ilvl w:val="0"/>
          <w:numId w:val="29"/>
        </w:numPr>
        <w:spacing w:line="360" w:lineRule="auto"/>
        <w:ind w:left="357" w:hanging="357"/>
        <w:rPr>
          <w:rFonts w:ascii="Candara" w:hAnsi="Candara"/>
        </w:rPr>
      </w:pPr>
      <w:r w:rsidRPr="007B04D1">
        <w:rPr>
          <w:rFonts w:ascii="Candara" w:hAnsi="Candara"/>
        </w:rPr>
        <w:t xml:space="preserve">Kaizer AM, Shapiro NI, Wild J, et al. Lopinavir/ritonavir for treatment of non-hospitalized patients with COVID-19: a randomized clinical trial. Int J Infect Dis. </w:t>
      </w:r>
      <w:r w:rsidRPr="007B04D1">
        <w:rPr>
          <w:rFonts w:ascii="Candara" w:hAnsi="Candara"/>
        </w:rPr>
        <w:lastRenderedPageBreak/>
        <w:t>2023;128:223-229. doi:10.1016/j.ijid.2022.12.028</w:t>
      </w:r>
      <w:r w:rsidR="007B04D1">
        <w:rPr>
          <w:rFonts w:ascii="Candara" w:hAnsi="Candara" w:hint="eastAsia"/>
        </w:rPr>
        <w:t>.</w:t>
      </w:r>
    </w:p>
    <w:p w14:paraId="0CABC724" w14:textId="040315CD" w:rsidR="00CF02D9" w:rsidRPr="007B04D1" w:rsidRDefault="00CF02D9" w:rsidP="007B04D1">
      <w:pPr>
        <w:pStyle w:val="a9"/>
        <w:numPr>
          <w:ilvl w:val="0"/>
          <w:numId w:val="29"/>
        </w:numPr>
        <w:spacing w:line="360" w:lineRule="auto"/>
        <w:ind w:left="357" w:hanging="357"/>
        <w:rPr>
          <w:rFonts w:ascii="Candara" w:hAnsi="Candara"/>
        </w:rPr>
      </w:pPr>
      <w:bookmarkStart w:id="10" w:name="_Hlk212650763"/>
      <w:r w:rsidRPr="007B04D1">
        <w:rPr>
          <w:rFonts w:ascii="Candara" w:hAnsi="Candara"/>
        </w:rPr>
        <w:t>Kinoshita T, Shinoda M, Nishizaki Y, et al. A multicenter, double-blind, randomized, parallel-group, placebo-controlled study to evaluate the efficacy and safety of camostat mesilate in patients with COVID-19 (CANDLE study). BMC Med. 2022;20(1):342. Published 2022 Sep 27. doi:10.1186/s12916-022-02518-7</w:t>
      </w:r>
      <w:bookmarkEnd w:id="10"/>
      <w:r w:rsidR="007B04D1">
        <w:rPr>
          <w:rFonts w:ascii="Candara" w:hAnsi="Candara" w:hint="eastAsia"/>
        </w:rPr>
        <w:t>.</w:t>
      </w:r>
    </w:p>
    <w:p w14:paraId="072BB9A1" w14:textId="05680DC7" w:rsidR="00CF02D9" w:rsidRPr="007B04D1" w:rsidRDefault="00CF02D9" w:rsidP="007B04D1">
      <w:pPr>
        <w:pStyle w:val="a9"/>
        <w:numPr>
          <w:ilvl w:val="0"/>
          <w:numId w:val="29"/>
        </w:numPr>
        <w:spacing w:line="360" w:lineRule="auto"/>
        <w:ind w:left="357" w:hanging="357"/>
        <w:rPr>
          <w:rFonts w:ascii="Candara" w:hAnsi="Candara"/>
        </w:rPr>
      </w:pPr>
      <w:r w:rsidRPr="007B04D1">
        <w:rPr>
          <w:rFonts w:ascii="Candara" w:hAnsi="Candara"/>
        </w:rPr>
        <w:t>Butler CC, Yu LM, Dorward J, et al. Doxycycline for community treatment of suspected COVID-19 in people at high risk of adverse outcomes in the UK (PRINCIPLE): a randomised, controlled, open-label, adaptive platform trial. Lancet Respir Med. 2021;9(9):1010-1020. doi:10.1016/S2213-2600(21)00310-6</w:t>
      </w:r>
      <w:r w:rsidR="007B04D1">
        <w:rPr>
          <w:rFonts w:ascii="Candara" w:hAnsi="Candara" w:hint="eastAsia"/>
        </w:rPr>
        <w:t>.</w:t>
      </w:r>
    </w:p>
    <w:p w14:paraId="3D17C806" w14:textId="03E53688" w:rsidR="00CF02D9" w:rsidRPr="007B04D1" w:rsidRDefault="00CF02D9" w:rsidP="007B04D1">
      <w:pPr>
        <w:pStyle w:val="a9"/>
        <w:numPr>
          <w:ilvl w:val="0"/>
          <w:numId w:val="29"/>
        </w:numPr>
        <w:spacing w:line="360" w:lineRule="auto"/>
        <w:ind w:left="357" w:hanging="357"/>
        <w:rPr>
          <w:rFonts w:ascii="Candara" w:hAnsi="Candara"/>
        </w:rPr>
      </w:pPr>
      <w:r w:rsidRPr="007B04D1">
        <w:rPr>
          <w:rFonts w:ascii="Candara" w:hAnsi="Candara"/>
        </w:rPr>
        <w:t>Abraham WT, Kuck KH, Goldsmith RL, et al. A Randomized Controlled Trial to Evaluate the Safety and Efficacy of Cardiac Contractility Modulation. JACC Heart Fail. 2018;6(10):874-883. doi:10.1016/j.jchf.2018.04.010</w:t>
      </w:r>
      <w:r w:rsidR="007B04D1">
        <w:rPr>
          <w:rFonts w:ascii="Candara" w:hAnsi="Candara" w:hint="eastAsia"/>
        </w:rPr>
        <w:t>.</w:t>
      </w:r>
    </w:p>
    <w:p w14:paraId="4AE9D645" w14:textId="0B69AB78" w:rsidR="00CF02D9" w:rsidRPr="007B04D1" w:rsidRDefault="007B04D1" w:rsidP="007B04D1">
      <w:pPr>
        <w:pStyle w:val="a9"/>
        <w:numPr>
          <w:ilvl w:val="0"/>
          <w:numId w:val="29"/>
        </w:numPr>
        <w:spacing w:line="360" w:lineRule="auto"/>
        <w:ind w:left="357" w:hanging="357"/>
        <w:rPr>
          <w:rFonts w:ascii="Candara" w:hAnsi="Candara"/>
        </w:rPr>
      </w:pPr>
      <w:r w:rsidRPr="007B04D1">
        <w:rPr>
          <w:rFonts w:ascii="Candara" w:hAnsi="Candara"/>
        </w:rPr>
        <w:t>Fisher BA, Veenith T, Slade D, et al. Namilumab or infliximab compared with standard of care in hospitalised patients with COVID-19 (CATALYST): a randomised, multicentre, multi-arm, multistage, open-label, adaptive, phase 2, proof-of-concept trial. Lancet Respir Med. 2022;10(3):255-266. doi:10.1016/S2213-2600(21)00460-4</w:t>
      </w:r>
      <w:r>
        <w:rPr>
          <w:rFonts w:ascii="Candara" w:hAnsi="Candara" w:hint="eastAsia"/>
        </w:rPr>
        <w:t>.</w:t>
      </w:r>
    </w:p>
    <w:p w14:paraId="7E36941D" w14:textId="6FE3C693" w:rsidR="007B04D1" w:rsidRPr="007B04D1" w:rsidRDefault="007B04D1" w:rsidP="007B04D1">
      <w:pPr>
        <w:pStyle w:val="a9"/>
        <w:numPr>
          <w:ilvl w:val="0"/>
          <w:numId w:val="29"/>
        </w:numPr>
        <w:spacing w:line="360" w:lineRule="auto"/>
        <w:ind w:left="357" w:hanging="357"/>
        <w:rPr>
          <w:rFonts w:ascii="Candara" w:hAnsi="Candara" w:hint="eastAsia"/>
        </w:rPr>
      </w:pPr>
      <w:r w:rsidRPr="007B04D1">
        <w:rPr>
          <w:rFonts w:ascii="Candara" w:hAnsi="Candara"/>
        </w:rPr>
        <w:t>Puduvalli VK, Wu J, Yuan Y, et al. A Bayesian adaptive randomized phase II multicenter trial of bevacizumab with or without vorinostat in adults with recurrent glioblastoma. Neuro Oncol. 2020;22(10):1505-1515. doi:10.1093/neuonc/noaa062</w:t>
      </w:r>
      <w:r>
        <w:rPr>
          <w:rFonts w:ascii="Candara" w:hAnsi="Candara" w:hint="eastAsia"/>
        </w:rPr>
        <w:t>.</w:t>
      </w:r>
    </w:p>
    <w:p w14:paraId="596E6AEB" w14:textId="1045E726" w:rsidR="007B04D1" w:rsidRPr="007B04D1" w:rsidRDefault="007B04D1" w:rsidP="007B04D1">
      <w:pPr>
        <w:pStyle w:val="a9"/>
        <w:numPr>
          <w:ilvl w:val="0"/>
          <w:numId w:val="29"/>
        </w:numPr>
        <w:spacing w:line="360" w:lineRule="auto"/>
        <w:ind w:left="357" w:hanging="357"/>
        <w:rPr>
          <w:rFonts w:ascii="Candara" w:hAnsi="Candara"/>
        </w:rPr>
      </w:pPr>
      <w:r w:rsidRPr="007B04D1">
        <w:rPr>
          <w:rFonts w:ascii="Candara" w:hAnsi="Candara"/>
        </w:rPr>
        <w:tab/>
        <w:t>Reis G, Dos Santos Moreira Silva EA, Medeiros Silva DC, et al. Effect of early treatment with metformin on risk of emergency care and hospitalization among patients with COVID-19: The TOGETHER randomized platform clinical trial. Lancet Reg Health Am. 2022;6:100142. doi:10.1016/j.lana.2021.100142</w:t>
      </w:r>
      <w:r>
        <w:rPr>
          <w:rFonts w:ascii="Candara" w:hAnsi="Candara" w:hint="eastAsia"/>
        </w:rPr>
        <w:t>.</w:t>
      </w:r>
    </w:p>
    <w:p w14:paraId="19117D6A" w14:textId="64C14617" w:rsidR="007B04D1" w:rsidRPr="007B04D1" w:rsidRDefault="007B04D1" w:rsidP="007B04D1">
      <w:pPr>
        <w:pStyle w:val="a9"/>
        <w:numPr>
          <w:ilvl w:val="0"/>
          <w:numId w:val="29"/>
        </w:numPr>
        <w:spacing w:line="360" w:lineRule="auto"/>
        <w:ind w:left="357" w:hanging="357"/>
        <w:rPr>
          <w:rFonts w:ascii="Candara" w:hAnsi="Candara"/>
        </w:rPr>
      </w:pPr>
      <w:r w:rsidRPr="007B04D1">
        <w:rPr>
          <w:rFonts w:ascii="Candara" w:hAnsi="Candara"/>
        </w:rPr>
        <w:t>Writing Committee for the REMAP-CAP Investigators, Lawler PR, Derde LPG, et al. Effect of Angiotensin-Converting Enzyme Inhibitor and Angiotensin Receptor Blocker Initiation on Organ Support-Free Days in Patients Hospitalized With COVID-19: A Randomized Clinical Trial. JAMA. 2023;329(14):1183-1196. doi:10.1001/jama.2023.4480</w:t>
      </w:r>
      <w:r>
        <w:rPr>
          <w:rFonts w:ascii="Candara" w:hAnsi="Candara" w:hint="eastAsia"/>
        </w:rPr>
        <w:t>.</w:t>
      </w:r>
    </w:p>
    <w:p w14:paraId="6F9D41AB" w14:textId="65AABD6A" w:rsidR="007B04D1" w:rsidRPr="007B04D1" w:rsidRDefault="007B04D1" w:rsidP="007B04D1">
      <w:pPr>
        <w:pStyle w:val="a9"/>
        <w:numPr>
          <w:ilvl w:val="0"/>
          <w:numId w:val="29"/>
        </w:numPr>
        <w:spacing w:line="360" w:lineRule="auto"/>
        <w:ind w:left="357" w:hanging="357"/>
        <w:rPr>
          <w:rFonts w:ascii="Candara" w:hAnsi="Candara"/>
        </w:rPr>
      </w:pPr>
      <w:r w:rsidRPr="007B04D1">
        <w:rPr>
          <w:rFonts w:ascii="Candara" w:hAnsi="Candara"/>
        </w:rPr>
        <w:lastRenderedPageBreak/>
        <w:t>Khoo SH, FitzGerald R, Saunders G, et al. Molnupiravir versus placebo in unvaccinated and vaccinated patients with early SARS-CoV-2 infection in the UK (AGILE CST-2): a randomised, placebo-controlled, double-blind, phase 2 trial. Lancet Infect Dis. 2023;23(2):183-195. doi:10.1016/S1473-3099(22)00644-2</w:t>
      </w:r>
      <w:r>
        <w:rPr>
          <w:rFonts w:ascii="Candara" w:hAnsi="Candara" w:hint="eastAsia"/>
        </w:rPr>
        <w:t>.</w:t>
      </w:r>
    </w:p>
    <w:p w14:paraId="0674E234" w14:textId="62317C46" w:rsidR="007B04D1" w:rsidRPr="007B04D1" w:rsidRDefault="007B04D1" w:rsidP="007B04D1">
      <w:pPr>
        <w:pStyle w:val="a9"/>
        <w:numPr>
          <w:ilvl w:val="0"/>
          <w:numId w:val="29"/>
        </w:numPr>
        <w:spacing w:line="360" w:lineRule="auto"/>
        <w:ind w:left="357" w:hanging="357"/>
        <w:rPr>
          <w:rFonts w:ascii="Candara" w:hAnsi="Candara" w:hint="eastAsia"/>
        </w:rPr>
      </w:pPr>
      <w:bookmarkStart w:id="11" w:name="_Hlk212650931"/>
      <w:r w:rsidRPr="007B04D1">
        <w:rPr>
          <w:rFonts w:ascii="Candara" w:hAnsi="Candara"/>
        </w:rPr>
        <w:t>Butler CC, van der Velden AW, Bongard E, et al. Oseltamivir plus usual care versus usual care for influenza-like illness in primary care: an open-label, pragmatic, randomised controlled trial. Lancet. 2020;395(10217):42-52. doi:10.1016/S0140-6736(19)32982-4</w:t>
      </w:r>
      <w:bookmarkEnd w:id="11"/>
      <w:r>
        <w:rPr>
          <w:rFonts w:ascii="Candara" w:hAnsi="Candara" w:hint="eastAsia"/>
        </w:rPr>
        <w:t>.</w:t>
      </w:r>
    </w:p>
    <w:p w14:paraId="4D1694D8" w14:textId="1F79716F" w:rsidR="007B04D1" w:rsidRPr="007B04D1" w:rsidRDefault="007B04D1" w:rsidP="007B04D1">
      <w:pPr>
        <w:pStyle w:val="a9"/>
        <w:numPr>
          <w:ilvl w:val="0"/>
          <w:numId w:val="29"/>
        </w:numPr>
        <w:spacing w:line="360" w:lineRule="auto"/>
        <w:ind w:left="357" w:hanging="357"/>
        <w:rPr>
          <w:rFonts w:ascii="Candara" w:hAnsi="Candara" w:hint="eastAsia"/>
        </w:rPr>
      </w:pPr>
      <w:bookmarkStart w:id="12" w:name="_Hlk212650939"/>
      <w:r w:rsidRPr="007B04D1">
        <w:rPr>
          <w:rFonts w:ascii="Candara" w:hAnsi="Candara"/>
        </w:rPr>
        <w:t>Siddall H, Quint D, Pandya H, et al. Intranasal GSK2245035, a Toll-like receptor 7 agonist, does not attenuate the allergen-induced asthmatic response in a randomized, double-blind, placebo-controlled experimental medicine study. PLoS One. 2020;15(11):e0240964. Published 2020 Nov 9. doi:10.1371/journal.pone.0240964</w:t>
      </w:r>
      <w:bookmarkEnd w:id="12"/>
      <w:r>
        <w:rPr>
          <w:rFonts w:ascii="Candara" w:hAnsi="Candara" w:hint="eastAsia"/>
        </w:rPr>
        <w:t>.</w:t>
      </w:r>
    </w:p>
    <w:p w14:paraId="12ADA063" w14:textId="1101674D" w:rsidR="007B04D1" w:rsidRPr="007B04D1" w:rsidRDefault="007B04D1" w:rsidP="007B04D1">
      <w:pPr>
        <w:pStyle w:val="a9"/>
        <w:numPr>
          <w:ilvl w:val="0"/>
          <w:numId w:val="29"/>
        </w:numPr>
        <w:spacing w:line="360" w:lineRule="auto"/>
        <w:ind w:left="357" w:hanging="357"/>
        <w:rPr>
          <w:rFonts w:ascii="Candara" w:hAnsi="Candara" w:hint="eastAsia"/>
        </w:rPr>
      </w:pPr>
      <w:r w:rsidRPr="007B04D1">
        <w:rPr>
          <w:rFonts w:ascii="Candara" w:hAnsi="Candara"/>
        </w:rPr>
        <w:t>Berger JS, Kornblith LZ, Gong MN, et al. Effect of P2Y12 Inhibitors on Survival Free of Organ Support Among Non-Critically Ill Hospitalized Patients With COVID-19: A Randomized Clinical Trial. JAMA. 2022;327(3):227-236. doi:10.1001/jama.2021.23605</w:t>
      </w:r>
      <w:r>
        <w:rPr>
          <w:rFonts w:ascii="Candara" w:hAnsi="Candara" w:hint="eastAsia"/>
        </w:rPr>
        <w:t>.</w:t>
      </w:r>
    </w:p>
    <w:p w14:paraId="5C3E12BA" w14:textId="77777777" w:rsidR="00BB14E2" w:rsidRDefault="00BB14E2" w:rsidP="00451AF7">
      <w:pPr>
        <w:rPr>
          <w:rFonts w:ascii="Candara" w:hAnsi="Candara"/>
          <w:b/>
          <w:bCs/>
        </w:rPr>
      </w:pPr>
    </w:p>
    <w:p w14:paraId="360A1AC9" w14:textId="77777777" w:rsidR="00BB14E2" w:rsidRDefault="00BB14E2" w:rsidP="00451AF7">
      <w:pPr>
        <w:rPr>
          <w:rFonts w:ascii="Candara" w:hAnsi="Candara"/>
          <w:b/>
          <w:bCs/>
        </w:rPr>
      </w:pPr>
    </w:p>
    <w:p w14:paraId="242A668D" w14:textId="77777777" w:rsidR="00BB14E2" w:rsidRDefault="00BB14E2" w:rsidP="00451AF7">
      <w:pPr>
        <w:rPr>
          <w:rFonts w:ascii="Candara" w:hAnsi="Candara"/>
          <w:b/>
          <w:bCs/>
        </w:rPr>
      </w:pPr>
    </w:p>
    <w:p w14:paraId="4D1969CE" w14:textId="77777777" w:rsidR="00BB14E2" w:rsidRDefault="00BB14E2" w:rsidP="00451AF7">
      <w:pPr>
        <w:rPr>
          <w:rFonts w:ascii="Candara" w:hAnsi="Candara"/>
          <w:b/>
          <w:bCs/>
        </w:rPr>
      </w:pPr>
    </w:p>
    <w:p w14:paraId="1A1EA408" w14:textId="77777777" w:rsidR="00BB14E2" w:rsidRDefault="00BB14E2" w:rsidP="00451AF7">
      <w:pPr>
        <w:rPr>
          <w:rFonts w:ascii="Candara" w:hAnsi="Candara"/>
          <w:b/>
          <w:bCs/>
        </w:rPr>
      </w:pPr>
    </w:p>
    <w:p w14:paraId="7CF02D73" w14:textId="77777777" w:rsidR="00BB14E2" w:rsidRDefault="00BB14E2" w:rsidP="00451AF7">
      <w:pPr>
        <w:rPr>
          <w:rFonts w:ascii="Candara" w:hAnsi="Candara"/>
          <w:b/>
          <w:bCs/>
        </w:rPr>
      </w:pPr>
    </w:p>
    <w:p w14:paraId="6F9F48C9" w14:textId="77777777" w:rsidR="00BB14E2" w:rsidRDefault="00BB14E2" w:rsidP="00451AF7">
      <w:pPr>
        <w:rPr>
          <w:rFonts w:ascii="Candara" w:hAnsi="Candara"/>
          <w:b/>
          <w:bCs/>
        </w:rPr>
      </w:pPr>
    </w:p>
    <w:p w14:paraId="53CAD074" w14:textId="77777777" w:rsidR="00BB14E2" w:rsidRDefault="00BB14E2" w:rsidP="00451AF7">
      <w:pPr>
        <w:rPr>
          <w:rFonts w:ascii="Candara" w:hAnsi="Candara"/>
          <w:b/>
          <w:bCs/>
        </w:rPr>
      </w:pPr>
    </w:p>
    <w:p w14:paraId="26615D81" w14:textId="77777777" w:rsidR="00BB14E2" w:rsidRDefault="00BB14E2" w:rsidP="00451AF7">
      <w:pPr>
        <w:rPr>
          <w:rFonts w:ascii="Candara" w:hAnsi="Candara"/>
          <w:b/>
          <w:bCs/>
        </w:rPr>
      </w:pPr>
    </w:p>
    <w:p w14:paraId="3BAFFCCA" w14:textId="77777777" w:rsidR="00BB14E2" w:rsidRDefault="00BB14E2" w:rsidP="00451AF7">
      <w:pPr>
        <w:rPr>
          <w:rFonts w:ascii="Candara" w:hAnsi="Candara"/>
          <w:b/>
          <w:bCs/>
        </w:rPr>
      </w:pPr>
    </w:p>
    <w:p w14:paraId="308C649E" w14:textId="77777777" w:rsidR="00BB14E2" w:rsidRDefault="00BB14E2" w:rsidP="00451AF7">
      <w:pPr>
        <w:rPr>
          <w:rFonts w:ascii="Candara" w:hAnsi="Candara"/>
          <w:b/>
          <w:bCs/>
        </w:rPr>
      </w:pPr>
    </w:p>
    <w:p w14:paraId="6431544E" w14:textId="77777777" w:rsidR="00BB14E2" w:rsidRDefault="00BB14E2" w:rsidP="00451AF7">
      <w:pPr>
        <w:rPr>
          <w:rFonts w:ascii="Candara" w:hAnsi="Candara"/>
          <w:b/>
          <w:bCs/>
        </w:rPr>
      </w:pPr>
    </w:p>
    <w:p w14:paraId="23FC5B16" w14:textId="77777777" w:rsidR="006C08FB" w:rsidRDefault="006C08FB" w:rsidP="00451AF7">
      <w:pPr>
        <w:rPr>
          <w:rFonts w:ascii="Candara" w:hAnsi="Candara"/>
          <w:b/>
          <w:bCs/>
        </w:rPr>
      </w:pPr>
    </w:p>
    <w:p w14:paraId="1B7893AE" w14:textId="1DAF3432" w:rsidR="00291C1D" w:rsidRDefault="00291C1D" w:rsidP="00291C1D">
      <w:pPr>
        <w:jc w:val="center"/>
        <w:rPr>
          <w:rFonts w:ascii="Candara" w:hAnsi="Candara"/>
          <w:b/>
          <w:bCs/>
        </w:rPr>
      </w:pPr>
      <w:r w:rsidRPr="00451AF7">
        <w:rPr>
          <w:rFonts w:ascii="Candara" w:hAnsi="Candara"/>
          <w:b/>
          <w:bCs/>
        </w:rPr>
        <w:lastRenderedPageBreak/>
        <w:t>Table S</w:t>
      </w:r>
      <w:r>
        <w:rPr>
          <w:rFonts w:ascii="Candara" w:hAnsi="Candara" w:hint="eastAsia"/>
          <w:b/>
          <w:bCs/>
        </w:rPr>
        <w:t>2</w:t>
      </w:r>
      <w:r w:rsidRPr="00451AF7">
        <w:rPr>
          <w:rFonts w:ascii="Candara" w:hAnsi="Candara"/>
          <w:b/>
          <w:bCs/>
        </w:rPr>
        <w:t xml:space="preserve">. </w:t>
      </w:r>
      <w:r>
        <w:rPr>
          <w:rFonts w:ascii="Candara" w:hAnsi="Candara" w:hint="eastAsia"/>
          <w:b/>
          <w:bCs/>
        </w:rPr>
        <w:t xml:space="preserve">Detailed information regarding </w:t>
      </w:r>
      <w:r w:rsidRPr="00451AF7">
        <w:rPr>
          <w:rFonts w:ascii="Candara" w:hAnsi="Candara"/>
          <w:b/>
          <w:bCs/>
        </w:rPr>
        <w:t>the sensitivity analysis</w:t>
      </w:r>
      <w:r w:rsidR="00BB14E2">
        <w:rPr>
          <w:rFonts w:ascii="Candara" w:hAnsi="Candara" w:hint="eastAsia"/>
          <w:b/>
          <w:bCs/>
        </w:rPr>
        <w:t xml:space="preserve"> </w:t>
      </w:r>
      <w:r w:rsidR="00BB14E2">
        <w:rPr>
          <w:rFonts w:ascii="Candara" w:hAnsi="Candara"/>
          <w:b/>
          <w:bCs/>
        </w:rPr>
        <w:t>specified</w:t>
      </w:r>
      <w:r w:rsidRPr="00451AF7">
        <w:rPr>
          <w:rFonts w:ascii="Candara" w:hAnsi="Candara"/>
          <w:b/>
          <w:bCs/>
        </w:rPr>
        <w:t xml:space="preserve"> in </w:t>
      </w:r>
      <w:r>
        <w:rPr>
          <w:rFonts w:ascii="Candara" w:hAnsi="Candara" w:hint="eastAsia"/>
          <w:b/>
          <w:bCs/>
        </w:rPr>
        <w:t>protocol</w:t>
      </w:r>
      <w:r w:rsidR="003234F3">
        <w:rPr>
          <w:rFonts w:ascii="Candara" w:hAnsi="Candara" w:hint="eastAsia"/>
          <w:b/>
          <w:bCs/>
        </w:rPr>
        <w:t>/SAP</w:t>
      </w:r>
      <w:r w:rsidRPr="00451AF7">
        <w:rPr>
          <w:rFonts w:ascii="Candara" w:hAnsi="Candara"/>
          <w:b/>
          <w:bCs/>
        </w:rPr>
        <w:t xml:space="preserve"> but do not include it in </w:t>
      </w:r>
      <w:r>
        <w:rPr>
          <w:rFonts w:ascii="Candara" w:hAnsi="Candara" w:hint="eastAsia"/>
          <w:b/>
          <w:bCs/>
        </w:rPr>
        <w:t>results</w:t>
      </w:r>
    </w:p>
    <w:tbl>
      <w:tblPr>
        <w:tblStyle w:val="af4"/>
        <w:tblW w:w="14596" w:type="dxa"/>
        <w:jc w:val="center"/>
        <w:tblLook w:val="04A0" w:firstRow="1" w:lastRow="0" w:firstColumn="1" w:lastColumn="0" w:noHBand="0" w:noVBand="1"/>
      </w:tblPr>
      <w:tblGrid>
        <w:gridCol w:w="528"/>
        <w:gridCol w:w="3011"/>
        <w:gridCol w:w="9364"/>
        <w:gridCol w:w="1693"/>
      </w:tblGrid>
      <w:tr w:rsidR="006C08FB" w:rsidRPr="0034235F" w14:paraId="40E5FB8F" w14:textId="3D1D6798" w:rsidTr="00266DBF">
        <w:trPr>
          <w:jc w:val="center"/>
        </w:trPr>
        <w:tc>
          <w:tcPr>
            <w:tcW w:w="528" w:type="dxa"/>
            <w:vAlign w:val="center"/>
          </w:tcPr>
          <w:p w14:paraId="6A12C043" w14:textId="6B61D0D6" w:rsidR="006C08FB" w:rsidRPr="00913A78" w:rsidRDefault="006C08FB" w:rsidP="00266DBF">
            <w:pPr>
              <w:rPr>
                <w:rFonts w:ascii="Candara" w:hAnsi="Candara"/>
                <w:b/>
                <w:bCs/>
                <w:color w:val="000000" w:themeColor="text1"/>
              </w:rPr>
            </w:pPr>
            <w:r w:rsidRPr="00913A78">
              <w:rPr>
                <w:rFonts w:ascii="Candara" w:hAnsi="Candara"/>
                <w:b/>
                <w:bCs/>
                <w:color w:val="000000" w:themeColor="text1"/>
              </w:rPr>
              <w:t>No.</w:t>
            </w:r>
          </w:p>
        </w:tc>
        <w:tc>
          <w:tcPr>
            <w:tcW w:w="3011" w:type="dxa"/>
            <w:vAlign w:val="center"/>
          </w:tcPr>
          <w:p w14:paraId="7BC62CB6" w14:textId="1EA30D50" w:rsidR="006C08FB" w:rsidRPr="00913A78" w:rsidRDefault="006C08FB" w:rsidP="00266DBF">
            <w:pPr>
              <w:rPr>
                <w:rFonts w:ascii="Candara" w:hAnsi="Candara"/>
                <w:b/>
                <w:bCs/>
                <w:color w:val="000000" w:themeColor="text1"/>
              </w:rPr>
            </w:pPr>
            <w:r w:rsidRPr="00913A78">
              <w:rPr>
                <w:rFonts w:ascii="Candara" w:hAnsi="Candara"/>
                <w:b/>
                <w:bCs/>
                <w:color w:val="000000" w:themeColor="text1"/>
              </w:rPr>
              <w:t>First autho</w:t>
            </w:r>
            <w:r w:rsidR="005D191D" w:rsidRPr="00913A78">
              <w:rPr>
                <w:rFonts w:ascii="Candara" w:hAnsi="Candara"/>
                <w:b/>
                <w:bCs/>
                <w:color w:val="000000" w:themeColor="text1"/>
              </w:rPr>
              <w:t>r</w:t>
            </w:r>
          </w:p>
        </w:tc>
        <w:tc>
          <w:tcPr>
            <w:tcW w:w="9364" w:type="dxa"/>
            <w:vAlign w:val="center"/>
          </w:tcPr>
          <w:p w14:paraId="7CAE2C4A" w14:textId="41CD61CD" w:rsidR="006C08FB" w:rsidRPr="00913A78" w:rsidRDefault="006C08FB" w:rsidP="00266DBF">
            <w:pPr>
              <w:rPr>
                <w:rFonts w:ascii="Candara" w:hAnsi="Candara"/>
                <w:b/>
                <w:bCs/>
                <w:color w:val="000000" w:themeColor="text1"/>
              </w:rPr>
            </w:pPr>
            <w:r w:rsidRPr="00913A78">
              <w:rPr>
                <w:rFonts w:ascii="Candara" w:hAnsi="Candara"/>
                <w:b/>
                <w:bCs/>
                <w:color w:val="000000" w:themeColor="text1"/>
              </w:rPr>
              <w:t xml:space="preserve">Description of sensitivity analysis in protocol or SAP </w:t>
            </w:r>
          </w:p>
        </w:tc>
        <w:tc>
          <w:tcPr>
            <w:tcW w:w="1693" w:type="dxa"/>
            <w:vAlign w:val="center"/>
          </w:tcPr>
          <w:p w14:paraId="2C1C02EB" w14:textId="4031C2DA" w:rsidR="006C08FB" w:rsidRPr="00913A78" w:rsidRDefault="006C08FB" w:rsidP="00266DBF">
            <w:pPr>
              <w:rPr>
                <w:rFonts w:ascii="Candara" w:hAnsi="Candara"/>
                <w:b/>
                <w:bCs/>
                <w:color w:val="000000" w:themeColor="text1"/>
              </w:rPr>
            </w:pPr>
            <w:bookmarkStart w:id="13" w:name="OLE_LINK3"/>
            <w:r w:rsidRPr="00913A78">
              <w:rPr>
                <w:rFonts w:ascii="Candara" w:hAnsi="Candara"/>
                <w:b/>
                <w:bCs/>
                <w:color w:val="000000" w:themeColor="text1"/>
              </w:rPr>
              <w:t>page number in protocol or SAP</w:t>
            </w:r>
            <w:bookmarkEnd w:id="13"/>
          </w:p>
        </w:tc>
      </w:tr>
      <w:tr w:rsidR="0034235F" w:rsidRPr="0034235F" w14:paraId="7F62D540" w14:textId="49A8BCE6" w:rsidTr="00266DBF">
        <w:trPr>
          <w:jc w:val="center"/>
        </w:trPr>
        <w:tc>
          <w:tcPr>
            <w:tcW w:w="528" w:type="dxa"/>
            <w:vAlign w:val="center"/>
          </w:tcPr>
          <w:p w14:paraId="3E77E80A" w14:textId="2295A192" w:rsidR="0034235F" w:rsidRPr="00913A78" w:rsidRDefault="0034235F" w:rsidP="00266DBF">
            <w:pPr>
              <w:rPr>
                <w:rFonts w:ascii="Candara" w:hAnsi="Candara"/>
                <w:color w:val="000000" w:themeColor="text1"/>
              </w:rPr>
            </w:pPr>
            <w:r w:rsidRPr="00913A78">
              <w:rPr>
                <w:rFonts w:ascii="Candara" w:hAnsi="Candara"/>
                <w:color w:val="000000" w:themeColor="text1"/>
              </w:rPr>
              <w:t>1</w:t>
            </w:r>
          </w:p>
        </w:tc>
        <w:tc>
          <w:tcPr>
            <w:tcW w:w="3011" w:type="dxa"/>
            <w:vAlign w:val="center"/>
          </w:tcPr>
          <w:p w14:paraId="51F06D59" w14:textId="5C4C5C4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Terrence M.Yau (2019)</w:t>
            </w:r>
          </w:p>
        </w:tc>
        <w:tc>
          <w:tcPr>
            <w:tcW w:w="9364" w:type="dxa"/>
            <w:vAlign w:val="center"/>
          </w:tcPr>
          <w:p w14:paraId="4A9D5657"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Sensitivity analysis will be conducted to investigate possible violations of the missing at random assumption. </w:t>
            </w:r>
          </w:p>
          <w:p w14:paraId="35A2288A"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An additional analysis based on a frequentist approach will also be conducted on the primary outcome as a sensitivity analysis. </w:t>
            </w:r>
          </w:p>
          <w:p w14:paraId="0F9FC55A" w14:textId="11063168"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Negative binomial regression will be used to compare the number of successful weans in the first 6 months after randomization between the MPC and the control group and will include an offset term to adjust for the total number of possible wean assessments.</w:t>
            </w:r>
          </w:p>
        </w:tc>
        <w:tc>
          <w:tcPr>
            <w:tcW w:w="1693" w:type="dxa"/>
            <w:vAlign w:val="center"/>
          </w:tcPr>
          <w:p w14:paraId="6963A0FD" w14:textId="49AE226C" w:rsidR="0034235F" w:rsidRPr="00913A78" w:rsidRDefault="0034235F" w:rsidP="00266DBF">
            <w:pPr>
              <w:rPr>
                <w:rFonts w:ascii="Candara" w:hAnsi="Candara" w:hint="eastAsia"/>
                <w:color w:val="000000" w:themeColor="text1"/>
              </w:rPr>
            </w:pPr>
            <w:r w:rsidRPr="00913A78">
              <w:rPr>
                <w:rFonts w:ascii="Candara" w:eastAsia="等线" w:hAnsi="Candara"/>
                <w:color w:val="000000" w:themeColor="text1"/>
                <w:sz w:val="22"/>
              </w:rPr>
              <w:t>18</w:t>
            </w:r>
            <w:r w:rsidRPr="00913A78">
              <w:rPr>
                <w:rFonts w:ascii="Candara" w:eastAsia="等线" w:hAnsi="Candara" w:hint="eastAsia"/>
                <w:color w:val="000000" w:themeColor="text1"/>
                <w:sz w:val="22"/>
              </w:rPr>
              <w:t>,</w:t>
            </w:r>
            <w:r w:rsidRPr="00913A78">
              <w:rPr>
                <w:rFonts w:ascii="Candara" w:eastAsia="等线" w:hAnsi="Candara"/>
                <w:color w:val="000000" w:themeColor="text1"/>
                <w:sz w:val="22"/>
              </w:rPr>
              <w:t>19</w:t>
            </w:r>
            <w:bookmarkStart w:id="14" w:name="OLE_LINK12"/>
            <w:r w:rsidRPr="00913A78">
              <w:rPr>
                <w:rFonts w:ascii="Candara" w:eastAsia="等线" w:hAnsi="Candara" w:hint="eastAsia"/>
                <w:color w:val="000000" w:themeColor="text1"/>
                <w:sz w:val="22"/>
              </w:rPr>
              <w:t>; P</w:t>
            </w:r>
            <w:r w:rsidRPr="00913A78">
              <w:rPr>
                <w:rFonts w:ascii="Candara" w:eastAsia="等线" w:hAnsi="Candara" w:hint="eastAsia"/>
                <w:color w:val="000000" w:themeColor="text1"/>
                <w:sz w:val="22"/>
              </w:rPr>
              <w:t>rotocol</w:t>
            </w:r>
            <w:bookmarkEnd w:id="14"/>
          </w:p>
        </w:tc>
      </w:tr>
      <w:tr w:rsidR="0034235F" w:rsidRPr="0034235F" w14:paraId="3533178B" w14:textId="2E23F728" w:rsidTr="00266DBF">
        <w:trPr>
          <w:jc w:val="center"/>
        </w:trPr>
        <w:tc>
          <w:tcPr>
            <w:tcW w:w="528" w:type="dxa"/>
            <w:vAlign w:val="center"/>
          </w:tcPr>
          <w:p w14:paraId="3A4BF864" w14:textId="61643361" w:rsidR="0034235F" w:rsidRPr="00913A78" w:rsidRDefault="0034235F" w:rsidP="00266DBF">
            <w:pPr>
              <w:rPr>
                <w:rFonts w:ascii="Candara" w:hAnsi="Candara"/>
                <w:color w:val="000000" w:themeColor="text1"/>
              </w:rPr>
            </w:pPr>
            <w:r w:rsidRPr="00913A78">
              <w:rPr>
                <w:rFonts w:ascii="Candara" w:hAnsi="Candara"/>
                <w:color w:val="000000" w:themeColor="text1"/>
              </w:rPr>
              <w:t>2</w:t>
            </w:r>
          </w:p>
        </w:tc>
        <w:tc>
          <w:tcPr>
            <w:tcW w:w="3011" w:type="dxa"/>
            <w:vAlign w:val="center"/>
          </w:tcPr>
          <w:p w14:paraId="0D9BE400" w14:textId="7BF37B8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Nils Venhoff (2023)</w:t>
            </w:r>
          </w:p>
        </w:tc>
        <w:tc>
          <w:tcPr>
            <w:tcW w:w="9364" w:type="dxa"/>
            <w:vAlign w:val="center"/>
          </w:tcPr>
          <w:p w14:paraId="30868F45" w14:textId="1B66EF8E"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Furthermore, the primary analysis will be repeated based on only signs and symptoms of GCA in order to mitigate against the possibility of biasing.</w:t>
            </w:r>
          </w:p>
        </w:tc>
        <w:tc>
          <w:tcPr>
            <w:tcW w:w="1693" w:type="dxa"/>
            <w:vAlign w:val="center"/>
          </w:tcPr>
          <w:p w14:paraId="34CD8CED" w14:textId="5FE3719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9</w:t>
            </w:r>
            <w:r w:rsidRPr="00913A78">
              <w:rPr>
                <w:rFonts w:ascii="Candara" w:eastAsia="等线" w:hAnsi="Candara" w:hint="eastAsia"/>
                <w:color w:val="000000" w:themeColor="text1"/>
                <w:sz w:val="22"/>
              </w:rPr>
              <w:t>; Protocol</w:t>
            </w:r>
          </w:p>
        </w:tc>
      </w:tr>
      <w:tr w:rsidR="0034235F" w:rsidRPr="0034235F" w14:paraId="2C427DAD" w14:textId="4CA4404E" w:rsidTr="00266DBF">
        <w:trPr>
          <w:jc w:val="center"/>
        </w:trPr>
        <w:tc>
          <w:tcPr>
            <w:tcW w:w="528" w:type="dxa"/>
            <w:vAlign w:val="center"/>
          </w:tcPr>
          <w:p w14:paraId="76701ECB" w14:textId="5C140C2B" w:rsidR="0034235F" w:rsidRPr="00913A78" w:rsidRDefault="0034235F" w:rsidP="00266DBF">
            <w:pPr>
              <w:rPr>
                <w:rFonts w:ascii="Candara" w:hAnsi="Candara"/>
                <w:color w:val="000000" w:themeColor="text1"/>
              </w:rPr>
            </w:pPr>
            <w:r w:rsidRPr="00913A78">
              <w:rPr>
                <w:rFonts w:ascii="Candara" w:hAnsi="Candara"/>
                <w:color w:val="000000" w:themeColor="text1"/>
              </w:rPr>
              <w:t>3</w:t>
            </w:r>
          </w:p>
        </w:tc>
        <w:tc>
          <w:tcPr>
            <w:tcW w:w="3011" w:type="dxa"/>
            <w:vAlign w:val="center"/>
          </w:tcPr>
          <w:p w14:paraId="041B024C" w14:textId="42D60BB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Andreas Stahl (2022)</w:t>
            </w:r>
          </w:p>
        </w:tc>
        <w:tc>
          <w:tcPr>
            <w:tcW w:w="9364" w:type="dxa"/>
            <w:vAlign w:val="center"/>
          </w:tcPr>
          <w:p w14:paraId="030B3023"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The primary analysis for this endpoint will be based on the investigators’ assessments of ROP and analyzed for FAS and repeated for mFAS and PPS. </w:t>
            </w:r>
          </w:p>
          <w:p w14:paraId="1B33C613" w14:textId="12CDFA62"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 sensitivity analysis will be performed where the RC data will be used instead of the investigator assessments of ROP at week 24 for FAS, mFAS and PPS. </w:t>
            </w:r>
          </w:p>
        </w:tc>
        <w:tc>
          <w:tcPr>
            <w:tcW w:w="1693" w:type="dxa"/>
            <w:vAlign w:val="center"/>
          </w:tcPr>
          <w:p w14:paraId="5443D2DE" w14:textId="45326606" w:rsidR="0034235F" w:rsidRPr="00913A78" w:rsidRDefault="0034235F" w:rsidP="00266DBF">
            <w:pPr>
              <w:rPr>
                <w:rFonts w:ascii="Candara" w:hAnsi="Candara" w:hint="eastAsia"/>
                <w:color w:val="000000" w:themeColor="text1"/>
              </w:rPr>
            </w:pPr>
            <w:r w:rsidRPr="00913A78">
              <w:rPr>
                <w:rFonts w:ascii="Candara" w:eastAsia="等线" w:hAnsi="Candara"/>
                <w:color w:val="000000" w:themeColor="text1"/>
                <w:sz w:val="22"/>
              </w:rPr>
              <w:t>13, 15</w:t>
            </w:r>
            <w:r w:rsidRPr="00913A78">
              <w:rPr>
                <w:rFonts w:ascii="Candara" w:eastAsia="等线" w:hAnsi="Candara" w:hint="eastAsia"/>
                <w:color w:val="000000" w:themeColor="text1"/>
                <w:sz w:val="22"/>
              </w:rPr>
              <w:t>; SAP</w:t>
            </w:r>
          </w:p>
        </w:tc>
      </w:tr>
      <w:tr w:rsidR="0034235F" w:rsidRPr="0034235F" w14:paraId="1E26306B" w14:textId="48FD6304" w:rsidTr="00266DBF">
        <w:trPr>
          <w:jc w:val="center"/>
        </w:trPr>
        <w:tc>
          <w:tcPr>
            <w:tcW w:w="528" w:type="dxa"/>
            <w:vAlign w:val="center"/>
          </w:tcPr>
          <w:p w14:paraId="12D59FB7" w14:textId="0823B819" w:rsidR="0034235F" w:rsidRPr="00913A78" w:rsidRDefault="0034235F" w:rsidP="00266DBF">
            <w:pPr>
              <w:rPr>
                <w:rFonts w:ascii="Candara" w:hAnsi="Candara"/>
                <w:color w:val="000000" w:themeColor="text1"/>
              </w:rPr>
            </w:pPr>
            <w:r w:rsidRPr="00913A78">
              <w:rPr>
                <w:rFonts w:ascii="Candara" w:hAnsi="Candara"/>
                <w:color w:val="000000" w:themeColor="text1"/>
              </w:rPr>
              <w:t>4</w:t>
            </w:r>
          </w:p>
        </w:tc>
        <w:tc>
          <w:tcPr>
            <w:tcW w:w="3011" w:type="dxa"/>
            <w:vAlign w:val="center"/>
          </w:tcPr>
          <w:p w14:paraId="0DDC2739" w14:textId="3EBE49F0"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 xml:space="preserve"> The REMAP</w:t>
            </w:r>
            <w:r w:rsidRPr="00913A78">
              <w:rPr>
                <w:rFonts w:ascii="Candara" w:eastAsia="等线" w:hAnsi="Candara"/>
                <w:color w:val="000000" w:themeColor="text1"/>
                <w:sz w:val="22"/>
              </w:rPr>
              <w:noBreakHyphen/>
              <w:t>CAP Investigators (2021)</w:t>
            </w:r>
          </w:p>
        </w:tc>
        <w:tc>
          <w:tcPr>
            <w:tcW w:w="9364" w:type="dxa"/>
            <w:vAlign w:val="center"/>
          </w:tcPr>
          <w:p w14:paraId="0F95B0CC"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 sensitivity analysis of the primary analysis of Tocilizumab with less informative priors on </w:t>
            </w:r>
            <w:r w:rsidRPr="00913A78">
              <w:rPr>
                <w:rFonts w:ascii="Candara" w:eastAsia="等线" w:hAnsi="Candara"/>
                <w:color w:val="000000" w:themeColor="text1"/>
                <w:sz w:val="22"/>
              </w:rPr>
              <w:br/>
              <w:t>interaction effects.</w:t>
            </w:r>
          </w:p>
          <w:p w14:paraId="51D97339" w14:textId="5F425A79"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 A sensitivity analysis of the primary analysis of Tocilizumab for the </w:t>
            </w:r>
            <w:r w:rsidRPr="00913A78">
              <w:rPr>
                <w:rFonts w:ascii="Candara" w:eastAsia="等线" w:hAnsi="Candara"/>
                <w:color w:val="000000" w:themeColor="text1"/>
                <w:sz w:val="22"/>
              </w:rPr>
              <w:br/>
              <w:t>proportional odds assumptions</w:t>
            </w:r>
          </w:p>
        </w:tc>
        <w:tc>
          <w:tcPr>
            <w:tcW w:w="1693" w:type="dxa"/>
            <w:vAlign w:val="center"/>
          </w:tcPr>
          <w:p w14:paraId="3BCC7E86" w14:textId="3C280BE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366,368</w:t>
            </w:r>
            <w:r w:rsidRPr="00913A78">
              <w:rPr>
                <w:rFonts w:ascii="Candara" w:eastAsia="等线" w:hAnsi="Candara"/>
                <w:color w:val="000000" w:themeColor="text1"/>
                <w:sz w:val="22"/>
              </w:rPr>
              <w:t>; Protocol</w:t>
            </w:r>
          </w:p>
        </w:tc>
      </w:tr>
      <w:tr w:rsidR="0034235F" w:rsidRPr="0034235F" w14:paraId="09B5D285" w14:textId="2F1EAE00" w:rsidTr="00266DBF">
        <w:trPr>
          <w:jc w:val="center"/>
        </w:trPr>
        <w:tc>
          <w:tcPr>
            <w:tcW w:w="528" w:type="dxa"/>
            <w:vAlign w:val="center"/>
          </w:tcPr>
          <w:p w14:paraId="10FCA5D7" w14:textId="5D5A4ED4" w:rsidR="0034235F" w:rsidRPr="00913A78" w:rsidRDefault="0034235F" w:rsidP="00266DBF">
            <w:pPr>
              <w:rPr>
                <w:rFonts w:ascii="Candara" w:hAnsi="Candara"/>
                <w:color w:val="000000" w:themeColor="text1"/>
              </w:rPr>
            </w:pPr>
            <w:r w:rsidRPr="00913A78">
              <w:rPr>
                <w:rFonts w:ascii="Candara" w:hAnsi="Candara"/>
                <w:color w:val="000000" w:themeColor="text1"/>
              </w:rPr>
              <w:t>5</w:t>
            </w:r>
          </w:p>
        </w:tc>
        <w:tc>
          <w:tcPr>
            <w:tcW w:w="3011" w:type="dxa"/>
            <w:vAlign w:val="center"/>
          </w:tcPr>
          <w:p w14:paraId="3A1C4320" w14:textId="728EEB87"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G. Reis (2022)</w:t>
            </w:r>
          </w:p>
        </w:tc>
        <w:tc>
          <w:tcPr>
            <w:tcW w:w="9364" w:type="dxa"/>
            <w:vAlign w:val="center"/>
          </w:tcPr>
          <w:p w14:paraId="7950A1F7"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Competing risk analysis: this analysis will adjust for death as a competitive increase for any binary outcome. </w:t>
            </w:r>
          </w:p>
          <w:p w14:paraId="4F9A1B54" w14:textId="3B7B27B0"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hint="eastAsia"/>
                <w:color w:val="000000" w:themeColor="text1"/>
                <w:sz w:val="22"/>
              </w:rPr>
              <w:t>M</w:t>
            </w:r>
            <w:r w:rsidRPr="00913A78">
              <w:rPr>
                <w:rFonts w:ascii="Candara" w:eastAsia="等线" w:hAnsi="Candara"/>
                <w:color w:val="000000" w:themeColor="text1"/>
                <w:sz w:val="22"/>
              </w:rPr>
              <w:t>issing data analysis: This analysis will assess the impact of missing data on key findings.</w:t>
            </w:r>
          </w:p>
          <w:p w14:paraId="6947FCB0" w14:textId="66174546"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Bayesian analysis: We will also perform sensitivity analyses using Bayesian methods to assess the impact of including data in other studies as before</w:t>
            </w:r>
          </w:p>
        </w:tc>
        <w:tc>
          <w:tcPr>
            <w:tcW w:w="1693" w:type="dxa"/>
            <w:vAlign w:val="center"/>
          </w:tcPr>
          <w:p w14:paraId="47060F3D" w14:textId="0C84397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90</w:t>
            </w:r>
            <w:r w:rsidRPr="00913A78">
              <w:rPr>
                <w:rFonts w:ascii="Candara" w:eastAsia="等线" w:hAnsi="Candara"/>
                <w:color w:val="000000" w:themeColor="text1"/>
                <w:sz w:val="22"/>
              </w:rPr>
              <w:t>; Protocol</w:t>
            </w:r>
          </w:p>
        </w:tc>
      </w:tr>
      <w:tr w:rsidR="0034235F" w:rsidRPr="0034235F" w14:paraId="10EFD2F6" w14:textId="4E837DD0" w:rsidTr="00266DBF">
        <w:trPr>
          <w:jc w:val="center"/>
        </w:trPr>
        <w:tc>
          <w:tcPr>
            <w:tcW w:w="528" w:type="dxa"/>
            <w:vAlign w:val="center"/>
          </w:tcPr>
          <w:p w14:paraId="1CB5EF9B" w14:textId="6C8EFA3F" w:rsidR="0034235F" w:rsidRPr="00913A78" w:rsidRDefault="0034235F" w:rsidP="00266DBF">
            <w:pPr>
              <w:rPr>
                <w:rFonts w:ascii="Candara" w:hAnsi="Candara"/>
                <w:color w:val="000000" w:themeColor="text1"/>
              </w:rPr>
            </w:pPr>
            <w:r w:rsidRPr="00913A78">
              <w:rPr>
                <w:rFonts w:ascii="Candara" w:hAnsi="Candara"/>
                <w:color w:val="000000" w:themeColor="text1"/>
              </w:rPr>
              <w:t>6</w:t>
            </w:r>
          </w:p>
        </w:tc>
        <w:tc>
          <w:tcPr>
            <w:tcW w:w="3011" w:type="dxa"/>
            <w:vAlign w:val="center"/>
          </w:tcPr>
          <w:p w14:paraId="1F59DEFB" w14:textId="3060CC0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Michael F. Robinson (2020)</w:t>
            </w:r>
          </w:p>
        </w:tc>
        <w:tc>
          <w:tcPr>
            <w:tcW w:w="9364" w:type="dxa"/>
            <w:vAlign w:val="center"/>
          </w:tcPr>
          <w:p w14:paraId="55CC1288" w14:textId="71463413"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Also sensitivity models will be considered with modelled using t distribution with three degrees </w:t>
            </w:r>
            <w:r w:rsidRPr="00913A78">
              <w:rPr>
                <w:rFonts w:ascii="Candara" w:eastAsia="等线" w:hAnsi="Candara"/>
                <w:color w:val="000000" w:themeColor="text1"/>
                <w:sz w:val="22"/>
              </w:rPr>
              <w:lastRenderedPageBreak/>
              <w:t>of freedom</w:t>
            </w:r>
            <w:r w:rsidRPr="00913A78">
              <w:rPr>
                <w:rFonts w:ascii="Candara" w:eastAsia="等线" w:hAnsi="Candara" w:hint="eastAsia"/>
                <w:color w:val="000000" w:themeColor="text1"/>
                <w:sz w:val="22"/>
              </w:rPr>
              <w:t>.</w:t>
            </w:r>
          </w:p>
        </w:tc>
        <w:tc>
          <w:tcPr>
            <w:tcW w:w="1693" w:type="dxa"/>
            <w:vAlign w:val="center"/>
          </w:tcPr>
          <w:p w14:paraId="257E688F" w14:textId="166271BA" w:rsidR="0034235F" w:rsidRPr="00913A78" w:rsidRDefault="0034235F" w:rsidP="00266DBF">
            <w:pPr>
              <w:rPr>
                <w:rFonts w:ascii="Candara" w:hAnsi="Candara" w:hint="eastAsia"/>
                <w:color w:val="000000" w:themeColor="text1"/>
              </w:rPr>
            </w:pPr>
            <w:r w:rsidRPr="00913A78">
              <w:rPr>
                <w:rFonts w:ascii="Candara" w:eastAsia="等线" w:hAnsi="Candara"/>
                <w:color w:val="000000" w:themeColor="text1"/>
                <w:sz w:val="22"/>
              </w:rPr>
              <w:lastRenderedPageBreak/>
              <w:t>23</w:t>
            </w:r>
            <w:r w:rsidRPr="00913A78">
              <w:rPr>
                <w:rFonts w:ascii="Candara" w:eastAsia="等线" w:hAnsi="Candara" w:hint="eastAsia"/>
                <w:color w:val="000000" w:themeColor="text1"/>
                <w:sz w:val="22"/>
              </w:rPr>
              <w:t>; SAP</w:t>
            </w:r>
          </w:p>
        </w:tc>
      </w:tr>
      <w:tr w:rsidR="0034235F" w:rsidRPr="0034235F" w14:paraId="5F6FA2EF" w14:textId="7D7E012C" w:rsidTr="00266DBF">
        <w:trPr>
          <w:jc w:val="center"/>
        </w:trPr>
        <w:tc>
          <w:tcPr>
            <w:tcW w:w="528" w:type="dxa"/>
            <w:vAlign w:val="center"/>
          </w:tcPr>
          <w:p w14:paraId="7AA045F4" w14:textId="44233DEB" w:rsidR="0034235F" w:rsidRPr="00913A78" w:rsidRDefault="0034235F" w:rsidP="00266DBF">
            <w:pPr>
              <w:rPr>
                <w:rFonts w:ascii="Candara" w:hAnsi="Candara"/>
                <w:color w:val="000000" w:themeColor="text1"/>
              </w:rPr>
            </w:pPr>
            <w:r w:rsidRPr="00913A78">
              <w:rPr>
                <w:rFonts w:ascii="Candara" w:hAnsi="Candara"/>
                <w:color w:val="000000" w:themeColor="text1"/>
              </w:rPr>
              <w:t>7</w:t>
            </w:r>
          </w:p>
        </w:tc>
        <w:tc>
          <w:tcPr>
            <w:tcW w:w="3011" w:type="dxa"/>
            <w:vAlign w:val="center"/>
          </w:tcPr>
          <w:p w14:paraId="5B7CDBE4" w14:textId="3DCD2812"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The REMAP-CAP Investigators (2023)</w:t>
            </w:r>
          </w:p>
        </w:tc>
        <w:tc>
          <w:tcPr>
            <w:tcW w:w="9364" w:type="dxa"/>
            <w:vAlign w:val="center"/>
          </w:tcPr>
          <w:p w14:paraId="600CA054" w14:textId="7D9C6762"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 logistic regression will be run for each dichotomization of OSFDs as a robustness check.</w:t>
            </w:r>
          </w:p>
        </w:tc>
        <w:tc>
          <w:tcPr>
            <w:tcW w:w="1693" w:type="dxa"/>
            <w:vAlign w:val="center"/>
          </w:tcPr>
          <w:p w14:paraId="66000345" w14:textId="7DDA10C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287</w:t>
            </w:r>
            <w:r w:rsidRPr="00913A78">
              <w:rPr>
                <w:rFonts w:ascii="Candara" w:eastAsia="等线" w:hAnsi="Candara"/>
                <w:color w:val="000000" w:themeColor="text1"/>
                <w:sz w:val="22"/>
              </w:rPr>
              <w:t>; Protocol</w:t>
            </w:r>
          </w:p>
        </w:tc>
      </w:tr>
      <w:tr w:rsidR="0034235F" w:rsidRPr="0034235F" w14:paraId="4D10D7AA" w14:textId="298A6BDF" w:rsidTr="00266DBF">
        <w:trPr>
          <w:jc w:val="center"/>
        </w:trPr>
        <w:tc>
          <w:tcPr>
            <w:tcW w:w="528" w:type="dxa"/>
            <w:vAlign w:val="center"/>
          </w:tcPr>
          <w:p w14:paraId="6DC0085A" w14:textId="170B441A" w:rsidR="0034235F" w:rsidRPr="00913A78" w:rsidRDefault="0034235F" w:rsidP="00266DBF">
            <w:pPr>
              <w:rPr>
                <w:rFonts w:ascii="Candara" w:hAnsi="Candara"/>
                <w:color w:val="000000" w:themeColor="text1"/>
              </w:rPr>
            </w:pPr>
            <w:r w:rsidRPr="00913A78">
              <w:rPr>
                <w:rFonts w:ascii="Candara" w:hAnsi="Candara"/>
                <w:color w:val="000000" w:themeColor="text1"/>
              </w:rPr>
              <w:t>8</w:t>
            </w:r>
          </w:p>
        </w:tc>
        <w:tc>
          <w:tcPr>
            <w:tcW w:w="3011" w:type="dxa"/>
            <w:vAlign w:val="center"/>
          </w:tcPr>
          <w:p w14:paraId="58CAA4A8" w14:textId="0FAA8701"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Luca Richeldi (2022)</w:t>
            </w:r>
          </w:p>
        </w:tc>
        <w:tc>
          <w:tcPr>
            <w:tcW w:w="9364" w:type="dxa"/>
            <w:vAlign w:val="center"/>
          </w:tcPr>
          <w:p w14:paraId="711BA834" w14:textId="64DD7A0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primary analysis (Section 7.4.1) and pooled analysis (Section 7.4.2) will be repeated using the per-protocol set, if it differs from the treated set</w:t>
            </w:r>
          </w:p>
        </w:tc>
        <w:tc>
          <w:tcPr>
            <w:tcW w:w="1693" w:type="dxa"/>
            <w:vAlign w:val="center"/>
          </w:tcPr>
          <w:p w14:paraId="3E5922E1" w14:textId="25B70E57"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26</w:t>
            </w:r>
            <w:r w:rsidRPr="00913A78">
              <w:rPr>
                <w:rFonts w:ascii="Candara" w:eastAsia="等线" w:hAnsi="Candara"/>
                <w:color w:val="000000" w:themeColor="text1"/>
                <w:sz w:val="22"/>
              </w:rPr>
              <w:t>; Protocol</w:t>
            </w:r>
          </w:p>
        </w:tc>
      </w:tr>
      <w:tr w:rsidR="0034235F" w:rsidRPr="0034235F" w14:paraId="62633770" w14:textId="7C9BD58C" w:rsidTr="00266DBF">
        <w:trPr>
          <w:jc w:val="center"/>
        </w:trPr>
        <w:tc>
          <w:tcPr>
            <w:tcW w:w="528" w:type="dxa"/>
            <w:vAlign w:val="center"/>
          </w:tcPr>
          <w:p w14:paraId="4BFB9C44" w14:textId="26406A38" w:rsidR="0034235F" w:rsidRPr="00913A78" w:rsidRDefault="0034235F" w:rsidP="00266DBF">
            <w:pPr>
              <w:rPr>
                <w:rFonts w:ascii="Candara" w:hAnsi="Candara"/>
                <w:color w:val="000000" w:themeColor="text1"/>
              </w:rPr>
            </w:pPr>
            <w:r w:rsidRPr="00913A78">
              <w:rPr>
                <w:rFonts w:ascii="Candara" w:hAnsi="Candara"/>
                <w:color w:val="000000" w:themeColor="text1"/>
              </w:rPr>
              <w:t>9</w:t>
            </w:r>
          </w:p>
        </w:tc>
        <w:tc>
          <w:tcPr>
            <w:tcW w:w="3011" w:type="dxa"/>
            <w:vAlign w:val="center"/>
          </w:tcPr>
          <w:p w14:paraId="1A2E6981" w14:textId="444661A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Michael J Foley (2024)</w:t>
            </w:r>
          </w:p>
        </w:tc>
        <w:tc>
          <w:tcPr>
            <w:tcW w:w="9364" w:type="dxa"/>
            <w:vAlign w:val="center"/>
          </w:tcPr>
          <w:p w14:paraId="01923E0D" w14:textId="6AD15493"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Sensitivity analyses will be performed and reported for a range of possible prior distributions, especially using a flat prior for the treatment effect.</w:t>
            </w:r>
          </w:p>
        </w:tc>
        <w:tc>
          <w:tcPr>
            <w:tcW w:w="1693" w:type="dxa"/>
            <w:vAlign w:val="center"/>
          </w:tcPr>
          <w:p w14:paraId="015C4477" w14:textId="1E171F8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19</w:t>
            </w:r>
            <w:r w:rsidRPr="00913A78">
              <w:rPr>
                <w:rFonts w:ascii="Candara" w:eastAsia="等线" w:hAnsi="Candara"/>
                <w:color w:val="000000" w:themeColor="text1"/>
                <w:sz w:val="22"/>
              </w:rPr>
              <w:t>; Protocol</w:t>
            </w:r>
          </w:p>
        </w:tc>
      </w:tr>
      <w:tr w:rsidR="0034235F" w:rsidRPr="0034235F" w14:paraId="1C65FD49" w14:textId="77777777" w:rsidTr="00266DBF">
        <w:trPr>
          <w:jc w:val="center"/>
        </w:trPr>
        <w:tc>
          <w:tcPr>
            <w:tcW w:w="528" w:type="dxa"/>
            <w:vAlign w:val="center"/>
          </w:tcPr>
          <w:p w14:paraId="2E81AF7A" w14:textId="44BAE96C" w:rsidR="0034235F" w:rsidRPr="00913A78" w:rsidRDefault="0034235F" w:rsidP="00266DBF">
            <w:pPr>
              <w:rPr>
                <w:rFonts w:ascii="Candara" w:hAnsi="Candara"/>
                <w:color w:val="000000" w:themeColor="text1"/>
              </w:rPr>
            </w:pPr>
            <w:r w:rsidRPr="00913A78">
              <w:rPr>
                <w:rFonts w:ascii="Candara" w:hAnsi="Candara"/>
                <w:color w:val="000000" w:themeColor="text1"/>
              </w:rPr>
              <w:t>10</w:t>
            </w:r>
          </w:p>
        </w:tc>
        <w:tc>
          <w:tcPr>
            <w:tcW w:w="3011" w:type="dxa"/>
            <w:vAlign w:val="center"/>
          </w:tcPr>
          <w:p w14:paraId="4905E053" w14:textId="74EB063D"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William H K Schilling (2024)</w:t>
            </w:r>
          </w:p>
        </w:tc>
        <w:tc>
          <w:tcPr>
            <w:tcW w:w="9364" w:type="dxa"/>
            <w:vAlign w:val="center"/>
          </w:tcPr>
          <w:p w14:paraId="017BBBD4" w14:textId="0400D230"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Sensitivity to the prior specification will be assessed by multiplying all prior standard deviation terms by 5</w:t>
            </w:r>
          </w:p>
        </w:tc>
        <w:tc>
          <w:tcPr>
            <w:tcW w:w="1693" w:type="dxa"/>
            <w:vAlign w:val="center"/>
          </w:tcPr>
          <w:p w14:paraId="02E1682B" w14:textId="37DF87E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14</w:t>
            </w:r>
            <w:r w:rsidRPr="00913A78">
              <w:rPr>
                <w:rFonts w:ascii="Candara" w:eastAsia="等线" w:hAnsi="Candara"/>
                <w:color w:val="000000" w:themeColor="text1"/>
                <w:sz w:val="22"/>
              </w:rPr>
              <w:t>; Protocol</w:t>
            </w:r>
          </w:p>
        </w:tc>
      </w:tr>
      <w:tr w:rsidR="0034235F" w:rsidRPr="0034235F" w14:paraId="7F1CBB39" w14:textId="4BBB2C39" w:rsidTr="00266DBF">
        <w:trPr>
          <w:jc w:val="center"/>
        </w:trPr>
        <w:tc>
          <w:tcPr>
            <w:tcW w:w="528" w:type="dxa"/>
            <w:vAlign w:val="center"/>
          </w:tcPr>
          <w:p w14:paraId="664E84C1" w14:textId="0CEF00A7" w:rsidR="0034235F" w:rsidRPr="00913A78" w:rsidRDefault="0034235F" w:rsidP="00266DBF">
            <w:pPr>
              <w:rPr>
                <w:rFonts w:ascii="Candara" w:hAnsi="Candara"/>
                <w:color w:val="000000" w:themeColor="text1"/>
              </w:rPr>
            </w:pPr>
            <w:r w:rsidRPr="00913A78">
              <w:rPr>
                <w:rFonts w:ascii="Candara" w:hAnsi="Candara"/>
                <w:color w:val="000000" w:themeColor="text1"/>
              </w:rPr>
              <w:t>11</w:t>
            </w:r>
          </w:p>
        </w:tc>
        <w:tc>
          <w:tcPr>
            <w:tcW w:w="3011" w:type="dxa"/>
            <w:vAlign w:val="center"/>
          </w:tcPr>
          <w:p w14:paraId="13529ECE" w14:textId="05B5A8A3"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J. Mazieres (2020)</w:t>
            </w:r>
          </w:p>
        </w:tc>
        <w:tc>
          <w:tcPr>
            <w:tcW w:w="9364" w:type="dxa"/>
            <w:vAlign w:val="center"/>
          </w:tcPr>
          <w:p w14:paraId="63A2FEFA" w14:textId="3F066C6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In case of non-evaluable patients for the primary endpoint (e.g, non-evaluable response according to RECIST criteria), a sensitivity analysis will be performed considering these patients in failure for the primary endpoint </w:t>
            </w:r>
          </w:p>
        </w:tc>
        <w:tc>
          <w:tcPr>
            <w:tcW w:w="1693" w:type="dxa"/>
            <w:vAlign w:val="center"/>
          </w:tcPr>
          <w:p w14:paraId="669C59E0" w14:textId="2AA2551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69</w:t>
            </w:r>
            <w:r w:rsidRPr="00913A78">
              <w:rPr>
                <w:rFonts w:ascii="Candara" w:eastAsia="等线" w:hAnsi="Candara"/>
                <w:color w:val="000000" w:themeColor="text1"/>
                <w:sz w:val="22"/>
              </w:rPr>
              <w:t>; Protocol</w:t>
            </w:r>
          </w:p>
        </w:tc>
      </w:tr>
      <w:tr w:rsidR="0034235F" w:rsidRPr="0034235F" w14:paraId="0A39D799" w14:textId="1730E382" w:rsidTr="00266DBF">
        <w:trPr>
          <w:jc w:val="center"/>
        </w:trPr>
        <w:tc>
          <w:tcPr>
            <w:tcW w:w="528" w:type="dxa"/>
            <w:vAlign w:val="center"/>
          </w:tcPr>
          <w:p w14:paraId="7924D8B7" w14:textId="29E7C7B0" w:rsidR="0034235F" w:rsidRPr="00913A78" w:rsidRDefault="0034235F" w:rsidP="00266DBF">
            <w:pPr>
              <w:rPr>
                <w:rFonts w:ascii="Candara" w:hAnsi="Candara"/>
                <w:color w:val="000000" w:themeColor="text1"/>
              </w:rPr>
            </w:pPr>
            <w:r w:rsidRPr="00913A78">
              <w:rPr>
                <w:rFonts w:ascii="Candara" w:hAnsi="Candara"/>
                <w:color w:val="000000" w:themeColor="text1"/>
              </w:rPr>
              <w:t>12</w:t>
            </w:r>
          </w:p>
        </w:tc>
        <w:tc>
          <w:tcPr>
            <w:tcW w:w="3011" w:type="dxa"/>
            <w:vAlign w:val="center"/>
          </w:tcPr>
          <w:p w14:paraId="0C4763F5" w14:textId="6A6067B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RECOVERY Collaborative Group (2024)</w:t>
            </w:r>
          </w:p>
        </w:tc>
        <w:tc>
          <w:tcPr>
            <w:tcW w:w="9364" w:type="dxa"/>
            <w:vAlign w:val="center"/>
          </w:tcPr>
          <w:p w14:paraId="29D2775C" w14:textId="764D1684"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Sensitivity analyses will be conducted among those patients with laboratory confirmed SARS-CoV-2</w:t>
            </w:r>
          </w:p>
        </w:tc>
        <w:tc>
          <w:tcPr>
            <w:tcW w:w="1693" w:type="dxa"/>
            <w:vAlign w:val="center"/>
          </w:tcPr>
          <w:p w14:paraId="4994B2BD" w14:textId="6D4F0250"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17</w:t>
            </w:r>
            <w:r w:rsidRPr="00913A78">
              <w:rPr>
                <w:rFonts w:ascii="Candara" w:eastAsia="等线" w:hAnsi="Candara"/>
                <w:color w:val="000000" w:themeColor="text1"/>
                <w:sz w:val="22"/>
              </w:rPr>
              <w:t>; Protocol</w:t>
            </w:r>
          </w:p>
        </w:tc>
      </w:tr>
      <w:tr w:rsidR="0034235F" w:rsidRPr="0034235F" w14:paraId="6EA408DC" w14:textId="6899E58F" w:rsidTr="00266DBF">
        <w:trPr>
          <w:jc w:val="center"/>
        </w:trPr>
        <w:tc>
          <w:tcPr>
            <w:tcW w:w="528" w:type="dxa"/>
            <w:vAlign w:val="center"/>
          </w:tcPr>
          <w:p w14:paraId="7243DF51" w14:textId="45513FCC" w:rsidR="0034235F" w:rsidRPr="00913A78" w:rsidRDefault="0034235F" w:rsidP="00266DBF">
            <w:pPr>
              <w:rPr>
                <w:rFonts w:ascii="Candara" w:hAnsi="Candara"/>
                <w:color w:val="000000" w:themeColor="text1"/>
              </w:rPr>
            </w:pPr>
            <w:r w:rsidRPr="00913A78">
              <w:rPr>
                <w:rFonts w:ascii="Candara" w:hAnsi="Candara"/>
                <w:color w:val="000000" w:themeColor="text1"/>
              </w:rPr>
              <w:t>13</w:t>
            </w:r>
          </w:p>
        </w:tc>
        <w:tc>
          <w:tcPr>
            <w:tcW w:w="3011" w:type="dxa"/>
            <w:vAlign w:val="center"/>
          </w:tcPr>
          <w:p w14:paraId="6810AD85" w14:textId="175782E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G. Reis (2023)</w:t>
            </w:r>
          </w:p>
        </w:tc>
        <w:tc>
          <w:tcPr>
            <w:tcW w:w="9364" w:type="dxa"/>
            <w:vAlign w:val="center"/>
          </w:tcPr>
          <w:p w14:paraId="62DDB635" w14:textId="61E114F6"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s="Calibri"/>
                <w:color w:val="000000" w:themeColor="text1"/>
              </w:rPr>
              <w:t>Efficacy analysis will be conducted using the ITT, mITT, and PP Populations as outlined below</w:t>
            </w:r>
          </w:p>
        </w:tc>
        <w:tc>
          <w:tcPr>
            <w:tcW w:w="1693" w:type="dxa"/>
            <w:vAlign w:val="center"/>
          </w:tcPr>
          <w:p w14:paraId="7308842D" w14:textId="5B85713F"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19</w:t>
            </w:r>
            <w:r w:rsidRPr="00913A78">
              <w:rPr>
                <w:rFonts w:ascii="Candara" w:eastAsia="等线" w:hAnsi="Candara"/>
                <w:color w:val="000000" w:themeColor="text1"/>
                <w:sz w:val="22"/>
              </w:rPr>
              <w:t>; Protocol</w:t>
            </w:r>
          </w:p>
        </w:tc>
      </w:tr>
      <w:tr w:rsidR="0034235F" w:rsidRPr="0034235F" w14:paraId="42AE1EC9" w14:textId="28C39B66" w:rsidTr="00266DBF">
        <w:trPr>
          <w:jc w:val="center"/>
        </w:trPr>
        <w:tc>
          <w:tcPr>
            <w:tcW w:w="528" w:type="dxa"/>
            <w:vAlign w:val="center"/>
          </w:tcPr>
          <w:p w14:paraId="635FD50F" w14:textId="5593CD09" w:rsidR="0034235F" w:rsidRPr="00913A78" w:rsidRDefault="0034235F" w:rsidP="00266DBF">
            <w:pPr>
              <w:rPr>
                <w:rFonts w:ascii="Candara" w:hAnsi="Candara"/>
                <w:color w:val="000000" w:themeColor="text1"/>
              </w:rPr>
            </w:pPr>
            <w:r w:rsidRPr="00913A78">
              <w:rPr>
                <w:rFonts w:ascii="Candara" w:hAnsi="Candara"/>
                <w:color w:val="000000" w:themeColor="text1"/>
              </w:rPr>
              <w:t>14</w:t>
            </w:r>
          </w:p>
        </w:tc>
        <w:tc>
          <w:tcPr>
            <w:tcW w:w="3011" w:type="dxa"/>
            <w:vAlign w:val="center"/>
          </w:tcPr>
          <w:p w14:paraId="25F4D88F" w14:textId="6350EE7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Olivier Hermine (2022)</w:t>
            </w:r>
          </w:p>
        </w:tc>
        <w:tc>
          <w:tcPr>
            <w:tcW w:w="9364" w:type="dxa"/>
            <w:vAlign w:val="center"/>
          </w:tcPr>
          <w:p w14:paraId="592CD655"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However, in the case some outcomes would be missing, binary missing outcomes will be treated as treatment failures in interim and primary final analyses, with an imputation by last value carried forward as a sensitivity analysis. </w:t>
            </w:r>
          </w:p>
          <w:p w14:paraId="097F3649"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As a sensitivity analysis, we will investigate different prior distributions, with a flat prior with smaller variance (102) which makes less likely unrealistic treatment effects, two sceptic priors centred on 0 with variance set so that a P(HR &lt; 0.2) = P(HR &gt; 5) = 0.05 (SD 0.975) or P(HR &lt; 0.2) = P(HR &gt; 5) = 0.025 (SD 0.82), and two enthusiastic informative priors centred treatment effects observed on other studies. </w:t>
            </w:r>
          </w:p>
          <w:p w14:paraId="3D24AA82" w14:textId="28275F49"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Moreover, since non-invasive ventilation or high flow may be more prone to center-specific practice or device ability, a sensitivity analysis only considering mechanical ventilation (i.e.survival without the need for mechanical ventilation) will be considered in group 1.</w:t>
            </w:r>
          </w:p>
        </w:tc>
        <w:tc>
          <w:tcPr>
            <w:tcW w:w="1693" w:type="dxa"/>
            <w:vAlign w:val="center"/>
          </w:tcPr>
          <w:p w14:paraId="732D6501" w14:textId="0E80DC1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12, 18,19</w:t>
            </w:r>
            <w:r w:rsidRPr="00913A78">
              <w:rPr>
                <w:rFonts w:ascii="Candara" w:eastAsia="等线" w:hAnsi="Candara" w:hint="eastAsia"/>
                <w:color w:val="000000" w:themeColor="text1"/>
                <w:sz w:val="22"/>
              </w:rPr>
              <w:t>; SAP</w:t>
            </w:r>
          </w:p>
        </w:tc>
      </w:tr>
      <w:tr w:rsidR="0034235F" w:rsidRPr="0034235F" w14:paraId="48503BD1" w14:textId="2F88C61C" w:rsidTr="00266DBF">
        <w:trPr>
          <w:jc w:val="center"/>
        </w:trPr>
        <w:tc>
          <w:tcPr>
            <w:tcW w:w="528" w:type="dxa"/>
            <w:vAlign w:val="center"/>
          </w:tcPr>
          <w:p w14:paraId="5ED1DA2A" w14:textId="4CA6860D" w:rsidR="0034235F" w:rsidRPr="00913A78" w:rsidRDefault="0034235F" w:rsidP="00266DBF">
            <w:pPr>
              <w:rPr>
                <w:rFonts w:ascii="Candara" w:hAnsi="Candara"/>
                <w:color w:val="000000" w:themeColor="text1"/>
              </w:rPr>
            </w:pPr>
            <w:r w:rsidRPr="00913A78">
              <w:rPr>
                <w:rFonts w:ascii="Candara" w:hAnsi="Candara"/>
                <w:color w:val="000000" w:themeColor="text1"/>
              </w:rPr>
              <w:lastRenderedPageBreak/>
              <w:t>15</w:t>
            </w:r>
          </w:p>
        </w:tc>
        <w:tc>
          <w:tcPr>
            <w:tcW w:w="3011" w:type="dxa"/>
            <w:vAlign w:val="center"/>
          </w:tcPr>
          <w:p w14:paraId="2CDFCB87" w14:textId="67E49B8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 xml:space="preserve">The I-SPY COVID Consortium </w:t>
            </w:r>
            <w:r w:rsidRPr="00913A78">
              <w:rPr>
                <w:rFonts w:ascii="Candara" w:eastAsia="等线" w:hAnsi="Candara"/>
                <w:color w:val="000000" w:themeColor="text1"/>
                <w:sz w:val="22"/>
              </w:rPr>
              <w:t>（</w:t>
            </w:r>
            <w:r w:rsidRPr="00913A78">
              <w:rPr>
                <w:rFonts w:ascii="Candara" w:eastAsia="等线" w:hAnsi="Candara"/>
                <w:color w:val="000000" w:themeColor="text1"/>
                <w:sz w:val="22"/>
              </w:rPr>
              <w:t>2023</w:t>
            </w:r>
            <w:r w:rsidRPr="00913A78">
              <w:rPr>
                <w:rFonts w:ascii="Candara" w:eastAsia="等线" w:hAnsi="Candara"/>
                <w:color w:val="000000" w:themeColor="text1"/>
                <w:sz w:val="22"/>
              </w:rPr>
              <w:t>）</w:t>
            </w:r>
          </w:p>
        </w:tc>
        <w:tc>
          <w:tcPr>
            <w:tcW w:w="9364" w:type="dxa"/>
            <w:vAlign w:val="center"/>
          </w:tcPr>
          <w:p w14:paraId="1DD1CFC9"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We will as a sensitivity analysis also run fully adjusted models, where age, sex, BMI, and 0, 1, or 2+ comorbidities (0, 1, or 2+) including COPD, smoker, asthma, diabetes, prior MI, CHF, kidney failure, or liver failure will be adjusted for (to investigate the impact on any stochastic imbalance in the randomization). </w:t>
            </w:r>
          </w:p>
          <w:p w14:paraId="208FD0F6" w14:textId="70523BEC"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If missing data does occur in the trial, we will use multiple imputation to account for the missingness</w:t>
            </w:r>
          </w:p>
        </w:tc>
        <w:tc>
          <w:tcPr>
            <w:tcW w:w="1693" w:type="dxa"/>
            <w:vAlign w:val="center"/>
          </w:tcPr>
          <w:p w14:paraId="2D24E5A2" w14:textId="0227283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60</w:t>
            </w:r>
            <w:r w:rsidRPr="00913A78">
              <w:rPr>
                <w:rFonts w:ascii="Candara" w:eastAsia="等线" w:hAnsi="Candara"/>
                <w:color w:val="000000" w:themeColor="text1"/>
                <w:sz w:val="22"/>
              </w:rPr>
              <w:t>; Protocol</w:t>
            </w:r>
          </w:p>
        </w:tc>
      </w:tr>
      <w:tr w:rsidR="0034235F" w:rsidRPr="0034235F" w14:paraId="2EBF68D1" w14:textId="7B8A39EF" w:rsidTr="00266DBF">
        <w:trPr>
          <w:jc w:val="center"/>
        </w:trPr>
        <w:tc>
          <w:tcPr>
            <w:tcW w:w="528" w:type="dxa"/>
            <w:vAlign w:val="center"/>
          </w:tcPr>
          <w:p w14:paraId="53103F86" w14:textId="3C4C6E6A" w:rsidR="0034235F" w:rsidRPr="00913A78" w:rsidRDefault="0034235F" w:rsidP="00266DBF">
            <w:pPr>
              <w:rPr>
                <w:rFonts w:ascii="Candara" w:hAnsi="Candara"/>
                <w:color w:val="000000" w:themeColor="text1"/>
              </w:rPr>
            </w:pPr>
            <w:r w:rsidRPr="00913A78">
              <w:rPr>
                <w:rFonts w:ascii="Candara" w:hAnsi="Candara"/>
                <w:color w:val="000000" w:themeColor="text1"/>
              </w:rPr>
              <w:t>16</w:t>
            </w:r>
          </w:p>
        </w:tc>
        <w:tc>
          <w:tcPr>
            <w:tcW w:w="3011" w:type="dxa"/>
            <w:vAlign w:val="center"/>
          </w:tcPr>
          <w:p w14:paraId="4913A195" w14:textId="6E795E93" w:rsidR="0034235F" w:rsidRPr="00913A78" w:rsidRDefault="0034235F" w:rsidP="00266DBF">
            <w:pPr>
              <w:rPr>
                <w:rFonts w:ascii="Candara" w:hAnsi="Candara"/>
                <w:color w:val="000000" w:themeColor="text1"/>
              </w:rPr>
            </w:pPr>
            <w:r w:rsidRPr="00913A78">
              <w:rPr>
                <w:rFonts w:ascii="Candara" w:eastAsia="等线" w:hAnsi="Candara" w:cs="Arial"/>
                <w:color w:val="000000" w:themeColor="text1"/>
                <w:sz w:val="16"/>
                <w:szCs w:val="16"/>
              </w:rPr>
              <w:t>Olivier Hermine (2021)</w:t>
            </w:r>
          </w:p>
        </w:tc>
        <w:tc>
          <w:tcPr>
            <w:tcW w:w="9364" w:type="dxa"/>
            <w:vAlign w:val="center"/>
          </w:tcPr>
          <w:p w14:paraId="112AB71C" w14:textId="3582CE2D"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However, in the case some outcomes would be missing, binary missing outcomes will be treated as treatment failures in interim and primary final analyses, with an imputation by last value carried forward as a sensitivity analysis.Moreover, since non-invasive ventilation or high flow may be more prone to centre-specific 325 practice or device ability, a sensitivity analysis only considering mechanical ventilation (i.e.326 survival without need for mechanical ventilation) will be considered in the group 1</w:t>
            </w:r>
          </w:p>
        </w:tc>
        <w:tc>
          <w:tcPr>
            <w:tcW w:w="1693" w:type="dxa"/>
            <w:vAlign w:val="center"/>
          </w:tcPr>
          <w:p w14:paraId="00DD8DF9" w14:textId="070B6EE1"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11, 17</w:t>
            </w:r>
            <w:r w:rsidRPr="00913A78">
              <w:rPr>
                <w:rFonts w:ascii="Candara" w:eastAsia="等线" w:hAnsi="Candara" w:hint="eastAsia"/>
                <w:color w:val="000000" w:themeColor="text1"/>
                <w:sz w:val="22"/>
              </w:rPr>
              <w:t>; SAP</w:t>
            </w:r>
          </w:p>
        </w:tc>
      </w:tr>
      <w:tr w:rsidR="0034235F" w:rsidRPr="0034235F" w14:paraId="1BBBF4F3" w14:textId="4E9C3E95" w:rsidTr="00266DBF">
        <w:trPr>
          <w:jc w:val="center"/>
        </w:trPr>
        <w:tc>
          <w:tcPr>
            <w:tcW w:w="528" w:type="dxa"/>
            <w:vAlign w:val="center"/>
          </w:tcPr>
          <w:p w14:paraId="121F9C70" w14:textId="0FE44F6C" w:rsidR="0034235F" w:rsidRPr="00913A78" w:rsidRDefault="0034235F" w:rsidP="00266DBF">
            <w:pPr>
              <w:rPr>
                <w:rFonts w:ascii="Candara" w:hAnsi="Candara"/>
                <w:color w:val="000000" w:themeColor="text1"/>
              </w:rPr>
            </w:pPr>
            <w:r w:rsidRPr="00913A78">
              <w:rPr>
                <w:rFonts w:ascii="Candara" w:hAnsi="Candara"/>
                <w:color w:val="000000" w:themeColor="text1"/>
              </w:rPr>
              <w:t>17</w:t>
            </w:r>
          </w:p>
        </w:tc>
        <w:tc>
          <w:tcPr>
            <w:tcW w:w="3011" w:type="dxa"/>
            <w:vAlign w:val="center"/>
          </w:tcPr>
          <w:p w14:paraId="0024E3E2" w14:textId="21DDB8F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The CORIMUNO-19 Collaborative group (2022)</w:t>
            </w:r>
          </w:p>
        </w:tc>
        <w:tc>
          <w:tcPr>
            <w:tcW w:w="9364" w:type="dxa"/>
            <w:vAlign w:val="center"/>
          </w:tcPr>
          <w:p w14:paraId="2247134B" w14:textId="1DF6C5D1"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However, in the case some outcomes would be missing, binary missing outcomes will be treated as treatment failures in interim and primary final analyses, with an imputation by last value carried forward as a sensitivity analysis.</w:t>
            </w:r>
          </w:p>
        </w:tc>
        <w:tc>
          <w:tcPr>
            <w:tcW w:w="1693" w:type="dxa"/>
            <w:vAlign w:val="center"/>
          </w:tcPr>
          <w:p w14:paraId="5B19ABA7" w14:textId="1470FFE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11</w:t>
            </w:r>
            <w:r w:rsidRPr="00913A78">
              <w:rPr>
                <w:rFonts w:ascii="Candara" w:eastAsia="等线" w:hAnsi="Candara"/>
                <w:color w:val="000000" w:themeColor="text1"/>
                <w:sz w:val="22"/>
              </w:rPr>
              <w:t>; Protocol</w:t>
            </w:r>
          </w:p>
        </w:tc>
      </w:tr>
      <w:tr w:rsidR="0034235F" w:rsidRPr="0034235F" w14:paraId="55ED944C" w14:textId="02DAFC97" w:rsidTr="00266DBF">
        <w:trPr>
          <w:jc w:val="center"/>
        </w:trPr>
        <w:tc>
          <w:tcPr>
            <w:tcW w:w="528" w:type="dxa"/>
            <w:vAlign w:val="center"/>
          </w:tcPr>
          <w:p w14:paraId="4B8D5527" w14:textId="36DB8365" w:rsidR="0034235F" w:rsidRPr="00913A78" w:rsidRDefault="0034235F" w:rsidP="00266DBF">
            <w:pPr>
              <w:rPr>
                <w:rFonts w:ascii="Candara" w:hAnsi="Candara"/>
                <w:color w:val="000000" w:themeColor="text1"/>
              </w:rPr>
            </w:pPr>
            <w:r w:rsidRPr="00913A78">
              <w:rPr>
                <w:rFonts w:ascii="Candara" w:hAnsi="Candara"/>
                <w:color w:val="000000" w:themeColor="text1"/>
              </w:rPr>
              <w:t>18</w:t>
            </w:r>
          </w:p>
        </w:tc>
        <w:tc>
          <w:tcPr>
            <w:tcW w:w="3011" w:type="dxa"/>
            <w:vAlign w:val="center"/>
          </w:tcPr>
          <w:p w14:paraId="14B0C1D5" w14:textId="7CD4624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E. Vincent S. Faustino (2021)</w:t>
            </w:r>
          </w:p>
        </w:tc>
        <w:tc>
          <w:tcPr>
            <w:tcW w:w="9364" w:type="dxa"/>
            <w:vAlign w:val="center"/>
          </w:tcPr>
          <w:p w14:paraId="5C08BAA8" w14:textId="17165D38"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We will assess the robustness of our results via sensitivity analyses that are based on other choices for hyper-parameters α, β for pE ~ B(α,β) and pS ~ B(α,β) that may have implications for salient results</w:t>
            </w:r>
          </w:p>
        </w:tc>
        <w:tc>
          <w:tcPr>
            <w:tcW w:w="1693" w:type="dxa"/>
            <w:vAlign w:val="center"/>
          </w:tcPr>
          <w:p w14:paraId="2618D4F2" w14:textId="6A7BE73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35</w:t>
            </w:r>
            <w:r w:rsidRPr="00913A78">
              <w:rPr>
                <w:rFonts w:ascii="Candara" w:eastAsia="等线" w:hAnsi="Candara" w:hint="eastAsia"/>
                <w:color w:val="000000" w:themeColor="text1"/>
                <w:sz w:val="22"/>
              </w:rPr>
              <w:t>; SAP</w:t>
            </w:r>
          </w:p>
        </w:tc>
      </w:tr>
      <w:tr w:rsidR="0034235F" w:rsidRPr="0034235F" w14:paraId="4DDD5396" w14:textId="21AE0236" w:rsidTr="00266DBF">
        <w:trPr>
          <w:jc w:val="center"/>
        </w:trPr>
        <w:tc>
          <w:tcPr>
            <w:tcW w:w="528" w:type="dxa"/>
            <w:vAlign w:val="center"/>
          </w:tcPr>
          <w:p w14:paraId="4B500D28" w14:textId="7999A786" w:rsidR="0034235F" w:rsidRPr="00913A78" w:rsidRDefault="0034235F" w:rsidP="00266DBF">
            <w:pPr>
              <w:rPr>
                <w:rFonts w:ascii="Candara" w:hAnsi="Candara"/>
                <w:color w:val="000000" w:themeColor="text1"/>
              </w:rPr>
            </w:pPr>
            <w:r w:rsidRPr="00913A78">
              <w:rPr>
                <w:rFonts w:ascii="Candara" w:hAnsi="Candara"/>
                <w:color w:val="000000" w:themeColor="text1"/>
              </w:rPr>
              <w:t>18</w:t>
            </w:r>
          </w:p>
        </w:tc>
        <w:tc>
          <w:tcPr>
            <w:tcW w:w="3011" w:type="dxa"/>
            <w:vAlign w:val="center"/>
          </w:tcPr>
          <w:p w14:paraId="165F1C93" w14:textId="7210996D"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Conor D Tweed (2019)</w:t>
            </w:r>
          </w:p>
        </w:tc>
        <w:tc>
          <w:tcPr>
            <w:tcW w:w="9364" w:type="dxa"/>
            <w:vAlign w:val="center"/>
          </w:tcPr>
          <w:p w14:paraId="59D7FBA2" w14:textId="575B7FF1"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15.1.6 Sensitivity Efficacy Analyses</w:t>
            </w:r>
          </w:p>
        </w:tc>
        <w:tc>
          <w:tcPr>
            <w:tcW w:w="1693" w:type="dxa"/>
            <w:vAlign w:val="center"/>
          </w:tcPr>
          <w:p w14:paraId="2B97A83C" w14:textId="5A0BC9C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39</w:t>
            </w:r>
            <w:r w:rsidRPr="00913A78">
              <w:rPr>
                <w:rFonts w:ascii="Candara" w:eastAsia="等线" w:hAnsi="Candara" w:hint="eastAsia"/>
                <w:color w:val="000000" w:themeColor="text1"/>
                <w:sz w:val="22"/>
              </w:rPr>
              <w:t>; SAP</w:t>
            </w:r>
          </w:p>
        </w:tc>
      </w:tr>
      <w:tr w:rsidR="0034235F" w:rsidRPr="0034235F" w14:paraId="68255C99" w14:textId="741DDEBC" w:rsidTr="00266DBF">
        <w:trPr>
          <w:jc w:val="center"/>
        </w:trPr>
        <w:tc>
          <w:tcPr>
            <w:tcW w:w="528" w:type="dxa"/>
            <w:vAlign w:val="center"/>
          </w:tcPr>
          <w:p w14:paraId="2DF4DE7A" w14:textId="79C3A587" w:rsidR="0034235F" w:rsidRPr="00913A78" w:rsidRDefault="0034235F" w:rsidP="00266DBF">
            <w:pPr>
              <w:rPr>
                <w:rFonts w:ascii="Candara" w:hAnsi="Candara"/>
                <w:color w:val="000000" w:themeColor="text1"/>
              </w:rPr>
            </w:pPr>
            <w:r w:rsidRPr="00913A78">
              <w:rPr>
                <w:rFonts w:ascii="Candara" w:hAnsi="Candara"/>
                <w:color w:val="000000" w:themeColor="text1"/>
              </w:rPr>
              <w:t>20</w:t>
            </w:r>
          </w:p>
        </w:tc>
        <w:tc>
          <w:tcPr>
            <w:tcW w:w="3011" w:type="dxa"/>
            <w:vAlign w:val="center"/>
          </w:tcPr>
          <w:p w14:paraId="3EDC8440" w14:textId="43832DD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James M Chamberlain (2020)</w:t>
            </w:r>
          </w:p>
        </w:tc>
        <w:tc>
          <w:tcPr>
            <w:tcW w:w="9364" w:type="dxa"/>
            <w:vAlign w:val="center"/>
          </w:tcPr>
          <w:p w14:paraId="2CCA4E2A" w14:textId="774CB346"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Secondary analyses of primary outcome will include an analysis of the adjudicated primary outcome, a re-enroller analysis, a per protocol analysis, an analysis by age.</w:t>
            </w:r>
          </w:p>
        </w:tc>
        <w:tc>
          <w:tcPr>
            <w:tcW w:w="1693" w:type="dxa"/>
            <w:vAlign w:val="center"/>
          </w:tcPr>
          <w:p w14:paraId="38F6C370" w14:textId="7A2ED2C0"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56</w:t>
            </w:r>
            <w:r w:rsidRPr="00913A78">
              <w:rPr>
                <w:rFonts w:ascii="Candara" w:eastAsia="等线" w:hAnsi="Candara"/>
                <w:color w:val="000000" w:themeColor="text1"/>
                <w:sz w:val="22"/>
              </w:rPr>
              <w:t>; Protocol</w:t>
            </w:r>
          </w:p>
        </w:tc>
      </w:tr>
      <w:tr w:rsidR="0034235F" w:rsidRPr="0034235F" w14:paraId="0A5BA8B7" w14:textId="6DB48450" w:rsidTr="00266DBF">
        <w:trPr>
          <w:jc w:val="center"/>
        </w:trPr>
        <w:tc>
          <w:tcPr>
            <w:tcW w:w="528" w:type="dxa"/>
            <w:vAlign w:val="center"/>
          </w:tcPr>
          <w:p w14:paraId="0EA5D779" w14:textId="0C04B6E1" w:rsidR="0034235F" w:rsidRPr="00913A78" w:rsidRDefault="0034235F" w:rsidP="00266DBF">
            <w:pPr>
              <w:rPr>
                <w:rFonts w:ascii="Candara" w:hAnsi="Candara"/>
                <w:color w:val="000000" w:themeColor="text1"/>
              </w:rPr>
            </w:pPr>
            <w:r w:rsidRPr="00913A78">
              <w:rPr>
                <w:rFonts w:ascii="Candara" w:hAnsi="Candara"/>
                <w:color w:val="000000" w:themeColor="text1"/>
              </w:rPr>
              <w:t>21</w:t>
            </w:r>
          </w:p>
        </w:tc>
        <w:tc>
          <w:tcPr>
            <w:tcW w:w="3011" w:type="dxa"/>
            <w:vAlign w:val="center"/>
          </w:tcPr>
          <w:p w14:paraId="7C5E5463" w14:textId="1EA005C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J.A. Ramsay (2023)</w:t>
            </w:r>
          </w:p>
        </w:tc>
        <w:tc>
          <w:tcPr>
            <w:tcW w:w="9364" w:type="dxa"/>
            <w:vAlign w:val="center"/>
          </w:tcPr>
          <w:p w14:paraId="65884452"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 secondary analysis population will include all participants who are randomised to at least one of the interventions.</w:t>
            </w:r>
          </w:p>
          <w:p w14:paraId="1A2AB8F4"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This analysis set will follow the per-protocol (PP) definition with randomised patients included in the analysis only</w:t>
            </w:r>
            <w:r w:rsidRPr="00913A78">
              <w:rPr>
                <w:rFonts w:ascii="Candara" w:eastAsia="等线" w:hAnsi="Candara" w:hint="eastAsia"/>
                <w:color w:val="000000" w:themeColor="text1"/>
                <w:sz w:val="22"/>
              </w:rPr>
              <w:t xml:space="preserve"> </w:t>
            </w:r>
            <w:r w:rsidRPr="00913A78">
              <w:rPr>
                <w:rFonts w:ascii="Candara" w:eastAsia="等线" w:hAnsi="Candara"/>
                <w:color w:val="000000" w:themeColor="text1"/>
                <w:sz w:val="22"/>
              </w:rPr>
              <w:t xml:space="preserve">if they received their allocated treatment and no protocol deviations occurred prior to the primary endpoint. </w:t>
            </w:r>
          </w:p>
          <w:p w14:paraId="2DBE6B0A" w14:textId="777777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lastRenderedPageBreak/>
              <w:t xml:space="preserve">Sensitivity will explore effects within contemporaneous cohorts of patients (i.e. by interim analysis). </w:t>
            </w:r>
          </w:p>
          <w:p w14:paraId="49D84F01" w14:textId="740638D0"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effects of variation in prior specification will also be explored, for example fitting models via maximum likelihood.</w:t>
            </w:r>
          </w:p>
        </w:tc>
        <w:tc>
          <w:tcPr>
            <w:tcW w:w="1693" w:type="dxa"/>
            <w:vAlign w:val="center"/>
          </w:tcPr>
          <w:p w14:paraId="4144EF18" w14:textId="3C1F65F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lastRenderedPageBreak/>
              <w:t>9, 12</w:t>
            </w:r>
            <w:r w:rsidRPr="00913A78">
              <w:rPr>
                <w:rFonts w:ascii="Candara" w:eastAsia="等线" w:hAnsi="Candara" w:hint="eastAsia"/>
                <w:color w:val="000000" w:themeColor="text1"/>
                <w:sz w:val="22"/>
              </w:rPr>
              <w:t>; SAP</w:t>
            </w:r>
          </w:p>
        </w:tc>
      </w:tr>
      <w:tr w:rsidR="0034235F" w:rsidRPr="0034235F" w14:paraId="04187F4F" w14:textId="0C953347" w:rsidTr="00266DBF">
        <w:trPr>
          <w:jc w:val="center"/>
        </w:trPr>
        <w:tc>
          <w:tcPr>
            <w:tcW w:w="528" w:type="dxa"/>
            <w:vAlign w:val="center"/>
          </w:tcPr>
          <w:p w14:paraId="6355532F" w14:textId="114F86E4" w:rsidR="0034235F" w:rsidRPr="00913A78" w:rsidRDefault="0034235F" w:rsidP="00266DBF">
            <w:pPr>
              <w:rPr>
                <w:rFonts w:ascii="Candara" w:hAnsi="Candara"/>
                <w:color w:val="000000" w:themeColor="text1"/>
              </w:rPr>
            </w:pPr>
            <w:r w:rsidRPr="00913A78">
              <w:rPr>
                <w:rFonts w:ascii="Candara" w:hAnsi="Candara"/>
                <w:color w:val="000000" w:themeColor="text1"/>
              </w:rPr>
              <w:t>22</w:t>
            </w:r>
          </w:p>
        </w:tc>
        <w:tc>
          <w:tcPr>
            <w:tcW w:w="3011" w:type="dxa"/>
            <w:vAlign w:val="center"/>
          </w:tcPr>
          <w:p w14:paraId="796435AA" w14:textId="3B01C0E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Paolo Pozzilli (2020)</w:t>
            </w:r>
          </w:p>
        </w:tc>
        <w:tc>
          <w:tcPr>
            <w:tcW w:w="9364" w:type="dxa"/>
            <w:vAlign w:val="center"/>
          </w:tcPr>
          <w:p w14:paraId="146BBC03" w14:textId="33230555"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If the amount of missing data is large, the potential impact of missing follow-up data on the conclusions of the primary analysis will be investigated through sensitivity analyses.</w:t>
            </w:r>
          </w:p>
        </w:tc>
        <w:tc>
          <w:tcPr>
            <w:tcW w:w="1693" w:type="dxa"/>
            <w:vAlign w:val="center"/>
          </w:tcPr>
          <w:p w14:paraId="52DCF02D" w14:textId="311A26D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32</w:t>
            </w:r>
            <w:r w:rsidRPr="00913A78">
              <w:rPr>
                <w:rFonts w:ascii="Candara" w:eastAsia="等线" w:hAnsi="Candara" w:hint="eastAsia"/>
                <w:color w:val="000000" w:themeColor="text1"/>
                <w:sz w:val="22"/>
              </w:rPr>
              <w:t>; SAP</w:t>
            </w:r>
          </w:p>
        </w:tc>
      </w:tr>
      <w:tr w:rsidR="0034235F" w:rsidRPr="0034235F" w14:paraId="6E5902E6" w14:textId="00F6CFD5" w:rsidTr="00266DBF">
        <w:trPr>
          <w:jc w:val="center"/>
        </w:trPr>
        <w:tc>
          <w:tcPr>
            <w:tcW w:w="528" w:type="dxa"/>
            <w:vAlign w:val="center"/>
          </w:tcPr>
          <w:p w14:paraId="4EA96021" w14:textId="3837B516" w:rsidR="0034235F" w:rsidRPr="00913A78" w:rsidRDefault="0034235F" w:rsidP="00266DBF">
            <w:pPr>
              <w:rPr>
                <w:rFonts w:ascii="Candara" w:hAnsi="Candara"/>
                <w:color w:val="000000" w:themeColor="text1"/>
              </w:rPr>
            </w:pPr>
            <w:r w:rsidRPr="00913A78">
              <w:rPr>
                <w:rFonts w:ascii="Candara" w:hAnsi="Candara"/>
                <w:color w:val="000000" w:themeColor="text1"/>
              </w:rPr>
              <w:t>23</w:t>
            </w:r>
          </w:p>
        </w:tc>
        <w:tc>
          <w:tcPr>
            <w:tcW w:w="3011" w:type="dxa"/>
            <w:vAlign w:val="center"/>
          </w:tcPr>
          <w:p w14:paraId="3AD8A05D" w14:textId="7CEBD96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Taku Kinoshita (2022)</w:t>
            </w:r>
          </w:p>
        </w:tc>
        <w:tc>
          <w:tcPr>
            <w:tcW w:w="9364" w:type="dxa"/>
            <w:vAlign w:val="center"/>
          </w:tcPr>
          <w:p w14:paraId="238CDF23" w14:textId="5DC7ED3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Although it is not expected that there will be many subjects who test positive for SARS-CoV-2 after becoming negative for SARS-CoV-2 or whose symptoms become severe, a sensitivity analysis will be performed as appropriate to investigate the effects of such subjects.</w:t>
            </w:r>
          </w:p>
        </w:tc>
        <w:tc>
          <w:tcPr>
            <w:tcW w:w="1693" w:type="dxa"/>
            <w:vAlign w:val="center"/>
          </w:tcPr>
          <w:p w14:paraId="178FDDEC" w14:textId="6DD0D5C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72</w:t>
            </w:r>
            <w:r w:rsidRPr="00913A78">
              <w:rPr>
                <w:rFonts w:ascii="Candara" w:eastAsia="等线" w:hAnsi="Candara"/>
                <w:color w:val="000000" w:themeColor="text1"/>
                <w:sz w:val="22"/>
              </w:rPr>
              <w:t>; Protocol</w:t>
            </w:r>
          </w:p>
        </w:tc>
      </w:tr>
      <w:tr w:rsidR="0034235F" w:rsidRPr="0034235F" w14:paraId="3C6B8289" w14:textId="05415B6A" w:rsidTr="00266DBF">
        <w:trPr>
          <w:jc w:val="center"/>
        </w:trPr>
        <w:tc>
          <w:tcPr>
            <w:tcW w:w="528" w:type="dxa"/>
            <w:vAlign w:val="center"/>
          </w:tcPr>
          <w:p w14:paraId="01E7099C" w14:textId="2276871E" w:rsidR="0034235F" w:rsidRPr="00913A78" w:rsidRDefault="0034235F" w:rsidP="00266DBF">
            <w:pPr>
              <w:rPr>
                <w:rFonts w:ascii="Candara" w:hAnsi="Candara"/>
                <w:color w:val="000000" w:themeColor="text1"/>
              </w:rPr>
            </w:pPr>
            <w:r w:rsidRPr="00913A78">
              <w:rPr>
                <w:rFonts w:ascii="Candara" w:hAnsi="Candara"/>
                <w:color w:val="000000" w:themeColor="text1"/>
              </w:rPr>
              <w:t>24</w:t>
            </w:r>
          </w:p>
        </w:tc>
        <w:tc>
          <w:tcPr>
            <w:tcW w:w="3011" w:type="dxa"/>
            <w:vAlign w:val="center"/>
          </w:tcPr>
          <w:p w14:paraId="67D132CE" w14:textId="3497FCDD"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FD Richard Hobbs (2024)</w:t>
            </w:r>
          </w:p>
        </w:tc>
        <w:tc>
          <w:tcPr>
            <w:tcW w:w="9364" w:type="dxa"/>
            <w:vAlign w:val="center"/>
          </w:tcPr>
          <w:p w14:paraId="5F96EF69" w14:textId="1AB9C8B8"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Data from all sites will be combined and analysed collectively. A sensitivity analysis of the primary outcomes may be carried out adjusting for geographical clinical research network (CRN) if deemed necessary.</w:t>
            </w:r>
          </w:p>
        </w:tc>
        <w:tc>
          <w:tcPr>
            <w:tcW w:w="1693" w:type="dxa"/>
            <w:vAlign w:val="center"/>
          </w:tcPr>
          <w:p w14:paraId="375CA4B9" w14:textId="031D6CC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33</w:t>
            </w:r>
            <w:r w:rsidRPr="00913A78">
              <w:rPr>
                <w:rFonts w:ascii="Candara" w:eastAsia="等线" w:hAnsi="Candara"/>
                <w:color w:val="000000" w:themeColor="text1"/>
                <w:sz w:val="22"/>
              </w:rPr>
              <w:t>; Protocol</w:t>
            </w:r>
          </w:p>
        </w:tc>
      </w:tr>
      <w:tr w:rsidR="0034235F" w:rsidRPr="0034235F" w14:paraId="2AA5FDAB" w14:textId="782819AB" w:rsidTr="00266DBF">
        <w:trPr>
          <w:jc w:val="center"/>
        </w:trPr>
        <w:tc>
          <w:tcPr>
            <w:tcW w:w="528" w:type="dxa"/>
            <w:vAlign w:val="center"/>
          </w:tcPr>
          <w:p w14:paraId="167EF785" w14:textId="493929C2" w:rsidR="0034235F" w:rsidRPr="00913A78" w:rsidRDefault="0034235F" w:rsidP="00266DBF">
            <w:pPr>
              <w:rPr>
                <w:rFonts w:ascii="Candara" w:hAnsi="Candara"/>
                <w:color w:val="000000" w:themeColor="text1"/>
              </w:rPr>
            </w:pPr>
            <w:r w:rsidRPr="00913A78">
              <w:rPr>
                <w:rFonts w:ascii="Candara" w:hAnsi="Candara"/>
                <w:color w:val="000000" w:themeColor="text1"/>
              </w:rPr>
              <w:t>25</w:t>
            </w:r>
          </w:p>
        </w:tc>
        <w:tc>
          <w:tcPr>
            <w:tcW w:w="3011" w:type="dxa"/>
            <w:vAlign w:val="center"/>
          </w:tcPr>
          <w:p w14:paraId="037B911F" w14:textId="52125001"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Christopher C Butler (2021)</w:t>
            </w:r>
          </w:p>
        </w:tc>
        <w:tc>
          <w:tcPr>
            <w:tcW w:w="9364" w:type="dxa"/>
            <w:vAlign w:val="center"/>
          </w:tcPr>
          <w:p w14:paraId="7AC2DA84"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Analyses will be conducted comparing data of persons with and without complete 28-days follow-up. </w:t>
            </w:r>
          </w:p>
          <w:p w14:paraId="367B1373" w14:textId="0A9B16B5"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Bayesian multiple imputation strategies of the primary analysis will be considered if there are characteristics or outcomes found to be associated with the primary endpoint.</w:t>
            </w:r>
          </w:p>
        </w:tc>
        <w:tc>
          <w:tcPr>
            <w:tcW w:w="1693" w:type="dxa"/>
            <w:vAlign w:val="center"/>
          </w:tcPr>
          <w:p w14:paraId="356DB028" w14:textId="632218A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7</w:t>
            </w:r>
            <w:r w:rsidRPr="00913A78">
              <w:rPr>
                <w:rFonts w:ascii="Candara" w:eastAsia="等线" w:hAnsi="Candara"/>
                <w:color w:val="000000" w:themeColor="text1"/>
                <w:sz w:val="22"/>
              </w:rPr>
              <w:t>; Protocol</w:t>
            </w:r>
          </w:p>
        </w:tc>
      </w:tr>
      <w:tr w:rsidR="0034235F" w:rsidRPr="0034235F" w14:paraId="252CFD87" w14:textId="4C0BABE6" w:rsidTr="00266DBF">
        <w:trPr>
          <w:jc w:val="center"/>
        </w:trPr>
        <w:tc>
          <w:tcPr>
            <w:tcW w:w="528" w:type="dxa"/>
            <w:vAlign w:val="center"/>
          </w:tcPr>
          <w:p w14:paraId="7F15F0F9" w14:textId="7DAF5D7F" w:rsidR="0034235F" w:rsidRPr="00913A78" w:rsidRDefault="0034235F" w:rsidP="00266DBF">
            <w:pPr>
              <w:rPr>
                <w:rFonts w:ascii="Candara" w:hAnsi="Candara"/>
                <w:color w:val="000000" w:themeColor="text1"/>
              </w:rPr>
            </w:pPr>
            <w:r w:rsidRPr="00913A78">
              <w:rPr>
                <w:rFonts w:ascii="Candara" w:hAnsi="Candara"/>
                <w:color w:val="000000" w:themeColor="text1"/>
              </w:rPr>
              <w:t>26</w:t>
            </w:r>
          </w:p>
        </w:tc>
        <w:tc>
          <w:tcPr>
            <w:tcW w:w="3011" w:type="dxa"/>
            <w:vAlign w:val="center"/>
          </w:tcPr>
          <w:p w14:paraId="3D014943" w14:textId="01BFF242"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Isabelle E.Bauer (2018)</w:t>
            </w:r>
          </w:p>
        </w:tc>
        <w:tc>
          <w:tcPr>
            <w:tcW w:w="9364" w:type="dxa"/>
            <w:vAlign w:val="center"/>
          </w:tcPr>
          <w:p w14:paraId="28C5F1C5"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Evaluation of the primary outcome, proportion of patients demonstrating &gt; 50% decrease in depression scores</w:t>
            </w:r>
            <w:r w:rsidR="00266DBF" w:rsidRPr="00913A78">
              <w:rPr>
                <w:rFonts w:ascii="Candara" w:eastAsia="等线" w:hAnsi="Candara" w:hint="eastAsia"/>
                <w:color w:val="000000" w:themeColor="text1"/>
                <w:sz w:val="22"/>
              </w:rPr>
              <w:t xml:space="preserve"> </w:t>
            </w:r>
            <w:r w:rsidRPr="00913A78">
              <w:rPr>
                <w:rFonts w:ascii="Candara" w:eastAsia="等线" w:hAnsi="Candara"/>
                <w:color w:val="000000" w:themeColor="text1"/>
                <w:sz w:val="22"/>
              </w:rPr>
              <w:t>on the MADRS, as a function of treatment will use a beta-binomial model and contingency tables with chi-square</w:t>
            </w:r>
            <w:r w:rsidR="00266DBF" w:rsidRPr="00913A78">
              <w:rPr>
                <w:rFonts w:ascii="Candara" w:eastAsia="等线" w:hAnsi="Candara" w:hint="eastAsia"/>
                <w:color w:val="000000" w:themeColor="text1"/>
                <w:sz w:val="22"/>
              </w:rPr>
              <w:t xml:space="preserve"> </w:t>
            </w:r>
            <w:r w:rsidRPr="00913A78">
              <w:rPr>
                <w:rFonts w:ascii="Candara" w:eastAsia="等线" w:hAnsi="Candara"/>
                <w:color w:val="000000" w:themeColor="text1"/>
                <w:sz w:val="22"/>
              </w:rPr>
              <w:t xml:space="preserve">testing for Bayesian and Frequentist approaches respectively. </w:t>
            </w:r>
          </w:p>
          <w:p w14:paraId="38C70565" w14:textId="421E8912"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Additional analyses will use the generalized linear</w:t>
            </w:r>
            <w:r w:rsidR="00266DBF" w:rsidRPr="00913A78">
              <w:rPr>
                <w:rFonts w:ascii="Candara" w:eastAsia="等线" w:hAnsi="Candara" w:hint="eastAsia"/>
                <w:color w:val="000000" w:themeColor="text1"/>
                <w:sz w:val="22"/>
              </w:rPr>
              <w:t xml:space="preserve"> </w:t>
            </w:r>
            <w:r w:rsidR="00266DBF" w:rsidRPr="00913A78">
              <w:rPr>
                <w:rFonts w:ascii="Candara" w:eastAsia="等线" w:hAnsi="Candara"/>
                <w:color w:val="000000" w:themeColor="text1"/>
                <w:sz w:val="22"/>
              </w:rPr>
              <w:t>modelling</w:t>
            </w:r>
            <w:r w:rsidRPr="00913A78">
              <w:rPr>
                <w:rFonts w:ascii="Candara" w:eastAsia="等线" w:hAnsi="Candara"/>
                <w:color w:val="000000" w:themeColor="text1"/>
                <w:sz w:val="22"/>
              </w:rPr>
              <w:t>.</w:t>
            </w:r>
          </w:p>
          <w:p w14:paraId="75645565" w14:textId="287D45B1"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If, at 50% of data gathering, there are additional participants continuing in active treatments that might be pruned, sensitivity analyses will inspect the degree to which potential results from these active patients might alter the conclusions of the interim analysis. </w:t>
            </w:r>
          </w:p>
        </w:tc>
        <w:tc>
          <w:tcPr>
            <w:tcW w:w="1693" w:type="dxa"/>
            <w:vAlign w:val="center"/>
          </w:tcPr>
          <w:p w14:paraId="76CE6753" w14:textId="71B4B46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11</w:t>
            </w:r>
            <w:r w:rsidRPr="00913A78">
              <w:rPr>
                <w:rFonts w:ascii="Candara" w:eastAsia="等线" w:hAnsi="Candara" w:hint="eastAsia"/>
                <w:color w:val="000000" w:themeColor="text1"/>
                <w:sz w:val="22"/>
              </w:rPr>
              <w:t>; SAP</w:t>
            </w:r>
          </w:p>
        </w:tc>
      </w:tr>
      <w:tr w:rsidR="0034235F" w:rsidRPr="0034235F" w14:paraId="07D2CFC3" w14:textId="77777777" w:rsidTr="00266DBF">
        <w:trPr>
          <w:jc w:val="center"/>
        </w:trPr>
        <w:tc>
          <w:tcPr>
            <w:tcW w:w="528" w:type="dxa"/>
            <w:vAlign w:val="center"/>
          </w:tcPr>
          <w:p w14:paraId="7CE7DA09" w14:textId="3DE74391" w:rsidR="0034235F" w:rsidRPr="00913A78" w:rsidRDefault="0034235F" w:rsidP="00266DBF">
            <w:pPr>
              <w:rPr>
                <w:rFonts w:ascii="Candara" w:hAnsi="Candara"/>
                <w:color w:val="000000" w:themeColor="text1"/>
              </w:rPr>
            </w:pPr>
            <w:r w:rsidRPr="00913A78">
              <w:rPr>
                <w:rFonts w:ascii="Candara" w:hAnsi="Candara"/>
                <w:color w:val="000000" w:themeColor="text1"/>
              </w:rPr>
              <w:t>27</w:t>
            </w:r>
          </w:p>
        </w:tc>
        <w:tc>
          <w:tcPr>
            <w:tcW w:w="3011" w:type="dxa"/>
            <w:vAlign w:val="center"/>
          </w:tcPr>
          <w:p w14:paraId="56A8FBFB" w14:textId="6E7863B2"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Paul A Brogan MBChB (2021)</w:t>
            </w:r>
          </w:p>
        </w:tc>
        <w:tc>
          <w:tcPr>
            <w:tcW w:w="9364" w:type="dxa"/>
            <w:vAlign w:val="center"/>
          </w:tcPr>
          <w:p w14:paraId="0EC48818"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 ‘conventional’ frequentist analysis of the primary outcome will be presented alongside the Bayesian approach. </w:t>
            </w:r>
          </w:p>
          <w:p w14:paraId="2BD7A8A6" w14:textId="33C0C26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lastRenderedPageBreak/>
              <w:t>Secondary per protocol</w:t>
            </w:r>
            <w:r w:rsidR="00266DBF" w:rsidRPr="00913A78">
              <w:rPr>
                <w:rFonts w:ascii="Candara" w:eastAsia="等线" w:hAnsi="Candara" w:hint="eastAsia"/>
                <w:color w:val="000000" w:themeColor="text1"/>
                <w:sz w:val="22"/>
              </w:rPr>
              <w:t xml:space="preserve"> </w:t>
            </w:r>
            <w:r w:rsidRPr="00913A78">
              <w:rPr>
                <w:rFonts w:ascii="Candara" w:eastAsia="等线" w:hAnsi="Candara"/>
                <w:color w:val="000000" w:themeColor="text1"/>
                <w:sz w:val="22"/>
              </w:rPr>
              <w:t xml:space="preserve">analyses will also be undertaken to assess the robustness of ITT analyses and to further inform decisions regarding non-inferiority. </w:t>
            </w:r>
          </w:p>
        </w:tc>
        <w:tc>
          <w:tcPr>
            <w:tcW w:w="1693" w:type="dxa"/>
            <w:vAlign w:val="center"/>
          </w:tcPr>
          <w:p w14:paraId="0B6DA154" w14:textId="2CEA9AF0"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lastRenderedPageBreak/>
              <w:t>57</w:t>
            </w:r>
            <w:r w:rsidRPr="00913A78">
              <w:rPr>
                <w:rFonts w:ascii="Candara" w:eastAsia="等线" w:hAnsi="Candara"/>
                <w:color w:val="000000" w:themeColor="text1"/>
                <w:sz w:val="22"/>
              </w:rPr>
              <w:t>; Protocol</w:t>
            </w:r>
          </w:p>
        </w:tc>
      </w:tr>
      <w:tr w:rsidR="0034235F" w:rsidRPr="0034235F" w14:paraId="5F3B24F2" w14:textId="77777777" w:rsidTr="00266DBF">
        <w:trPr>
          <w:jc w:val="center"/>
        </w:trPr>
        <w:tc>
          <w:tcPr>
            <w:tcW w:w="528" w:type="dxa"/>
            <w:vAlign w:val="center"/>
          </w:tcPr>
          <w:p w14:paraId="727F2A2F" w14:textId="6AB62F83" w:rsidR="0034235F" w:rsidRPr="00913A78" w:rsidRDefault="0034235F" w:rsidP="00266DBF">
            <w:pPr>
              <w:rPr>
                <w:rFonts w:ascii="Candara" w:hAnsi="Candara"/>
                <w:color w:val="000000" w:themeColor="text1"/>
              </w:rPr>
            </w:pPr>
            <w:r w:rsidRPr="00913A78">
              <w:rPr>
                <w:rFonts w:ascii="Candara" w:hAnsi="Candara"/>
                <w:color w:val="000000" w:themeColor="text1"/>
              </w:rPr>
              <w:t>28</w:t>
            </w:r>
          </w:p>
        </w:tc>
        <w:tc>
          <w:tcPr>
            <w:tcW w:w="3011" w:type="dxa"/>
            <w:vAlign w:val="center"/>
          </w:tcPr>
          <w:p w14:paraId="57C7F800" w14:textId="528C1DB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The PREVAIL II Writing Group, for the Multi-National PREVAIL II Study Team (2016)</w:t>
            </w:r>
          </w:p>
        </w:tc>
        <w:tc>
          <w:tcPr>
            <w:tcW w:w="9364" w:type="dxa"/>
            <w:vAlign w:val="center"/>
          </w:tcPr>
          <w:p w14:paraId="5447695C"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following alternative test statistics will be performed on the primary outcome as secondary analyses.</w:t>
            </w:r>
          </w:p>
          <w:p w14:paraId="229B0EE1"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Barnard’s unconditional test will be performed using a one-tailed test of p1=p0 versus p1&lt;p0.</w:t>
            </w:r>
          </w:p>
          <w:p w14:paraId="73151766"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The same approach specified above for Barnard’s test, including the two separate alpha levels, will also be performed for Fisher’s exact test. </w:t>
            </w:r>
          </w:p>
          <w:p w14:paraId="2D820B04" w14:textId="75F92BE0"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An analysis of time to death will be performed using a log-rank test.</w:t>
            </w:r>
          </w:p>
        </w:tc>
        <w:tc>
          <w:tcPr>
            <w:tcW w:w="1693" w:type="dxa"/>
            <w:vAlign w:val="center"/>
          </w:tcPr>
          <w:p w14:paraId="70ED6B52" w14:textId="48D3F3CD"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173</w:t>
            </w:r>
            <w:r w:rsidRPr="00913A78">
              <w:rPr>
                <w:rFonts w:ascii="Candara" w:eastAsia="等线" w:hAnsi="Candara"/>
                <w:color w:val="000000" w:themeColor="text1"/>
                <w:sz w:val="22"/>
              </w:rPr>
              <w:t>; Protocol</w:t>
            </w:r>
          </w:p>
        </w:tc>
      </w:tr>
      <w:tr w:rsidR="0034235F" w:rsidRPr="0034235F" w14:paraId="0B5BAC52" w14:textId="77777777" w:rsidTr="00266DBF">
        <w:trPr>
          <w:jc w:val="center"/>
        </w:trPr>
        <w:tc>
          <w:tcPr>
            <w:tcW w:w="528" w:type="dxa"/>
            <w:vAlign w:val="center"/>
          </w:tcPr>
          <w:p w14:paraId="07AD9C33" w14:textId="28AF6129" w:rsidR="0034235F" w:rsidRPr="00913A78" w:rsidRDefault="0034235F" w:rsidP="00266DBF">
            <w:pPr>
              <w:rPr>
                <w:rFonts w:ascii="Candara" w:hAnsi="Candara"/>
                <w:color w:val="000000" w:themeColor="text1"/>
              </w:rPr>
            </w:pPr>
            <w:r w:rsidRPr="00913A78">
              <w:rPr>
                <w:rFonts w:ascii="Candara" w:hAnsi="Candara"/>
                <w:color w:val="000000" w:themeColor="text1"/>
              </w:rPr>
              <w:t>29</w:t>
            </w:r>
          </w:p>
        </w:tc>
        <w:tc>
          <w:tcPr>
            <w:tcW w:w="3011" w:type="dxa"/>
            <w:vAlign w:val="center"/>
          </w:tcPr>
          <w:p w14:paraId="307274F6" w14:textId="4E74D71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Christopher C Butler (2023)</w:t>
            </w:r>
          </w:p>
        </w:tc>
        <w:tc>
          <w:tcPr>
            <w:tcW w:w="9364" w:type="dxa"/>
            <w:vAlign w:val="center"/>
          </w:tcPr>
          <w:p w14:paraId="31FDC148" w14:textId="3C58D9C3"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To assess the points at which the combination of the number of events in the treatment and control arms for those with missing data result in change in the conclusion obtained from the primary analysis model, tipping point analysis (for a binary outcome and a dichotomous treatment) will be </w:t>
            </w:r>
            <w:r w:rsidR="00266DBF" w:rsidRPr="00913A78">
              <w:rPr>
                <w:rFonts w:ascii="Candara" w:eastAsia="等线" w:hAnsi="Candara"/>
                <w:color w:val="000000" w:themeColor="text1"/>
                <w:sz w:val="22"/>
              </w:rPr>
              <w:t>undertaken</w:t>
            </w:r>
            <w:r w:rsidRPr="00913A78">
              <w:rPr>
                <w:rFonts w:ascii="Candara" w:eastAsia="等线" w:hAnsi="Candara"/>
                <w:color w:val="000000" w:themeColor="text1"/>
                <w:sz w:val="22"/>
              </w:rPr>
              <w:t xml:space="preserve"> assuming MAR mechanism as a sensitivity analysis</w:t>
            </w:r>
          </w:p>
        </w:tc>
        <w:tc>
          <w:tcPr>
            <w:tcW w:w="1693" w:type="dxa"/>
            <w:vAlign w:val="center"/>
          </w:tcPr>
          <w:p w14:paraId="6EECBEAC" w14:textId="5179D2A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45</w:t>
            </w:r>
            <w:r w:rsidRPr="00913A78">
              <w:rPr>
                <w:rFonts w:ascii="Candara" w:eastAsia="等线" w:hAnsi="Candara"/>
                <w:color w:val="000000" w:themeColor="text1"/>
                <w:sz w:val="22"/>
              </w:rPr>
              <w:t>; Protocol</w:t>
            </w:r>
          </w:p>
        </w:tc>
      </w:tr>
      <w:tr w:rsidR="0034235F" w:rsidRPr="0034235F" w14:paraId="140C1447" w14:textId="77777777" w:rsidTr="00266DBF">
        <w:trPr>
          <w:jc w:val="center"/>
        </w:trPr>
        <w:tc>
          <w:tcPr>
            <w:tcW w:w="528" w:type="dxa"/>
            <w:vAlign w:val="center"/>
          </w:tcPr>
          <w:p w14:paraId="68981058" w14:textId="7F87630B" w:rsidR="0034235F" w:rsidRPr="00913A78" w:rsidRDefault="0034235F" w:rsidP="00266DBF">
            <w:pPr>
              <w:rPr>
                <w:rFonts w:ascii="Candara" w:hAnsi="Candara"/>
                <w:color w:val="000000" w:themeColor="text1"/>
              </w:rPr>
            </w:pPr>
            <w:r w:rsidRPr="00913A78">
              <w:rPr>
                <w:rFonts w:ascii="Candara" w:hAnsi="Candara"/>
                <w:color w:val="000000" w:themeColor="text1"/>
              </w:rPr>
              <w:t>30</w:t>
            </w:r>
          </w:p>
        </w:tc>
        <w:tc>
          <w:tcPr>
            <w:tcW w:w="3011" w:type="dxa"/>
            <w:vAlign w:val="center"/>
          </w:tcPr>
          <w:p w14:paraId="2CB7E580" w14:textId="736C3CB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REMAP-CAP Writing Committee for the REMAP-CAP Investigators (2022)</w:t>
            </w:r>
          </w:p>
        </w:tc>
        <w:tc>
          <w:tcPr>
            <w:tcW w:w="9364" w:type="dxa"/>
            <w:vAlign w:val="center"/>
          </w:tcPr>
          <w:p w14:paraId="25EC17B3" w14:textId="62D99266"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15. SPECIFIC PROSPECTIVE ANALYSES</w:t>
            </w:r>
          </w:p>
        </w:tc>
        <w:tc>
          <w:tcPr>
            <w:tcW w:w="1693" w:type="dxa"/>
            <w:vAlign w:val="center"/>
          </w:tcPr>
          <w:p w14:paraId="6D55EA58" w14:textId="43C134D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365</w:t>
            </w:r>
            <w:r w:rsidRPr="00913A78">
              <w:rPr>
                <w:rFonts w:ascii="Candara" w:eastAsia="等线" w:hAnsi="Candara"/>
                <w:color w:val="000000" w:themeColor="text1"/>
                <w:sz w:val="22"/>
              </w:rPr>
              <w:t>; Protocol</w:t>
            </w:r>
          </w:p>
        </w:tc>
      </w:tr>
      <w:tr w:rsidR="0034235F" w:rsidRPr="0034235F" w14:paraId="602F9F0C" w14:textId="77777777" w:rsidTr="00266DBF">
        <w:trPr>
          <w:jc w:val="center"/>
        </w:trPr>
        <w:tc>
          <w:tcPr>
            <w:tcW w:w="528" w:type="dxa"/>
            <w:vAlign w:val="center"/>
          </w:tcPr>
          <w:p w14:paraId="3E6DA063" w14:textId="0D494C78" w:rsidR="0034235F" w:rsidRPr="00913A78" w:rsidRDefault="0034235F" w:rsidP="00266DBF">
            <w:pPr>
              <w:rPr>
                <w:rFonts w:ascii="Candara" w:hAnsi="Candara"/>
                <w:color w:val="000000" w:themeColor="text1"/>
              </w:rPr>
            </w:pPr>
            <w:r w:rsidRPr="00913A78">
              <w:rPr>
                <w:rFonts w:ascii="Candara" w:hAnsi="Candara"/>
                <w:color w:val="000000" w:themeColor="text1"/>
              </w:rPr>
              <w:t>31</w:t>
            </w:r>
          </w:p>
        </w:tc>
        <w:tc>
          <w:tcPr>
            <w:tcW w:w="3011" w:type="dxa"/>
            <w:vAlign w:val="center"/>
          </w:tcPr>
          <w:p w14:paraId="0EAEC59E" w14:textId="1A61E42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The ATTACC, ACTIV-4a, and REMAP-CAP Investigators (2021)</w:t>
            </w:r>
          </w:p>
        </w:tc>
        <w:tc>
          <w:tcPr>
            <w:tcW w:w="9364" w:type="dxa"/>
            <w:vAlign w:val="center"/>
          </w:tcPr>
          <w:p w14:paraId="17F8BC9B"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We will conduct a sensitivity analysis on the primary endpoint treating missing values using the “last known status carried forward” approach.</w:t>
            </w:r>
          </w:p>
          <w:p w14:paraId="61DFF518" w14:textId="5A0F4C8E"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per protocol analysis will be conducted based on adherence to assigned treatment; this dataset will support sensitivity analyses to complement the primary ITT analyses.</w:t>
            </w:r>
          </w:p>
        </w:tc>
        <w:tc>
          <w:tcPr>
            <w:tcW w:w="1693" w:type="dxa"/>
            <w:vAlign w:val="center"/>
          </w:tcPr>
          <w:p w14:paraId="67CA8A7C" w14:textId="28844160"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456, 515</w:t>
            </w:r>
            <w:r w:rsidRPr="00913A78">
              <w:rPr>
                <w:rFonts w:ascii="Candara" w:eastAsia="等线" w:hAnsi="Candara"/>
                <w:color w:val="000000" w:themeColor="text1"/>
                <w:sz w:val="22"/>
              </w:rPr>
              <w:t>; Protocol</w:t>
            </w:r>
          </w:p>
        </w:tc>
      </w:tr>
      <w:tr w:rsidR="0034235F" w:rsidRPr="0034235F" w14:paraId="553D5237" w14:textId="77777777" w:rsidTr="00266DBF">
        <w:trPr>
          <w:jc w:val="center"/>
        </w:trPr>
        <w:tc>
          <w:tcPr>
            <w:tcW w:w="528" w:type="dxa"/>
            <w:vAlign w:val="center"/>
          </w:tcPr>
          <w:p w14:paraId="639AB47A" w14:textId="43929ACE" w:rsidR="0034235F" w:rsidRPr="00913A78" w:rsidRDefault="0034235F" w:rsidP="00266DBF">
            <w:pPr>
              <w:rPr>
                <w:rFonts w:ascii="Candara" w:hAnsi="Candara"/>
                <w:color w:val="000000" w:themeColor="text1"/>
              </w:rPr>
            </w:pPr>
            <w:r w:rsidRPr="00913A78">
              <w:rPr>
                <w:rFonts w:ascii="Candara" w:hAnsi="Candara"/>
                <w:color w:val="000000" w:themeColor="text1"/>
              </w:rPr>
              <w:t>32</w:t>
            </w:r>
          </w:p>
        </w:tc>
        <w:tc>
          <w:tcPr>
            <w:tcW w:w="3011" w:type="dxa"/>
            <w:vAlign w:val="center"/>
          </w:tcPr>
          <w:p w14:paraId="410A8C01" w14:textId="387AF53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David A Margolis (2017)</w:t>
            </w:r>
          </w:p>
        </w:tc>
        <w:tc>
          <w:tcPr>
            <w:tcW w:w="9364" w:type="dxa"/>
            <w:vAlign w:val="center"/>
          </w:tcPr>
          <w:p w14:paraId="044733AA"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The observed case (OC) dataset uses only the data that is available at a particular timepoint, with no imputation for missing values. This data will be used for safety analyses, sensitivity analyses and analysis of health outcome endpoints, and certain efficacy summaries. </w:t>
            </w:r>
          </w:p>
          <w:p w14:paraId="19D48EA1"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Sensitivity analyses may be performed to assess the impact of the choice of informative prior for oral arm response rate though the analysis described above will remain primary for indication of efficacy decision-making purposes.</w:t>
            </w:r>
          </w:p>
          <w:p w14:paraId="4CA9DA7A" w14:textId="0A707EF3"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As an alternative to the informative prior, a Beta (1, 1) prior distribution for oral arm may be </w:t>
            </w:r>
            <w:r w:rsidRPr="00913A78">
              <w:rPr>
                <w:rFonts w:ascii="Candara" w:eastAsia="等线" w:hAnsi="Candara"/>
                <w:color w:val="000000" w:themeColor="text1"/>
                <w:sz w:val="22"/>
              </w:rPr>
              <w:lastRenderedPageBreak/>
              <w:t>considered.</w:t>
            </w:r>
          </w:p>
        </w:tc>
        <w:tc>
          <w:tcPr>
            <w:tcW w:w="1693" w:type="dxa"/>
            <w:vAlign w:val="center"/>
          </w:tcPr>
          <w:p w14:paraId="2B2F6B8A" w14:textId="1D63EF13"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lastRenderedPageBreak/>
              <w:t>35, 78</w:t>
            </w:r>
            <w:r w:rsidRPr="00913A78">
              <w:rPr>
                <w:rFonts w:ascii="Candara" w:eastAsia="等线" w:hAnsi="Candara" w:hint="eastAsia"/>
                <w:color w:val="000000" w:themeColor="text1"/>
                <w:sz w:val="22"/>
              </w:rPr>
              <w:t>; SAP</w:t>
            </w:r>
          </w:p>
        </w:tc>
      </w:tr>
      <w:tr w:rsidR="0034235F" w:rsidRPr="0034235F" w14:paraId="16BD7E54" w14:textId="77777777" w:rsidTr="00266DBF">
        <w:trPr>
          <w:jc w:val="center"/>
        </w:trPr>
        <w:tc>
          <w:tcPr>
            <w:tcW w:w="528" w:type="dxa"/>
            <w:vAlign w:val="center"/>
          </w:tcPr>
          <w:p w14:paraId="0D2D342D" w14:textId="272E2022" w:rsidR="0034235F" w:rsidRPr="00913A78" w:rsidRDefault="0034235F" w:rsidP="00266DBF">
            <w:pPr>
              <w:rPr>
                <w:rFonts w:ascii="Candara" w:hAnsi="Candara"/>
                <w:color w:val="000000" w:themeColor="text1"/>
              </w:rPr>
            </w:pPr>
            <w:r w:rsidRPr="00913A78">
              <w:rPr>
                <w:rFonts w:ascii="Candara" w:hAnsi="Candara"/>
                <w:color w:val="000000" w:themeColor="text1"/>
              </w:rPr>
              <w:t>33</w:t>
            </w:r>
          </w:p>
        </w:tc>
        <w:tc>
          <w:tcPr>
            <w:tcW w:w="3011" w:type="dxa"/>
            <w:vAlign w:val="center"/>
          </w:tcPr>
          <w:p w14:paraId="1A3760C4" w14:textId="601D8C7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Sophie Glatt (2021)</w:t>
            </w:r>
          </w:p>
        </w:tc>
        <w:tc>
          <w:tcPr>
            <w:tcW w:w="9364" w:type="dxa"/>
            <w:vAlign w:val="center"/>
          </w:tcPr>
          <w:p w14:paraId="5987FE71" w14:textId="4AC58193"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primary Bayesian analysis of HiSCR at Week 12 will be repeated including treatment group, Baseline Hurley Stage, concomitant antibiotic use at study entry (coded as a binary [yes/no] variable) as an additional covariate, and a concomitant antibiotic use × Baseline Hurley Stage</w:t>
            </w:r>
            <w:r w:rsidRPr="00913A78">
              <w:rPr>
                <w:rFonts w:ascii="Candara" w:eastAsia="等线" w:hAnsi="Candara"/>
                <w:color w:val="000000" w:themeColor="text1"/>
                <w:sz w:val="22"/>
              </w:rPr>
              <w:br/>
              <w:t>interaction term</w:t>
            </w:r>
          </w:p>
        </w:tc>
        <w:tc>
          <w:tcPr>
            <w:tcW w:w="1693" w:type="dxa"/>
            <w:vAlign w:val="center"/>
          </w:tcPr>
          <w:p w14:paraId="51391A94" w14:textId="0E11243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38</w:t>
            </w:r>
            <w:r w:rsidRPr="00913A78">
              <w:rPr>
                <w:rFonts w:ascii="Candara" w:eastAsia="等线" w:hAnsi="Candara"/>
                <w:color w:val="000000" w:themeColor="text1"/>
                <w:sz w:val="22"/>
              </w:rPr>
              <w:t>; Protocol</w:t>
            </w:r>
          </w:p>
        </w:tc>
      </w:tr>
      <w:tr w:rsidR="0034235F" w:rsidRPr="0034235F" w14:paraId="745B329E" w14:textId="77777777" w:rsidTr="00266DBF">
        <w:trPr>
          <w:jc w:val="center"/>
        </w:trPr>
        <w:tc>
          <w:tcPr>
            <w:tcW w:w="528" w:type="dxa"/>
            <w:vAlign w:val="center"/>
          </w:tcPr>
          <w:p w14:paraId="14BEA9F1" w14:textId="4970A996" w:rsidR="0034235F" w:rsidRPr="00913A78" w:rsidRDefault="0034235F" w:rsidP="00266DBF">
            <w:pPr>
              <w:rPr>
                <w:rFonts w:ascii="Candara" w:hAnsi="Candara"/>
                <w:color w:val="000000" w:themeColor="text1"/>
              </w:rPr>
            </w:pPr>
            <w:r w:rsidRPr="00913A78">
              <w:rPr>
                <w:rFonts w:ascii="Candara" w:hAnsi="Candara"/>
                <w:color w:val="000000" w:themeColor="text1"/>
              </w:rPr>
              <w:t>34</w:t>
            </w:r>
          </w:p>
        </w:tc>
        <w:tc>
          <w:tcPr>
            <w:tcW w:w="3011" w:type="dxa"/>
            <w:vAlign w:val="center"/>
          </w:tcPr>
          <w:p w14:paraId="718A3666" w14:textId="68A31430"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The CORIMUNO-19 Collaborative group (2022)</w:t>
            </w:r>
          </w:p>
        </w:tc>
        <w:tc>
          <w:tcPr>
            <w:tcW w:w="9364" w:type="dxa"/>
            <w:vAlign w:val="center"/>
          </w:tcPr>
          <w:p w14:paraId="5E55DB91" w14:textId="661B7D5A"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However, in the case some outcomes would be missing, binary missing outcomes will be treated as treatment failures in interim and primary final analyses, with an imputation by last value carried forward as a sensitivity analysis.</w:t>
            </w:r>
          </w:p>
        </w:tc>
        <w:tc>
          <w:tcPr>
            <w:tcW w:w="1693" w:type="dxa"/>
            <w:vAlign w:val="center"/>
          </w:tcPr>
          <w:p w14:paraId="1ED534E7" w14:textId="6EB44CE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9</w:t>
            </w:r>
            <w:r w:rsidRPr="00913A78">
              <w:rPr>
                <w:rFonts w:ascii="Candara" w:eastAsia="等线" w:hAnsi="Candara" w:hint="eastAsia"/>
                <w:color w:val="000000" w:themeColor="text1"/>
                <w:sz w:val="22"/>
              </w:rPr>
              <w:t>; SAP</w:t>
            </w:r>
          </w:p>
        </w:tc>
      </w:tr>
      <w:tr w:rsidR="0034235F" w:rsidRPr="0034235F" w14:paraId="033B6E59" w14:textId="77777777" w:rsidTr="00266DBF">
        <w:trPr>
          <w:jc w:val="center"/>
        </w:trPr>
        <w:tc>
          <w:tcPr>
            <w:tcW w:w="528" w:type="dxa"/>
            <w:vAlign w:val="center"/>
          </w:tcPr>
          <w:p w14:paraId="1F46A5D7" w14:textId="24AECBE3" w:rsidR="0034235F" w:rsidRPr="00913A78" w:rsidRDefault="0034235F" w:rsidP="00266DBF">
            <w:pPr>
              <w:rPr>
                <w:rFonts w:ascii="Candara" w:hAnsi="Candara"/>
                <w:color w:val="000000" w:themeColor="text1"/>
              </w:rPr>
            </w:pPr>
            <w:r w:rsidRPr="00913A78">
              <w:rPr>
                <w:rFonts w:ascii="Candara" w:hAnsi="Candara"/>
                <w:color w:val="000000" w:themeColor="text1"/>
              </w:rPr>
              <w:t>35</w:t>
            </w:r>
          </w:p>
        </w:tc>
        <w:tc>
          <w:tcPr>
            <w:tcW w:w="3011" w:type="dxa"/>
            <w:vAlign w:val="center"/>
          </w:tcPr>
          <w:p w14:paraId="7454F2C2" w14:textId="534A568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Sahil Khanna (2022)</w:t>
            </w:r>
          </w:p>
        </w:tc>
        <w:tc>
          <w:tcPr>
            <w:tcW w:w="9364" w:type="dxa"/>
            <w:vAlign w:val="center"/>
          </w:tcPr>
          <w:p w14:paraId="059FEC32"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Efficacy analysis will be repeated without the borrowing of historical data from the Phase 2B study (Protocol 2014-01) using the mITT, ITT, and PP populations. </w:t>
            </w:r>
          </w:p>
          <w:p w14:paraId="79F1EB84" w14:textId="18C2D632"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Finally, the sensitivity of the primary efficacy endpoint will be assessed in a multivariate logistic regression adjusting for possible interactions of the following covariates with treatment group.</w:t>
            </w:r>
          </w:p>
        </w:tc>
        <w:tc>
          <w:tcPr>
            <w:tcW w:w="1693" w:type="dxa"/>
            <w:vAlign w:val="center"/>
          </w:tcPr>
          <w:p w14:paraId="50E52EA6" w14:textId="38D39D5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29, 30</w:t>
            </w:r>
            <w:r w:rsidRPr="00913A78">
              <w:rPr>
                <w:rFonts w:ascii="Candara" w:eastAsia="等线" w:hAnsi="Candara" w:hint="eastAsia"/>
                <w:color w:val="000000" w:themeColor="text1"/>
                <w:sz w:val="22"/>
              </w:rPr>
              <w:t>; SAP</w:t>
            </w:r>
          </w:p>
        </w:tc>
      </w:tr>
      <w:tr w:rsidR="0034235F" w:rsidRPr="0034235F" w14:paraId="30C09701" w14:textId="77777777" w:rsidTr="00266DBF">
        <w:trPr>
          <w:jc w:val="center"/>
        </w:trPr>
        <w:tc>
          <w:tcPr>
            <w:tcW w:w="528" w:type="dxa"/>
            <w:vAlign w:val="center"/>
          </w:tcPr>
          <w:p w14:paraId="669CD48A" w14:textId="3A55AE5F" w:rsidR="0034235F" w:rsidRPr="00913A78" w:rsidRDefault="0034235F" w:rsidP="00266DBF">
            <w:pPr>
              <w:rPr>
                <w:rFonts w:ascii="Candara" w:hAnsi="Candara"/>
                <w:color w:val="000000" w:themeColor="text1"/>
              </w:rPr>
            </w:pPr>
            <w:r w:rsidRPr="00913A78">
              <w:rPr>
                <w:rFonts w:ascii="Candara" w:hAnsi="Candara"/>
                <w:color w:val="000000" w:themeColor="text1"/>
              </w:rPr>
              <w:t>36</w:t>
            </w:r>
          </w:p>
        </w:tc>
        <w:tc>
          <w:tcPr>
            <w:tcW w:w="3011" w:type="dxa"/>
            <w:vAlign w:val="center"/>
          </w:tcPr>
          <w:p w14:paraId="29929A96" w14:textId="65E6FBEB"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David E Kandzari (2017)</w:t>
            </w:r>
          </w:p>
        </w:tc>
        <w:tc>
          <w:tcPr>
            <w:tcW w:w="9364" w:type="dxa"/>
            <w:vAlign w:val="center"/>
          </w:tcPr>
          <w:p w14:paraId="06EB3C9F"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 A sensitivity analysis will be performed on the primary endpoint on the ITT population. TLF will be re-defined as all cardiac death, ARC-defined myocardial infarction (Ml), or clinically driven target lesion revascularization (TLR). </w:t>
            </w:r>
          </w:p>
          <w:p w14:paraId="784127E8" w14:textId="09815123"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 Bayesian analysis will be performed on the composite event rate, and a frequentist analysis will be performed on TLF rates and its components</w:t>
            </w:r>
          </w:p>
        </w:tc>
        <w:tc>
          <w:tcPr>
            <w:tcW w:w="1693" w:type="dxa"/>
            <w:vAlign w:val="center"/>
          </w:tcPr>
          <w:p w14:paraId="76A4F10E" w14:textId="4C1D8B5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14</w:t>
            </w:r>
            <w:r w:rsidRPr="00913A78">
              <w:rPr>
                <w:rFonts w:ascii="Candara" w:eastAsia="等线" w:hAnsi="Candara" w:hint="eastAsia"/>
                <w:color w:val="000000" w:themeColor="text1"/>
                <w:sz w:val="22"/>
              </w:rPr>
              <w:t>; SAP</w:t>
            </w:r>
          </w:p>
        </w:tc>
      </w:tr>
      <w:tr w:rsidR="0034235F" w:rsidRPr="0034235F" w14:paraId="6207BA3A" w14:textId="77777777" w:rsidTr="00266DBF">
        <w:trPr>
          <w:jc w:val="center"/>
        </w:trPr>
        <w:tc>
          <w:tcPr>
            <w:tcW w:w="528" w:type="dxa"/>
            <w:vAlign w:val="center"/>
          </w:tcPr>
          <w:p w14:paraId="10C5DD82" w14:textId="57A0C502" w:rsidR="0034235F" w:rsidRPr="00913A78" w:rsidRDefault="0034235F" w:rsidP="00266DBF">
            <w:pPr>
              <w:rPr>
                <w:rFonts w:ascii="Candara" w:hAnsi="Candara"/>
                <w:color w:val="000000" w:themeColor="text1"/>
              </w:rPr>
            </w:pPr>
            <w:r w:rsidRPr="00913A78">
              <w:rPr>
                <w:rFonts w:ascii="Candara" w:hAnsi="Candara"/>
                <w:color w:val="000000" w:themeColor="text1"/>
              </w:rPr>
              <w:t>37</w:t>
            </w:r>
          </w:p>
        </w:tc>
        <w:tc>
          <w:tcPr>
            <w:tcW w:w="3011" w:type="dxa"/>
            <w:vAlign w:val="center"/>
          </w:tcPr>
          <w:p w14:paraId="11CF7AB4" w14:textId="695B5603"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Writing Committee for the REMAP-CAP Investigators (2021)</w:t>
            </w:r>
          </w:p>
        </w:tc>
        <w:tc>
          <w:tcPr>
            <w:tcW w:w="9364" w:type="dxa"/>
            <w:vAlign w:val="center"/>
          </w:tcPr>
          <w:p w14:paraId="5FA300E3" w14:textId="41127277"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 sensitivity analysis of REMAP-CAP COVID-19 severe and moderate state ITT</w:t>
            </w:r>
            <w:r w:rsidR="00266DBF" w:rsidRPr="00913A78">
              <w:rPr>
                <w:rFonts w:ascii="Candara" w:eastAsia="等线" w:hAnsi="Candara" w:hint="eastAsia"/>
                <w:color w:val="000000" w:themeColor="text1"/>
                <w:sz w:val="22"/>
              </w:rPr>
              <w:t>.</w:t>
            </w:r>
          </w:p>
        </w:tc>
        <w:tc>
          <w:tcPr>
            <w:tcW w:w="1693" w:type="dxa"/>
            <w:vAlign w:val="center"/>
          </w:tcPr>
          <w:p w14:paraId="0B65F8D5" w14:textId="1157A32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482</w:t>
            </w:r>
            <w:r w:rsidRPr="00913A78">
              <w:rPr>
                <w:rFonts w:ascii="Candara" w:eastAsia="等线" w:hAnsi="Candara"/>
                <w:color w:val="000000" w:themeColor="text1"/>
                <w:sz w:val="22"/>
              </w:rPr>
              <w:t>; Protocol</w:t>
            </w:r>
          </w:p>
        </w:tc>
      </w:tr>
      <w:tr w:rsidR="0034235F" w:rsidRPr="0034235F" w14:paraId="0529E286" w14:textId="77777777" w:rsidTr="00266DBF">
        <w:trPr>
          <w:jc w:val="center"/>
        </w:trPr>
        <w:tc>
          <w:tcPr>
            <w:tcW w:w="528" w:type="dxa"/>
            <w:vAlign w:val="center"/>
          </w:tcPr>
          <w:p w14:paraId="33373710" w14:textId="5CE57F96" w:rsidR="0034235F" w:rsidRPr="00913A78" w:rsidRDefault="0034235F" w:rsidP="00266DBF">
            <w:pPr>
              <w:rPr>
                <w:rFonts w:ascii="Candara" w:hAnsi="Candara"/>
                <w:color w:val="000000" w:themeColor="text1"/>
              </w:rPr>
            </w:pPr>
            <w:r w:rsidRPr="00913A78">
              <w:rPr>
                <w:rFonts w:ascii="Candara" w:hAnsi="Candara"/>
                <w:color w:val="000000" w:themeColor="text1"/>
              </w:rPr>
              <w:t>38</w:t>
            </w:r>
          </w:p>
        </w:tc>
        <w:tc>
          <w:tcPr>
            <w:tcW w:w="3011" w:type="dxa"/>
            <w:vAlign w:val="center"/>
          </w:tcPr>
          <w:p w14:paraId="68482692" w14:textId="6FFFA3A7"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Charles S. Cox Jr (2024)</w:t>
            </w:r>
          </w:p>
        </w:tc>
        <w:tc>
          <w:tcPr>
            <w:tcW w:w="9364" w:type="dxa"/>
            <w:vAlign w:val="center"/>
          </w:tcPr>
          <w:p w14:paraId="48595FB3"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The data will be analyzed using intention-to-treat and per-protocol analyses. </w:t>
            </w:r>
          </w:p>
          <w:p w14:paraId="08CF8DE8"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This can be done by examining influence statistics and/or comparing analyses where the outliers are in or out of the dataset.</w:t>
            </w:r>
          </w:p>
          <w:p w14:paraId="32FC8D00" w14:textId="1D83B900"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If the missing data are more than expected for the primary outcome, we will use multiple imputation techniques to estimate unbiased treatment effects.</w:t>
            </w:r>
          </w:p>
        </w:tc>
        <w:tc>
          <w:tcPr>
            <w:tcW w:w="1693" w:type="dxa"/>
            <w:vAlign w:val="center"/>
          </w:tcPr>
          <w:p w14:paraId="1DBA0A4D" w14:textId="08D430D7"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71, 73</w:t>
            </w:r>
            <w:r w:rsidRPr="00913A78">
              <w:rPr>
                <w:rFonts w:ascii="Candara" w:eastAsia="等线" w:hAnsi="Candara"/>
                <w:color w:val="000000" w:themeColor="text1"/>
                <w:sz w:val="22"/>
              </w:rPr>
              <w:t>; Protocol</w:t>
            </w:r>
          </w:p>
        </w:tc>
      </w:tr>
      <w:tr w:rsidR="0034235F" w:rsidRPr="0034235F" w14:paraId="21D0EAC2" w14:textId="77777777" w:rsidTr="00266DBF">
        <w:trPr>
          <w:jc w:val="center"/>
        </w:trPr>
        <w:tc>
          <w:tcPr>
            <w:tcW w:w="528" w:type="dxa"/>
            <w:vAlign w:val="center"/>
          </w:tcPr>
          <w:p w14:paraId="2F6DB1C6" w14:textId="5879E599" w:rsidR="0034235F" w:rsidRPr="00913A78" w:rsidRDefault="0034235F" w:rsidP="00266DBF">
            <w:pPr>
              <w:rPr>
                <w:rFonts w:ascii="Candara" w:hAnsi="Candara"/>
                <w:color w:val="000000" w:themeColor="text1"/>
              </w:rPr>
            </w:pPr>
            <w:r w:rsidRPr="00913A78">
              <w:rPr>
                <w:rFonts w:ascii="Candara" w:hAnsi="Candara"/>
                <w:color w:val="000000" w:themeColor="text1"/>
              </w:rPr>
              <w:t>39</w:t>
            </w:r>
          </w:p>
        </w:tc>
        <w:tc>
          <w:tcPr>
            <w:tcW w:w="3011" w:type="dxa"/>
            <w:vAlign w:val="center"/>
          </w:tcPr>
          <w:p w14:paraId="1E49D04C" w14:textId="3D36337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 xml:space="preserve">I. Silva </w:t>
            </w:r>
            <w:r w:rsidRPr="00913A78">
              <w:rPr>
                <w:rFonts w:ascii="Candara" w:eastAsia="等线" w:hAnsi="Candara"/>
                <w:color w:val="000000" w:themeColor="text1"/>
                <w:sz w:val="22"/>
              </w:rPr>
              <w:t>（</w:t>
            </w:r>
            <w:r w:rsidRPr="00913A78">
              <w:rPr>
                <w:rFonts w:ascii="Candara" w:eastAsia="等线" w:hAnsi="Candara"/>
                <w:color w:val="000000" w:themeColor="text1"/>
                <w:sz w:val="22"/>
              </w:rPr>
              <w:t>2024</w:t>
            </w:r>
            <w:r w:rsidRPr="00913A78">
              <w:rPr>
                <w:rFonts w:ascii="Candara" w:eastAsia="等线" w:hAnsi="Candara"/>
                <w:color w:val="000000" w:themeColor="text1"/>
                <w:sz w:val="22"/>
              </w:rPr>
              <w:t>）</w:t>
            </w:r>
          </w:p>
        </w:tc>
        <w:tc>
          <w:tcPr>
            <w:tcW w:w="9364" w:type="dxa"/>
            <w:vAlign w:val="center"/>
          </w:tcPr>
          <w:p w14:paraId="10C8C582" w14:textId="1653D7B0"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We will perform imputation of missing entries from incomplete data sets m times; the imputed </w:t>
            </w:r>
            <w:r w:rsidRPr="00913A78">
              <w:rPr>
                <w:rFonts w:ascii="Candara" w:eastAsia="等线" w:hAnsi="Candara"/>
                <w:color w:val="000000" w:themeColor="text1"/>
                <w:sz w:val="22"/>
              </w:rPr>
              <w:lastRenderedPageBreak/>
              <w:t>values are drawn from a distribution.</w:t>
            </w:r>
          </w:p>
        </w:tc>
        <w:tc>
          <w:tcPr>
            <w:tcW w:w="1693" w:type="dxa"/>
            <w:vAlign w:val="center"/>
          </w:tcPr>
          <w:p w14:paraId="014DD429" w14:textId="1CBEF139"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lastRenderedPageBreak/>
              <w:t>13</w:t>
            </w:r>
            <w:r w:rsidRPr="00913A78">
              <w:rPr>
                <w:rFonts w:ascii="Candara" w:eastAsia="等线" w:hAnsi="Candara" w:hint="eastAsia"/>
                <w:color w:val="000000" w:themeColor="text1"/>
                <w:sz w:val="22"/>
              </w:rPr>
              <w:t>; SAP</w:t>
            </w:r>
          </w:p>
        </w:tc>
      </w:tr>
      <w:tr w:rsidR="0034235F" w:rsidRPr="0034235F" w14:paraId="3658390A" w14:textId="77777777" w:rsidTr="00266DBF">
        <w:trPr>
          <w:jc w:val="center"/>
        </w:trPr>
        <w:tc>
          <w:tcPr>
            <w:tcW w:w="528" w:type="dxa"/>
            <w:vAlign w:val="center"/>
          </w:tcPr>
          <w:p w14:paraId="48189DA6" w14:textId="182410A2" w:rsidR="0034235F" w:rsidRPr="00913A78" w:rsidRDefault="0034235F" w:rsidP="00266DBF">
            <w:pPr>
              <w:rPr>
                <w:rFonts w:ascii="Candara" w:hAnsi="Candara"/>
                <w:color w:val="000000" w:themeColor="text1"/>
              </w:rPr>
            </w:pPr>
            <w:r w:rsidRPr="00913A78">
              <w:rPr>
                <w:rFonts w:ascii="Candara" w:hAnsi="Candara"/>
                <w:color w:val="000000" w:themeColor="text1"/>
              </w:rPr>
              <w:t>40</w:t>
            </w:r>
          </w:p>
        </w:tc>
        <w:tc>
          <w:tcPr>
            <w:tcW w:w="3011" w:type="dxa"/>
            <w:vAlign w:val="center"/>
          </w:tcPr>
          <w:p w14:paraId="7364B966" w14:textId="6360D7A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Pierre-Francois Laterre (2019)</w:t>
            </w:r>
          </w:p>
        </w:tc>
        <w:tc>
          <w:tcPr>
            <w:tcW w:w="9364" w:type="dxa"/>
            <w:vAlign w:val="center"/>
          </w:tcPr>
          <w:p w14:paraId="7A2984EC" w14:textId="48B90F2B"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As the adaptations of the trial provide a conservative estimate of the p-value, sensitivity p-values will be provided using post-simulation bootstrap calculations. Furthermore, the primary endpoint will be stratified by severity of the patients, with risk of dying as</w:t>
            </w:r>
            <w:r w:rsidR="00266DBF" w:rsidRPr="00913A78">
              <w:rPr>
                <w:rFonts w:ascii="Candara" w:eastAsia="等线" w:hAnsi="Candara" w:hint="eastAsia"/>
                <w:color w:val="000000" w:themeColor="text1"/>
                <w:sz w:val="22"/>
              </w:rPr>
              <w:t xml:space="preserve"> </w:t>
            </w:r>
            <w:r w:rsidRPr="00913A78">
              <w:rPr>
                <w:rFonts w:ascii="Candara" w:eastAsia="等线" w:hAnsi="Candara"/>
                <w:color w:val="000000" w:themeColor="text1"/>
                <w:sz w:val="22"/>
              </w:rPr>
              <w:t>indicator of severity.</w:t>
            </w:r>
          </w:p>
        </w:tc>
        <w:tc>
          <w:tcPr>
            <w:tcW w:w="1693" w:type="dxa"/>
            <w:vAlign w:val="center"/>
          </w:tcPr>
          <w:p w14:paraId="25DD5024" w14:textId="76785E1C"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69</w:t>
            </w:r>
            <w:r w:rsidRPr="00913A78">
              <w:rPr>
                <w:rFonts w:ascii="Candara" w:eastAsia="等线" w:hAnsi="Candara"/>
                <w:color w:val="000000" w:themeColor="text1"/>
                <w:sz w:val="22"/>
              </w:rPr>
              <w:t>; Protocol</w:t>
            </w:r>
          </w:p>
        </w:tc>
      </w:tr>
      <w:tr w:rsidR="0034235F" w:rsidRPr="0034235F" w14:paraId="045D095F" w14:textId="77777777" w:rsidTr="00266DBF">
        <w:trPr>
          <w:jc w:val="center"/>
        </w:trPr>
        <w:tc>
          <w:tcPr>
            <w:tcW w:w="528" w:type="dxa"/>
            <w:vAlign w:val="center"/>
          </w:tcPr>
          <w:p w14:paraId="0705E830" w14:textId="796B82AF" w:rsidR="0034235F" w:rsidRPr="00913A78" w:rsidRDefault="0034235F" w:rsidP="00266DBF">
            <w:pPr>
              <w:rPr>
                <w:rFonts w:ascii="Candara" w:hAnsi="Candara"/>
                <w:color w:val="000000" w:themeColor="text1"/>
              </w:rPr>
            </w:pPr>
            <w:r w:rsidRPr="00913A78">
              <w:rPr>
                <w:rFonts w:ascii="Candara" w:hAnsi="Candara"/>
                <w:color w:val="000000" w:themeColor="text1"/>
              </w:rPr>
              <w:t>41</w:t>
            </w:r>
          </w:p>
        </w:tc>
        <w:tc>
          <w:tcPr>
            <w:tcW w:w="3011" w:type="dxa"/>
            <w:vAlign w:val="center"/>
          </w:tcPr>
          <w:p w14:paraId="08A937B5" w14:textId="153E452A"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Christopher C Butler (2020)</w:t>
            </w:r>
          </w:p>
        </w:tc>
        <w:tc>
          <w:tcPr>
            <w:tcW w:w="9364" w:type="dxa"/>
            <w:vAlign w:val="center"/>
          </w:tcPr>
          <w:p w14:paraId="5ECACC0E" w14:textId="02693FE1"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We repeated the primary analysis using alternative time segment, e.g. 0-3, 4-7, 8-14, 15+ days. We fit Cox proportional hazards models to the primary outcome</w:t>
            </w:r>
          </w:p>
        </w:tc>
        <w:tc>
          <w:tcPr>
            <w:tcW w:w="1693" w:type="dxa"/>
            <w:vAlign w:val="center"/>
          </w:tcPr>
          <w:p w14:paraId="250322DC" w14:textId="58F55EC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4</w:t>
            </w:r>
            <w:r w:rsidRPr="00913A78">
              <w:rPr>
                <w:rFonts w:ascii="Candara" w:eastAsia="等线" w:hAnsi="Candara"/>
                <w:color w:val="000000" w:themeColor="text1"/>
                <w:sz w:val="22"/>
              </w:rPr>
              <w:t>; Protocol</w:t>
            </w:r>
          </w:p>
        </w:tc>
      </w:tr>
      <w:tr w:rsidR="0034235F" w:rsidRPr="0034235F" w14:paraId="3534803C" w14:textId="77777777" w:rsidTr="00266DBF">
        <w:trPr>
          <w:jc w:val="center"/>
        </w:trPr>
        <w:tc>
          <w:tcPr>
            <w:tcW w:w="528" w:type="dxa"/>
            <w:vAlign w:val="center"/>
          </w:tcPr>
          <w:p w14:paraId="7DF14D5E" w14:textId="7BDEFB13" w:rsidR="0034235F" w:rsidRPr="00913A78" w:rsidRDefault="0034235F" w:rsidP="00266DBF">
            <w:pPr>
              <w:rPr>
                <w:rFonts w:ascii="Candara" w:hAnsi="Candara"/>
                <w:color w:val="000000" w:themeColor="text1"/>
              </w:rPr>
            </w:pPr>
            <w:r w:rsidRPr="00913A78">
              <w:rPr>
                <w:rFonts w:ascii="Candara" w:hAnsi="Candara"/>
                <w:color w:val="000000" w:themeColor="text1"/>
              </w:rPr>
              <w:t>42</w:t>
            </w:r>
          </w:p>
        </w:tc>
        <w:tc>
          <w:tcPr>
            <w:tcW w:w="3011" w:type="dxa"/>
            <w:vAlign w:val="center"/>
          </w:tcPr>
          <w:p w14:paraId="2D32181E" w14:textId="10F01CC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Hilary Siddall (2020)</w:t>
            </w:r>
          </w:p>
        </w:tc>
        <w:tc>
          <w:tcPr>
            <w:tcW w:w="9364" w:type="dxa"/>
            <w:vAlign w:val="center"/>
          </w:tcPr>
          <w:p w14:paraId="75D4123C" w14:textId="75CBBEBE"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principle inferences are expected to come from models with non-informative priors. Sensitivity analyses using informative priors based on AZ data may be fitted.</w:t>
            </w:r>
          </w:p>
        </w:tc>
        <w:tc>
          <w:tcPr>
            <w:tcW w:w="1693" w:type="dxa"/>
            <w:vAlign w:val="center"/>
          </w:tcPr>
          <w:p w14:paraId="63CC71BE" w14:textId="1E13BE0C"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66</w:t>
            </w:r>
            <w:r w:rsidRPr="00913A78">
              <w:rPr>
                <w:rFonts w:ascii="Candara" w:eastAsia="等线" w:hAnsi="Candara"/>
                <w:color w:val="000000" w:themeColor="text1"/>
                <w:sz w:val="22"/>
              </w:rPr>
              <w:t>; Protocol</w:t>
            </w:r>
          </w:p>
        </w:tc>
      </w:tr>
      <w:tr w:rsidR="0034235F" w:rsidRPr="0034235F" w14:paraId="0937DDA1" w14:textId="77777777" w:rsidTr="00266DBF">
        <w:trPr>
          <w:jc w:val="center"/>
        </w:trPr>
        <w:tc>
          <w:tcPr>
            <w:tcW w:w="528" w:type="dxa"/>
            <w:vAlign w:val="center"/>
          </w:tcPr>
          <w:p w14:paraId="317F4A3A" w14:textId="6D7C8762" w:rsidR="0034235F" w:rsidRPr="00913A78" w:rsidRDefault="0034235F" w:rsidP="00266DBF">
            <w:pPr>
              <w:rPr>
                <w:rFonts w:ascii="Candara" w:hAnsi="Candara"/>
                <w:color w:val="000000" w:themeColor="text1"/>
              </w:rPr>
            </w:pPr>
            <w:r w:rsidRPr="00913A78">
              <w:rPr>
                <w:rFonts w:ascii="Candara" w:hAnsi="Candara"/>
                <w:color w:val="000000" w:themeColor="text1"/>
              </w:rPr>
              <w:t>43</w:t>
            </w:r>
          </w:p>
        </w:tc>
        <w:tc>
          <w:tcPr>
            <w:tcW w:w="3011" w:type="dxa"/>
            <w:vAlign w:val="center"/>
          </w:tcPr>
          <w:p w14:paraId="7B4F5EAB" w14:textId="668C9A77"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Jeffrey S. Berger (2022)</w:t>
            </w:r>
          </w:p>
        </w:tc>
        <w:tc>
          <w:tcPr>
            <w:tcW w:w="9364" w:type="dxa"/>
            <w:vAlign w:val="center"/>
          </w:tcPr>
          <w:p w14:paraId="5D045C0D"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For the primary endpoint of OSFDs missing primary outcomes will be ignored.</w:t>
            </w:r>
          </w:p>
          <w:p w14:paraId="375235AC" w14:textId="0B4C42C1"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A sensitivity</w:t>
            </w:r>
            <w:r w:rsidRPr="00913A78">
              <w:rPr>
                <w:rFonts w:ascii="Candara" w:eastAsia="等线" w:hAnsi="Candara"/>
                <w:color w:val="000000" w:themeColor="text1"/>
                <w:sz w:val="22"/>
              </w:rPr>
              <w:br/>
              <w:t xml:space="preserve">analysis is conducted where last status carried forward is used for imputation. </w:t>
            </w:r>
          </w:p>
          <w:p w14:paraId="13478712" w14:textId="77777777" w:rsidR="00266DB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The primary analysis model will be referenced with certain model assumptions for sensitivity analyses. For example, the “time effects” in the model could be assumed to be 0. </w:t>
            </w:r>
          </w:p>
          <w:p w14:paraId="2EEFD0E4" w14:textId="3A1571FD"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In order to assess the robustness of the results to this assumption, a dichotomous model is fit to every level of the ordinal outcome across the scale and the OR for each dichotomous break is presented.</w:t>
            </w:r>
          </w:p>
        </w:tc>
        <w:tc>
          <w:tcPr>
            <w:tcW w:w="1693" w:type="dxa"/>
            <w:vAlign w:val="center"/>
          </w:tcPr>
          <w:p w14:paraId="412D7D97" w14:textId="723C3738"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14,15</w:t>
            </w:r>
            <w:r w:rsidRPr="00913A78">
              <w:rPr>
                <w:rFonts w:ascii="Candara" w:eastAsia="等线" w:hAnsi="Candara" w:hint="eastAsia"/>
                <w:color w:val="000000" w:themeColor="text1"/>
                <w:sz w:val="22"/>
              </w:rPr>
              <w:t>; SAP</w:t>
            </w:r>
          </w:p>
        </w:tc>
      </w:tr>
      <w:tr w:rsidR="0034235F" w:rsidRPr="0034235F" w14:paraId="4A41157E" w14:textId="77777777" w:rsidTr="00266DBF">
        <w:trPr>
          <w:jc w:val="center"/>
        </w:trPr>
        <w:tc>
          <w:tcPr>
            <w:tcW w:w="528" w:type="dxa"/>
            <w:vAlign w:val="center"/>
          </w:tcPr>
          <w:p w14:paraId="30B9B201" w14:textId="2C218B23" w:rsidR="0034235F" w:rsidRPr="00913A78" w:rsidRDefault="0034235F" w:rsidP="00266DBF">
            <w:pPr>
              <w:rPr>
                <w:rFonts w:ascii="Candara" w:hAnsi="Candara"/>
                <w:color w:val="000000" w:themeColor="text1"/>
              </w:rPr>
            </w:pPr>
            <w:r w:rsidRPr="00913A78">
              <w:rPr>
                <w:rFonts w:ascii="Candara" w:hAnsi="Candara"/>
                <w:color w:val="000000" w:themeColor="text1"/>
              </w:rPr>
              <w:t>44</w:t>
            </w:r>
          </w:p>
        </w:tc>
        <w:tc>
          <w:tcPr>
            <w:tcW w:w="3011" w:type="dxa"/>
            <w:vAlign w:val="center"/>
          </w:tcPr>
          <w:p w14:paraId="5EEEA6D4" w14:textId="3B0EAC7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Alice T.W. Song (2022)</w:t>
            </w:r>
          </w:p>
        </w:tc>
        <w:tc>
          <w:tcPr>
            <w:tcW w:w="9364" w:type="dxa"/>
            <w:vAlign w:val="center"/>
          </w:tcPr>
          <w:p w14:paraId="04830463" w14:textId="627D101A"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Evidence for differential treatment effect (also called heterogeneity of treatment effect) will be assessed by including interaction between treatment and each of the pre-specified covariates one-at-a-time. </w:t>
            </w:r>
          </w:p>
        </w:tc>
        <w:tc>
          <w:tcPr>
            <w:tcW w:w="1693" w:type="dxa"/>
            <w:vAlign w:val="center"/>
          </w:tcPr>
          <w:p w14:paraId="314BF6A0" w14:textId="4931E29D"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10</w:t>
            </w:r>
            <w:r w:rsidRPr="00913A78">
              <w:rPr>
                <w:rFonts w:ascii="Candara" w:eastAsia="等线" w:hAnsi="Candara" w:hint="eastAsia"/>
                <w:color w:val="000000" w:themeColor="text1"/>
                <w:sz w:val="22"/>
              </w:rPr>
              <w:t>; SAP</w:t>
            </w:r>
          </w:p>
        </w:tc>
      </w:tr>
      <w:tr w:rsidR="0034235F" w:rsidRPr="0034235F" w14:paraId="712A8AA9" w14:textId="77777777" w:rsidTr="00266DBF">
        <w:trPr>
          <w:jc w:val="center"/>
        </w:trPr>
        <w:tc>
          <w:tcPr>
            <w:tcW w:w="528" w:type="dxa"/>
            <w:vAlign w:val="center"/>
          </w:tcPr>
          <w:p w14:paraId="28C8789B" w14:textId="3F1495F0" w:rsidR="0034235F" w:rsidRPr="00913A78" w:rsidRDefault="0034235F" w:rsidP="00266DBF">
            <w:pPr>
              <w:rPr>
                <w:rFonts w:ascii="Candara" w:hAnsi="Candara"/>
                <w:color w:val="000000" w:themeColor="text1"/>
              </w:rPr>
            </w:pPr>
            <w:r w:rsidRPr="00913A78">
              <w:rPr>
                <w:rFonts w:ascii="Candara" w:hAnsi="Candara"/>
                <w:color w:val="000000" w:themeColor="text1"/>
              </w:rPr>
              <w:t>45</w:t>
            </w:r>
          </w:p>
        </w:tc>
        <w:tc>
          <w:tcPr>
            <w:tcW w:w="3011" w:type="dxa"/>
            <w:vAlign w:val="center"/>
          </w:tcPr>
          <w:p w14:paraId="2DC78988" w14:textId="3CFAED8E"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Teun Teunis (2024)</w:t>
            </w:r>
          </w:p>
        </w:tc>
        <w:tc>
          <w:tcPr>
            <w:tcW w:w="9364" w:type="dxa"/>
            <w:vAlign w:val="center"/>
          </w:tcPr>
          <w:p w14:paraId="5AF3FB39" w14:textId="08B070DB"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Intention to treat analysis may bias a non-inferiority trial towards finding no difference. Therefore, we will perform both an intention to treat and per protocol analysis.</w:t>
            </w:r>
          </w:p>
        </w:tc>
        <w:tc>
          <w:tcPr>
            <w:tcW w:w="1693" w:type="dxa"/>
            <w:vAlign w:val="center"/>
          </w:tcPr>
          <w:p w14:paraId="5CF9AB39" w14:textId="4A13B93E"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4</w:t>
            </w:r>
            <w:r w:rsidRPr="00913A78">
              <w:rPr>
                <w:rFonts w:ascii="Candara" w:eastAsia="等线" w:hAnsi="Candara" w:hint="eastAsia"/>
                <w:color w:val="000000" w:themeColor="text1"/>
                <w:sz w:val="22"/>
              </w:rPr>
              <w:t>; SAP</w:t>
            </w:r>
          </w:p>
        </w:tc>
      </w:tr>
      <w:tr w:rsidR="0034235F" w:rsidRPr="0034235F" w14:paraId="376A2DFA" w14:textId="77777777" w:rsidTr="00266DBF">
        <w:trPr>
          <w:jc w:val="center"/>
        </w:trPr>
        <w:tc>
          <w:tcPr>
            <w:tcW w:w="528" w:type="dxa"/>
            <w:vAlign w:val="center"/>
          </w:tcPr>
          <w:p w14:paraId="3D730625" w14:textId="21300EBD" w:rsidR="0034235F" w:rsidRPr="00913A78" w:rsidRDefault="0034235F" w:rsidP="00266DBF">
            <w:pPr>
              <w:rPr>
                <w:rFonts w:ascii="Candara" w:hAnsi="Candara"/>
                <w:color w:val="000000" w:themeColor="text1"/>
              </w:rPr>
            </w:pPr>
            <w:r w:rsidRPr="00913A78">
              <w:rPr>
                <w:rFonts w:ascii="Candara" w:hAnsi="Candara"/>
                <w:color w:val="000000" w:themeColor="text1"/>
              </w:rPr>
              <w:t>46</w:t>
            </w:r>
          </w:p>
        </w:tc>
        <w:tc>
          <w:tcPr>
            <w:tcW w:w="3011" w:type="dxa"/>
            <w:vAlign w:val="center"/>
          </w:tcPr>
          <w:p w14:paraId="00BF9B9A" w14:textId="01782D64"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James M. Klugh (2024)</w:t>
            </w:r>
          </w:p>
        </w:tc>
        <w:tc>
          <w:tcPr>
            <w:tcW w:w="9364" w:type="dxa"/>
            <w:vAlign w:val="center"/>
          </w:tcPr>
          <w:p w14:paraId="51C11479" w14:textId="606DF8DF"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 xml:space="preserve">If potential confounders are identified, we will perform two sets of analyses: one in which the confounder(s) is included as a covariate and one in which it is not. </w:t>
            </w:r>
          </w:p>
        </w:tc>
        <w:tc>
          <w:tcPr>
            <w:tcW w:w="1693" w:type="dxa"/>
            <w:vAlign w:val="center"/>
          </w:tcPr>
          <w:p w14:paraId="773B4244" w14:textId="7AF0FD91"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5</w:t>
            </w:r>
            <w:r w:rsidRPr="00913A78">
              <w:rPr>
                <w:rFonts w:ascii="Candara" w:eastAsia="等线" w:hAnsi="Candara" w:hint="eastAsia"/>
                <w:color w:val="000000" w:themeColor="text1"/>
                <w:sz w:val="22"/>
              </w:rPr>
              <w:t>; SAP</w:t>
            </w:r>
          </w:p>
        </w:tc>
      </w:tr>
      <w:tr w:rsidR="0034235F" w:rsidRPr="0034235F" w14:paraId="16C327BC" w14:textId="77777777" w:rsidTr="00266DBF">
        <w:trPr>
          <w:jc w:val="center"/>
        </w:trPr>
        <w:tc>
          <w:tcPr>
            <w:tcW w:w="528" w:type="dxa"/>
            <w:vAlign w:val="center"/>
          </w:tcPr>
          <w:p w14:paraId="6E939E7D" w14:textId="0FAE25AF" w:rsidR="0034235F" w:rsidRPr="00913A78" w:rsidRDefault="0034235F" w:rsidP="00266DBF">
            <w:pPr>
              <w:rPr>
                <w:rFonts w:ascii="Candara" w:hAnsi="Candara"/>
                <w:color w:val="000000" w:themeColor="text1"/>
              </w:rPr>
            </w:pPr>
            <w:r w:rsidRPr="00913A78">
              <w:rPr>
                <w:rFonts w:ascii="Candara" w:hAnsi="Candara"/>
                <w:color w:val="000000" w:themeColor="text1"/>
              </w:rPr>
              <w:t>47</w:t>
            </w:r>
          </w:p>
        </w:tc>
        <w:tc>
          <w:tcPr>
            <w:tcW w:w="3011" w:type="dxa"/>
            <w:vAlign w:val="center"/>
          </w:tcPr>
          <w:p w14:paraId="303410AE" w14:textId="7A720FC5"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 xml:space="preserve"> Armando Santoro (2024)</w:t>
            </w:r>
          </w:p>
        </w:tc>
        <w:tc>
          <w:tcPr>
            <w:tcW w:w="9364" w:type="dxa"/>
            <w:vAlign w:val="center"/>
          </w:tcPr>
          <w:p w14:paraId="5870B302" w14:textId="4BBCB83E" w:rsidR="0034235F" w:rsidRPr="00913A78" w:rsidRDefault="0034235F" w:rsidP="00266DBF">
            <w:pPr>
              <w:pStyle w:val="a9"/>
              <w:numPr>
                <w:ilvl w:val="0"/>
                <w:numId w:val="1"/>
              </w:numPr>
              <w:rPr>
                <w:rFonts w:ascii="Candara" w:hAnsi="Candara"/>
                <w:color w:val="000000" w:themeColor="text1"/>
              </w:rPr>
            </w:pPr>
            <w:r w:rsidRPr="00913A78">
              <w:rPr>
                <w:rFonts w:ascii="Candara" w:eastAsia="等线" w:hAnsi="Candara"/>
                <w:color w:val="000000" w:themeColor="text1"/>
                <w:sz w:val="22"/>
              </w:rPr>
              <w:t>The PPS will be used in the phase II part of the study only and will define the patients used in the sensitivity analysis of the primary endpoint.</w:t>
            </w:r>
          </w:p>
        </w:tc>
        <w:tc>
          <w:tcPr>
            <w:tcW w:w="1693" w:type="dxa"/>
            <w:vAlign w:val="center"/>
          </w:tcPr>
          <w:p w14:paraId="76903EB9" w14:textId="52D24736" w:rsidR="0034235F" w:rsidRPr="00913A78" w:rsidRDefault="0034235F" w:rsidP="00266DBF">
            <w:pPr>
              <w:rPr>
                <w:rFonts w:ascii="Candara" w:hAnsi="Candara"/>
                <w:color w:val="000000" w:themeColor="text1"/>
              </w:rPr>
            </w:pPr>
            <w:r w:rsidRPr="00913A78">
              <w:rPr>
                <w:rFonts w:ascii="Candara" w:eastAsia="等线" w:hAnsi="Candara"/>
                <w:color w:val="000000" w:themeColor="text1"/>
                <w:sz w:val="22"/>
              </w:rPr>
              <w:t>15</w:t>
            </w:r>
            <w:r w:rsidRPr="00913A78">
              <w:rPr>
                <w:rFonts w:ascii="Candara" w:eastAsia="等线" w:hAnsi="Candara" w:hint="eastAsia"/>
                <w:color w:val="000000" w:themeColor="text1"/>
                <w:sz w:val="22"/>
              </w:rPr>
              <w:t>; SAP</w:t>
            </w:r>
          </w:p>
        </w:tc>
      </w:tr>
    </w:tbl>
    <w:p w14:paraId="6D75E6F8" w14:textId="77777777" w:rsidR="00BB14E2" w:rsidRDefault="00BB14E2" w:rsidP="00BB14E2">
      <w:pPr>
        <w:pStyle w:val="a9"/>
        <w:ind w:left="360"/>
        <w:rPr>
          <w:rFonts w:ascii="Candara" w:hAnsi="Candara"/>
          <w:b/>
          <w:bCs/>
        </w:rPr>
      </w:pPr>
    </w:p>
    <w:p w14:paraId="01FECF30" w14:textId="0D032146" w:rsidR="00BB14E2" w:rsidRDefault="00BB14E2" w:rsidP="00BB14E2">
      <w:pPr>
        <w:pStyle w:val="a9"/>
        <w:ind w:left="360"/>
        <w:rPr>
          <w:rFonts w:ascii="Candara" w:hAnsi="Candara"/>
          <w:b/>
          <w:bCs/>
        </w:rPr>
      </w:pPr>
      <w:r>
        <w:rPr>
          <w:rFonts w:ascii="Candara" w:hAnsi="Candara"/>
          <w:b/>
          <w:bCs/>
        </w:rPr>
        <w:lastRenderedPageBreak/>
        <w:t>Reference</w:t>
      </w:r>
    </w:p>
    <w:p w14:paraId="330D2850" w14:textId="0AC84101" w:rsidR="00BB14E2" w:rsidRDefault="009D08F2" w:rsidP="005E4D70">
      <w:pPr>
        <w:pStyle w:val="a9"/>
        <w:numPr>
          <w:ilvl w:val="0"/>
          <w:numId w:val="29"/>
        </w:numPr>
        <w:spacing w:line="360" w:lineRule="auto"/>
        <w:rPr>
          <w:rFonts w:ascii="Candara" w:hAnsi="Candara"/>
        </w:rPr>
      </w:pPr>
      <w:r w:rsidRPr="009D08F2">
        <w:rPr>
          <w:rFonts w:ascii="Candara" w:hAnsi="Candara" w:hint="eastAsia"/>
        </w:rPr>
        <w:t>Yau TM, Pagani FD, Mancini DM, et al. Intramyocardial Injection of Mesenchymal Precursor Cells and Successful Temporary Weaning From Left Ventricular Assist Device Support in Patients With Advanced Heart Failure: A Randomized Clinical Trial. JAMA. 2019;321(12):1176-1186. doi:10.1001/jama.2019.2341</w:t>
      </w:r>
      <w:r>
        <w:rPr>
          <w:rFonts w:ascii="Candara" w:hAnsi="Candara" w:hint="eastAsia"/>
        </w:rPr>
        <w:t>.</w:t>
      </w:r>
    </w:p>
    <w:p w14:paraId="277C2E4D" w14:textId="0C467B6B"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Venhoff N, Schmidt WA, Bergner R, et al. Safety and efficacy of secukinumab in patients with giant cell arteritis (TitAIN): a randomised, double-blind, placebo-controlled, phase 2 trial. Lancet Rheumatol. 2023;5(6):e341-e350. doi:10.1016/S2665-9913(23)00101-7</w:t>
      </w:r>
      <w:r w:rsidR="005E4D70">
        <w:rPr>
          <w:rFonts w:ascii="Candara" w:hAnsi="Candara" w:hint="eastAsia"/>
        </w:rPr>
        <w:t>.</w:t>
      </w:r>
    </w:p>
    <w:p w14:paraId="1515D8F2" w14:textId="06F960C9"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Stahl A, Sukgen EA, Wu WC, et al. Effect of Intravitreal Aflibercept vs Laser Photocoagulation on Treatment Success of Retinopathy of Prematurity: The FIREFLEYE Randomized Clinical Trial. JAMA. 2022;328(4):348-359. doi:10.1001/jama.2022.10564</w:t>
      </w:r>
      <w:r w:rsidR="005E4D70">
        <w:rPr>
          <w:rFonts w:ascii="Candara" w:hAnsi="Candara" w:hint="eastAsia"/>
        </w:rPr>
        <w:t>.</w:t>
      </w:r>
    </w:p>
    <w:p w14:paraId="6DBABF6B" w14:textId="2802B93E"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REMAP-CAP Investigators, Gordon AC, Mouncey PR, et al. Interleukin-6 Receptor Antagonists in Critically Ill Patients with Covid-19. N Engl J Med. 2021;384(16):1491-1502. doi:10.1056/NEJMoa2100433</w:t>
      </w:r>
      <w:r w:rsidR="005E4D70">
        <w:rPr>
          <w:rFonts w:ascii="Candara" w:hAnsi="Candara" w:hint="eastAsia"/>
        </w:rPr>
        <w:t>.</w:t>
      </w:r>
    </w:p>
    <w:p w14:paraId="01BD83BB" w14:textId="0B89382C"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Reis G, Silva EASM, Silva DCM, et al. Effect of Early Treatment with Ivermectin among Patients with Covid-19. N Engl J Med. 2022;386(18):1721-1731. doi:10.1056/NEJMoa2115869</w:t>
      </w:r>
      <w:r w:rsidR="005E4D70">
        <w:rPr>
          <w:rFonts w:ascii="Candara" w:hAnsi="Candara" w:hint="eastAsia"/>
        </w:rPr>
        <w:t>.</w:t>
      </w:r>
    </w:p>
    <w:p w14:paraId="75056D62" w14:textId="2A3CAFC0"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Robinson MF, Damjanov N, Stamenkovic B, et al. Efficacy and Safety of PF-06651600 (Ritlecitinib), a Novel JAK3/TEC Inhibitor, in Patients With Moderate-to-Severe Rheumatoid Arthritis and an Inadequate Response to Methotrexate. Arthritis Rheumatol. 2020;72(10):1621-1631. doi:10.1002/art.41316</w:t>
      </w:r>
      <w:r w:rsidR="005E4D70">
        <w:rPr>
          <w:rFonts w:ascii="Candara" w:hAnsi="Candara" w:hint="eastAsia"/>
        </w:rPr>
        <w:t>.</w:t>
      </w:r>
    </w:p>
    <w:p w14:paraId="227D4FA4" w14:textId="752F2254"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REMAP-CAP Investigators, Hills TE, Lorenzi E, et al. Simvastatin in Critically Ill Patients with Covid-19. N Engl J Med. 2023;389(25):2341-2354. doi:10.1056/NEJMoa2309995</w:t>
      </w:r>
      <w:r w:rsidR="005E4D70">
        <w:rPr>
          <w:rFonts w:ascii="Candara" w:hAnsi="Candara" w:hint="eastAsia"/>
        </w:rPr>
        <w:t>.</w:t>
      </w:r>
    </w:p>
    <w:p w14:paraId="1AFCDBEA" w14:textId="2C44D898"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Richeldi L, Azuma A, Cottin V, et al. Trial of a Preferential Phosphodiesterase 4B Inhibitor for Idiopathic Pulmonary Fibrosis. N Engl J Med. 2022;386(23):2178-2187. doi:10.1056/NEJMoa2201737</w:t>
      </w:r>
      <w:r w:rsidR="005E4D70">
        <w:rPr>
          <w:rFonts w:ascii="Candara" w:hAnsi="Candara" w:hint="eastAsia"/>
        </w:rPr>
        <w:t>.</w:t>
      </w:r>
    </w:p>
    <w:p w14:paraId="123A64A1" w14:textId="6835FE3B"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Foley MJ, Rajkumar CA, Ahmed-Jushuf F, et al. Coronary sinus reducer for the treatment of refractory angina (ORBITA-COSMIC): a randomised, placebo-</w:t>
      </w:r>
      <w:r w:rsidRPr="005E4D70">
        <w:rPr>
          <w:rFonts w:ascii="Candara" w:hAnsi="Candara"/>
        </w:rPr>
        <w:lastRenderedPageBreak/>
        <w:t>controlled trial. Lancet. 2024;403(10436):1543-1553. doi:10.1016/S0140-6736(24)00256-3</w:t>
      </w:r>
      <w:r w:rsidR="005E4D70">
        <w:rPr>
          <w:rFonts w:ascii="Candara" w:hAnsi="Candara" w:hint="eastAsia"/>
        </w:rPr>
        <w:t>.</w:t>
      </w:r>
    </w:p>
    <w:p w14:paraId="5DFEBDD0" w14:textId="7A67146B"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Schilling WHK, Jittamala P, Watson JA, et al. Antiviral efficacy of molnupiravir versus ritonavir-boosted nirmatrelvir in patients with early symptomatic COVID-19 (PLATCOV): an open-label, phase 2, randomised, controlled, adaptive trial. Lancet Infect Dis. 2024;24(1):36-45. doi:10.1016/S1473-3099(23)00493-0</w:t>
      </w:r>
      <w:r w:rsidR="005E4D70">
        <w:rPr>
          <w:rFonts w:ascii="Candara" w:hAnsi="Candara" w:hint="eastAsia"/>
        </w:rPr>
        <w:t>.</w:t>
      </w:r>
    </w:p>
    <w:p w14:paraId="28958AE0" w14:textId="5F8737CB" w:rsidR="009D08F2" w:rsidRPr="009D08F2" w:rsidRDefault="009D08F2" w:rsidP="005E4D70">
      <w:pPr>
        <w:pStyle w:val="a9"/>
        <w:numPr>
          <w:ilvl w:val="0"/>
          <w:numId w:val="29"/>
        </w:numPr>
        <w:spacing w:line="360" w:lineRule="auto"/>
        <w:ind w:left="357" w:hanging="357"/>
        <w:rPr>
          <w:rFonts w:ascii="Candara" w:hAnsi="Candara"/>
        </w:rPr>
      </w:pPr>
      <w:r w:rsidRPr="005E4D70">
        <w:rPr>
          <w:rFonts w:ascii="Candara" w:hAnsi="Candara"/>
        </w:rPr>
        <w:t>Mazieres J, Cropet C, Montané L, et al. Vemurafenib in non-small-cell lung cancer patients with BRAFV600 and BRAFnonV600 mutations. Ann Oncol. 2020;31(2):289-294. doi:10.1016/j.annonc.2019.10.022</w:t>
      </w:r>
      <w:r w:rsidR="005E4D70">
        <w:rPr>
          <w:rFonts w:ascii="Candara" w:hAnsi="Candara" w:hint="eastAsia"/>
        </w:rPr>
        <w:t>.</w:t>
      </w:r>
    </w:p>
    <w:p w14:paraId="2276A604" w14:textId="61744860" w:rsidR="009D08F2"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RECOVERY Collaborative Group. Immunomodulatory therapy in children with paediatric inflammatory multisystem syndrome temporally associated with SARS-CoV-2 (PIMS-TS, MIS-C; RECOVERY): a randomised, controlled, open-label, platform trial. Lancet Child Adolesc Health. 2024;8(3):190-200. doi:10.1016/S2352-4642(23)00316-4</w:t>
      </w:r>
      <w:r>
        <w:rPr>
          <w:rFonts w:ascii="Candara" w:hAnsi="Candara" w:hint="eastAsia"/>
        </w:rPr>
        <w:t>.</w:t>
      </w:r>
    </w:p>
    <w:p w14:paraId="19A4AE5B" w14:textId="45097EB7"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Reis G, Moreira Silva EAS, Medeiros Silva DC, et al. Early Treatment with Pegylated Interferon Lambda for Covid-19. N Engl J Med. 2023;388(6):518-528. doi:10.1056/NEJMoa2209760</w:t>
      </w:r>
      <w:r>
        <w:rPr>
          <w:rFonts w:ascii="Candara" w:hAnsi="Candara" w:hint="eastAsia"/>
        </w:rPr>
        <w:t>.</w:t>
      </w:r>
    </w:p>
    <w:p w14:paraId="31587E77" w14:textId="184F0547"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Hermine O, Mariette X, Porcher R, et al. Effect of interleukin-6 receptor antagonists in critically ill adult patients with COVID-19 pneumonia: two randomised controlled trials of the CORIMUNO-19 Collaborative Group. Eur Respir J. 2022;60(2):2102523. Published 2022 Aug 10. doi:10.1183/13993003.02523-2021</w:t>
      </w:r>
      <w:r>
        <w:rPr>
          <w:rFonts w:ascii="Candara" w:hAnsi="Candara" w:hint="eastAsia"/>
        </w:rPr>
        <w:t>.</w:t>
      </w:r>
    </w:p>
    <w:p w14:paraId="47DB8B8F" w14:textId="2A8A439F"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I-SPY COVID Consortium. Report of the first seven agents in the I-SPY COVID trial: a phase 2, open label, adaptive platform randomised controlled trial. EClinicalMedicine. 2023;58:101889. doi:10.1016/j.eclinm.2023.101889</w:t>
      </w:r>
      <w:r>
        <w:rPr>
          <w:rFonts w:ascii="Candara" w:hAnsi="Candara" w:hint="eastAsia"/>
        </w:rPr>
        <w:t>.</w:t>
      </w:r>
    </w:p>
    <w:p w14:paraId="2CC070B9" w14:textId="1550E18A"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Hermine O, Mariette X, Tharaux PL, et al. Effect of Tocilizumab vs Usual Care in Adults Hospitalized With COVID-19 and Moderate or Severe Pneumonia: A Randomized Clinical Trial. JAMA Intern Med. 2021;181(1):32-40. doi:10.1001/jamainternmed.2020.6820</w:t>
      </w:r>
      <w:r>
        <w:rPr>
          <w:rFonts w:ascii="Candara" w:hAnsi="Candara" w:hint="eastAsia"/>
        </w:rPr>
        <w:t>.</w:t>
      </w:r>
    </w:p>
    <w:p w14:paraId="237C2BCD" w14:textId="5AE91624"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 xml:space="preserve">CORIMUNO-19 Collaborative group. Sarilumab in adults hospitalised with moderate-to-severe COVID-19 pneumonia (CORIMUNO-SARI-1): An open-label </w:t>
      </w:r>
      <w:r w:rsidRPr="005E4D70">
        <w:rPr>
          <w:rFonts w:ascii="Candara" w:hAnsi="Candara"/>
        </w:rPr>
        <w:lastRenderedPageBreak/>
        <w:t>randomised controlled trial. Lancet Rheumatol. 2022;4(1):e24-e32. doi:10.1016/S2665-9913(21)00315-5</w:t>
      </w:r>
      <w:r>
        <w:rPr>
          <w:rFonts w:ascii="Candara" w:hAnsi="Candara" w:hint="eastAsia"/>
        </w:rPr>
        <w:t>.</w:t>
      </w:r>
    </w:p>
    <w:p w14:paraId="32AB7C32" w14:textId="3B0346F5"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Faustino EVS, Shabanova V, Raffini LJ, et al. Efficacy of Early Prophylaxis Against Catheter-Associated Thrombosis in Critically Ill Children: A Bayesian Phase 2b Randomized Clinical Trial. Crit Care Med. 2021;49(3):e235-e246. doi:10.1097/CCM.0000000000004784</w:t>
      </w:r>
      <w:r>
        <w:rPr>
          <w:rFonts w:ascii="Candara" w:hAnsi="Candara" w:hint="eastAsia"/>
        </w:rPr>
        <w:t>.</w:t>
      </w:r>
    </w:p>
    <w:p w14:paraId="49278068" w14:textId="07C603B8"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Tweed CD, Dawson R, Burger DA, et al. Bedaquiline, moxifloxacin, pretomanid, and pyrazinamide during the first 8 weeks of treatment of patients with drug-susceptible or drug-resistant pulmonary tuberculosis: a multicentre, open-label, partially randomised, phase 2b trial. Lancet Respir Med. 2019;7(12):1048-1058. doi:10.1016/S2213-2600(19)30366-2</w:t>
      </w:r>
      <w:r>
        <w:rPr>
          <w:rFonts w:ascii="Candara" w:hAnsi="Candara" w:hint="eastAsia"/>
        </w:rPr>
        <w:t>.</w:t>
      </w:r>
    </w:p>
    <w:p w14:paraId="4DB872F8" w14:textId="52894DBC"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Chamberlain JM, Kapur J, Shinnar S, et al. Efficacy of levetiracetam, fosphenytoin, and valproate for established status epilepticus by age group (ESETT): a double-blind, responsive-adaptive, randomised controlled trial. Lancet. 2020;395(10231):1217-1224. doi:10.1016/S0140-6736(20)30611-5</w:t>
      </w:r>
      <w:r>
        <w:rPr>
          <w:rFonts w:ascii="Candara" w:hAnsi="Candara" w:hint="eastAsia"/>
        </w:rPr>
        <w:t>.</w:t>
      </w:r>
    </w:p>
    <w:p w14:paraId="19337B91" w14:textId="7877FF5C"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Ramsay JA, Jones M, Vande More AM, et al. A single blinded, phase IV, adaptive randomised control trial to evaluate the safety of coadministration of seasonal influenza and COVID-19 vaccines (The FluVID study). Vaccine. 2023;41(48):7250-7258. doi:10.1016/j.vaccine.2023.10.050</w:t>
      </w:r>
      <w:r>
        <w:rPr>
          <w:rFonts w:ascii="Candara" w:hAnsi="Candara" w:hint="eastAsia"/>
        </w:rPr>
        <w:t>.</w:t>
      </w:r>
    </w:p>
    <w:p w14:paraId="4054B632" w14:textId="2E8C5300"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Pozzilli P, Bosi E, Cirkel D, et al. Randomized 52-week Phase 2 Trial of Albiglutide Versus Placebo in Adult Patients With Newly Diagnosed Type 1 Diabetes. J Clin Endocrinol Metab. 2020;105(6):dgaa149. doi:10.1210/clinem/dgaa149</w:t>
      </w:r>
      <w:r>
        <w:rPr>
          <w:rFonts w:ascii="Candara" w:hAnsi="Candara" w:hint="eastAsia"/>
        </w:rPr>
        <w:t>.</w:t>
      </w:r>
    </w:p>
    <w:p w14:paraId="052E6CF0" w14:textId="5858F41A"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Kinoshita T, Shinoda M, Nishizaki Y, et al. A multicenter, double-blind, randomized, parallel-group, placebo-controlled study to evaluate the efficacy and safety of camostat mesilate in patients with COVID-19 (CANDLE study). BMC Med. 2022;20(1):342. Published 2022 Sep 27. doi:10.1186/s12916-022-02518-7</w:t>
      </w:r>
      <w:r>
        <w:rPr>
          <w:rFonts w:ascii="Candara" w:hAnsi="Candara" w:hint="eastAsia"/>
        </w:rPr>
        <w:t>.</w:t>
      </w:r>
    </w:p>
    <w:p w14:paraId="6E9FE1D0" w14:textId="67995FC3"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Hobbs FR, Gbinigie-Thompson OA, Shanyinde M, et al. Favipiravir for COVID-19 in adults in the community in PRINCIPLE, an open-label, randomised, controlled, adaptive platform trial of short- and longer-term outcomes. J Infect. 2024;89(4):106248. doi:10.1016/j.jinf.2024.106248</w:t>
      </w:r>
      <w:r>
        <w:rPr>
          <w:rFonts w:ascii="Candara" w:hAnsi="Candara" w:hint="eastAsia"/>
        </w:rPr>
        <w:t>.</w:t>
      </w:r>
    </w:p>
    <w:p w14:paraId="603B3BA5" w14:textId="01FB9F46" w:rsidR="005E4D70" w:rsidRPr="005E4D70" w:rsidRDefault="005E4D70" w:rsidP="005E4D70">
      <w:pPr>
        <w:pStyle w:val="a9"/>
        <w:numPr>
          <w:ilvl w:val="0"/>
          <w:numId w:val="29"/>
        </w:numPr>
        <w:spacing w:line="360" w:lineRule="auto"/>
        <w:ind w:left="357" w:hanging="357"/>
        <w:rPr>
          <w:rFonts w:ascii="Candara" w:hAnsi="Candara" w:hint="eastAsia"/>
        </w:rPr>
      </w:pPr>
      <w:r w:rsidRPr="005E4D70">
        <w:rPr>
          <w:rFonts w:ascii="Candara" w:hAnsi="Candara"/>
        </w:rPr>
        <w:t xml:space="preserve">Butler CC, Yu LM, Dorward J, et al. Doxycycline for community treatment of suspected COVID-19 in people at high risk of adverse outcomes in the UK </w:t>
      </w:r>
      <w:r w:rsidRPr="005E4D70">
        <w:rPr>
          <w:rFonts w:ascii="Candara" w:hAnsi="Candara"/>
        </w:rPr>
        <w:lastRenderedPageBreak/>
        <w:t>(PRINCIPLE): a randomised, controlled, open-label, adaptive platform trial. Lancet Respir Med. 2021;9(9):1010-1020. doi:10.1016/S2213-2600(21)00310-6</w:t>
      </w:r>
      <w:r>
        <w:rPr>
          <w:rFonts w:ascii="Candara" w:hAnsi="Candara" w:hint="eastAsia"/>
        </w:rPr>
        <w:t>.</w:t>
      </w:r>
    </w:p>
    <w:p w14:paraId="7AA8F3A6" w14:textId="2D19F555"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Bauer IE, Green C, Colpo GD, et al. A Double-Blind, Randomized, Placebo-Controlled Study of Aspirin and N-Acetylcysteine as Adjunctive Treatments for Bipolar Depression. J Clin Psychiatry. 2018;80(1):18m12200. Published 2018 Dec 4. doi:10.4088/JCP.18m12200</w:t>
      </w:r>
      <w:r>
        <w:rPr>
          <w:rFonts w:ascii="Candara" w:hAnsi="Candara" w:hint="eastAsia"/>
        </w:rPr>
        <w:t>.</w:t>
      </w:r>
    </w:p>
    <w:p w14:paraId="371A3DB5" w14:textId="57E57A7F"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Brogan PA, Arch B, Hickey H, et al. Mycophenolate Mofetil Versus Cyclophosphamide for Remission Induction in Childhood Polyarteritis Nodosa: An Open-Label, Randomized, Bayesian Noninferiority Trial. Arthritis Rheumatol. 2021;73(9):1673-1682. doi:10.1002/art.41730</w:t>
      </w:r>
      <w:r>
        <w:rPr>
          <w:rFonts w:ascii="Candara" w:hAnsi="Candara" w:hint="eastAsia"/>
        </w:rPr>
        <w:t>.</w:t>
      </w:r>
    </w:p>
    <w:p w14:paraId="1A40048E" w14:textId="199948F5"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PREVAIL II Writing Group; Multi-National PREVAIL II Study Team, Davey RT Jr, et al. A Randomized, Controlled Trial of ZMapp for Ebola Virus Infection. N Engl J Med. 2016;375(15):1448-1456. doi:10.1056/NEJMoa1604330</w:t>
      </w:r>
      <w:r>
        <w:rPr>
          <w:rFonts w:ascii="Candara" w:hAnsi="Candara" w:hint="eastAsia"/>
        </w:rPr>
        <w:t>.</w:t>
      </w:r>
    </w:p>
    <w:p w14:paraId="628EE8B9" w14:textId="2890AB48"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Butler CC, Hobbs FDR, Gbinigie OA, et al. Molnupiravir plus usual care versus usual care alone as early treatment for adults with COVID-19 at increased risk of adverse outcomes (PANORAMIC): an open-label, platform-adaptive randomised controlled trial. Lancet. 2023;401(10373):281-293. doi:10.1016/S0140-6736(22)02597-1</w:t>
      </w:r>
      <w:r>
        <w:rPr>
          <w:rFonts w:ascii="Candara" w:hAnsi="Candara" w:hint="eastAsia"/>
        </w:rPr>
        <w:t>.</w:t>
      </w:r>
    </w:p>
    <w:p w14:paraId="7A5EAC5E" w14:textId="5107BF8C"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REMAP-CAP Writing Committee for the REMAP-CAP Investigators, Bradbury CA, Lawler PR, et al. Effect of Antiplatelet Therapy on Survival and Organ Support-Free Days in Critically Ill Patients With COVID-19: A Randomized Clinical Trial. JAMA. 2022;327(13):1247-1259. doi:10.1001/jama.2022.2910</w:t>
      </w:r>
      <w:r>
        <w:rPr>
          <w:rFonts w:ascii="Candara" w:hAnsi="Candara" w:hint="eastAsia"/>
        </w:rPr>
        <w:t>.</w:t>
      </w:r>
    </w:p>
    <w:p w14:paraId="7C42550E" w14:textId="314C4842"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ATTACC Investigators; ACTIV-4a Investigators; REMAP-CAP Investigators, et al. Therapeutic Anticoagulation with Heparin in Noncritically Ill Patients with Covid-19. N Engl J Med. 2021;385(9):790-802. doi:10.1056/NEJMoa2105911</w:t>
      </w:r>
      <w:r>
        <w:rPr>
          <w:rFonts w:ascii="Candara" w:hAnsi="Candara" w:hint="eastAsia"/>
        </w:rPr>
        <w:t>.</w:t>
      </w:r>
    </w:p>
    <w:p w14:paraId="29FB4CA0" w14:textId="567CE31E"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Margolis DA, Gonzalez-Garcia J, Stellbrink HJ, et al. Long-acting intramuscular cabotegravir and rilpivirine in adults with HIV-1 infection (LATTE-2): 96-week results of a randomised, open-label, phase 2b, non-inferiority trial. Lancet. 2017;390(10101):1499-1510. doi:10.1016/S0140-6736(17)31917-7</w:t>
      </w:r>
      <w:r>
        <w:rPr>
          <w:rFonts w:ascii="Candara" w:hAnsi="Candara" w:hint="eastAsia"/>
        </w:rPr>
        <w:t>.</w:t>
      </w:r>
    </w:p>
    <w:p w14:paraId="73B09FAD" w14:textId="1021D942"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Glatt S, Jemec GBE, Forman S, et al. Efficacy and Safety of Bimekizumab in Moderate to Severe Hidradenitis Suppurativa: A Phase 2, Double-blind, Placebo-</w:t>
      </w:r>
      <w:r w:rsidRPr="005E4D70">
        <w:rPr>
          <w:rFonts w:ascii="Candara" w:hAnsi="Candara"/>
        </w:rPr>
        <w:lastRenderedPageBreak/>
        <w:t>Controlled Randomized Clinical Trial. JAMA Dermatol. 2021;157(11):1279-1288. doi:10.1001/jamadermatol.2021.2905</w:t>
      </w:r>
      <w:r>
        <w:rPr>
          <w:rFonts w:ascii="Candara" w:hAnsi="Candara" w:hint="eastAsia"/>
        </w:rPr>
        <w:t>.</w:t>
      </w:r>
    </w:p>
    <w:p w14:paraId="0D94803D" w14:textId="7D9866E7" w:rsidR="005E4D70" w:rsidRPr="005E4D70" w:rsidRDefault="005E4D70" w:rsidP="005E4D70">
      <w:pPr>
        <w:pStyle w:val="a9"/>
        <w:numPr>
          <w:ilvl w:val="0"/>
          <w:numId w:val="29"/>
        </w:numPr>
        <w:spacing w:line="360" w:lineRule="auto"/>
        <w:ind w:left="357" w:hanging="357"/>
        <w:rPr>
          <w:rFonts w:ascii="Candara" w:hAnsi="Candara" w:hint="eastAsia"/>
        </w:rPr>
      </w:pPr>
      <w:r w:rsidRPr="005E4D70">
        <w:rPr>
          <w:rFonts w:ascii="Candara" w:hAnsi="Candara"/>
        </w:rPr>
        <w:tab/>
        <w:t>CORIMUNO-19 Collaborative group. Effect of anakinra versus usual care in adults in hospital with COVID-19 and mild-to-moderate pneumonia (CORIMUNO-ANA-1): a randomised controlled trial. Lancet Respir Med. 2021;9(3):295-304. doi:10.1016/S2213-2600(20)30556-7</w:t>
      </w:r>
      <w:r>
        <w:rPr>
          <w:rFonts w:ascii="Candara" w:hAnsi="Candara" w:hint="eastAsia"/>
        </w:rPr>
        <w:t>.</w:t>
      </w:r>
    </w:p>
    <w:p w14:paraId="1508607B" w14:textId="3E6ECADD" w:rsidR="005E4D70" w:rsidRPr="005E4D70" w:rsidRDefault="005E4D70" w:rsidP="005E4D70">
      <w:pPr>
        <w:pStyle w:val="a9"/>
        <w:numPr>
          <w:ilvl w:val="0"/>
          <w:numId w:val="29"/>
        </w:numPr>
        <w:spacing w:line="360" w:lineRule="auto"/>
        <w:ind w:left="357" w:hanging="357"/>
        <w:rPr>
          <w:rFonts w:ascii="Candara" w:hAnsi="Candara" w:hint="eastAsia"/>
        </w:rPr>
      </w:pPr>
      <w:r w:rsidRPr="005E4D70">
        <w:rPr>
          <w:rFonts w:ascii="Candara" w:hAnsi="Candara"/>
        </w:rPr>
        <w:t>Khanna S, Assi M, Lee C, et al. Efficacy and Safety of RBX2660 in PUNCH CD3, a Phase III, Randomized, Double-Blind, Placebo-Controlled Trial with a Bayesian Primary Analysis for the Prevention of Recurrent Clostridioides difficile Infection. Drugs. 2022;82(15):1527-1538. doi:10.1007/s40265-022-01797-x</w:t>
      </w:r>
      <w:r>
        <w:rPr>
          <w:rFonts w:ascii="Candara" w:hAnsi="Candara" w:hint="eastAsia"/>
        </w:rPr>
        <w:t>.</w:t>
      </w:r>
    </w:p>
    <w:p w14:paraId="0347A5FC" w14:textId="3B694419"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Kandzari DE, Mauri L, Koolen JJ, et al. Ultrathin, bioresorbable polymer sirolimus-eluting stents versus thin, durable polymer everolimus-eluting stents in patients undergoing coronary revascularisation (BIOFLOW V): a randomised trial. Lancet. 2017;390(10105):1843-1852. doi:10.1016/S0140-6736(17)32249-3</w:t>
      </w:r>
      <w:r>
        <w:rPr>
          <w:rFonts w:ascii="Candara" w:hAnsi="Candara" w:hint="eastAsia"/>
        </w:rPr>
        <w:t>.</w:t>
      </w:r>
    </w:p>
    <w:p w14:paraId="5834B355" w14:textId="50663551"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Writing Committee for the REMAP-CAP Investigators, Estcourt LJ, Turgeon AF, et al. Effect of Convalescent Plasma on Organ Support-Free Days in Critically Ill Patients With COVID-19: A Randomized Clinical Trial. JAMA. 2021;326(17):1690-1702. doi:10.1001/jama.2021.18178</w:t>
      </w:r>
      <w:r>
        <w:rPr>
          <w:rFonts w:ascii="Candara" w:hAnsi="Candara" w:hint="eastAsia"/>
        </w:rPr>
        <w:t>.</w:t>
      </w:r>
    </w:p>
    <w:p w14:paraId="513D7D7E" w14:textId="7C185424"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Cox CS Jr, Notrica DM, Juranek J, et al. Autologous bone marrow mononuclear cells to treat severe traumatic brain injury in children. Brain. 2024;147(5):1914-1925. doi:10.1093/brain/awae005</w:t>
      </w:r>
      <w:r>
        <w:rPr>
          <w:rFonts w:ascii="Candara" w:hAnsi="Candara" w:hint="eastAsia"/>
        </w:rPr>
        <w:t>.</w:t>
      </w:r>
    </w:p>
    <w:p w14:paraId="19FAC48F" w14:textId="4C60E29D"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Silva I, Nhamússua L, Ca E, et al. Randomized trial of BCG in healthcare workers to reduce absenteeism during the COVID-19 pandemic in sub-Saharan Africa. Trans R Soc Trop Med Hyg. 2025;119(3):244-252. doi:10.1093/trstmh/trae108</w:t>
      </w:r>
      <w:r>
        <w:rPr>
          <w:rFonts w:ascii="Candara" w:hAnsi="Candara" w:hint="eastAsia"/>
        </w:rPr>
        <w:t>.</w:t>
      </w:r>
    </w:p>
    <w:p w14:paraId="6B94158D" w14:textId="1E11210D"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Laterre PF, Berry SM, Blemings A, et al. Effect of Selepressin vs Placebo on Ventilator- and Vasopressor-Free Days in Patients With Septic Shock: The SEPSIS-ACT Randomized Clinical Trial. JAMA. 2019;322(15):1476-1485. doi:10.1001/jama.2019.14607</w:t>
      </w:r>
      <w:r>
        <w:rPr>
          <w:rFonts w:ascii="Candara" w:hAnsi="Candara" w:hint="eastAsia"/>
        </w:rPr>
        <w:t>.</w:t>
      </w:r>
    </w:p>
    <w:p w14:paraId="6173DDF4" w14:textId="122D9EC8"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Butler CC, van der Velden AW, Bongard E, et al. Oseltamivir plus usual care versus usual care for influenza-like illness in primary care: an open-label, pragmatic, randomised controlled trial. Lancet. 2020;395(10217):42-52. doi:10.1016/S0140-6736(19)32982-4</w:t>
      </w:r>
      <w:r>
        <w:rPr>
          <w:rFonts w:ascii="Candara" w:hAnsi="Candara" w:hint="eastAsia"/>
        </w:rPr>
        <w:t>.</w:t>
      </w:r>
    </w:p>
    <w:p w14:paraId="118FF908" w14:textId="7B3114D3"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lastRenderedPageBreak/>
        <w:t>Siddall H, Quint D, Pandya H, et al. Intranasal GSK2245035, a Toll-like receptor 7 agonist, does not attenuate the allergen-induced asthmatic response in a randomized, double-blind, placebo-controlled experimental medicine study. PLoS One. 2020;15(11):e0240964. Published 2020 Nov 9. doi:10.1371/journal.pone.0240964</w:t>
      </w:r>
      <w:r>
        <w:rPr>
          <w:rFonts w:ascii="Candara" w:hAnsi="Candara" w:hint="eastAsia"/>
        </w:rPr>
        <w:t>.</w:t>
      </w:r>
    </w:p>
    <w:p w14:paraId="23C51F54" w14:textId="24F8EF5F"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Berger JS, Kornblith LZ, Gong MN, et al. Effect of P2Y12 Inhibitors on Survival Free of Organ Support Among Non-Critically Ill Hospitalized Patients With COVID-19: A Randomized Clinical Trial. JAMA. 2022;327(3):227-236. doi:10.1001/jama.2021.23605</w:t>
      </w:r>
      <w:r>
        <w:rPr>
          <w:rFonts w:ascii="Candara" w:hAnsi="Candara" w:hint="eastAsia"/>
        </w:rPr>
        <w:t>.</w:t>
      </w:r>
    </w:p>
    <w:p w14:paraId="3DE89183" w14:textId="7D03C7C8"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Song ATW, Rocha V, Mendrone-Júnior A, et al. Treatment of severe COVID-19 patients with either low- or high-volume of convalescent plasma versus standard of care: A multicenter Bayesian randomized open-label clinical trial (COOP-COVID-19-MCTI). Lancet Reg Health Am. 2022;10:100216. doi:10.1016/j.lana.2022.100216</w:t>
      </w:r>
      <w:r>
        <w:rPr>
          <w:rFonts w:ascii="Candara" w:hAnsi="Candara" w:hint="eastAsia"/>
        </w:rPr>
        <w:t>.</w:t>
      </w:r>
    </w:p>
    <w:p w14:paraId="4723E151" w14:textId="15142D4F"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Teunis T, Sayegh GE, Fatehi A, Ring D, Vagner G, Reichel L. Does lidocaine reduce pain intensity during corticosteroid injection? A double-blind randomized controlled equivalence trial. J Hand Surg Eur Vol. 2024;49(10):1202-1208. doi:10.1177/17531934241245036</w:t>
      </w:r>
      <w:r>
        <w:rPr>
          <w:rFonts w:ascii="Candara" w:hAnsi="Candara" w:hint="eastAsia"/>
        </w:rPr>
        <w:t>.</w:t>
      </w:r>
    </w:p>
    <w:p w14:paraId="06CD2B85" w14:textId="421AE7AC" w:rsidR="005E4D70" w:rsidRPr="005E4D70" w:rsidRDefault="005E4D70" w:rsidP="005E4D70">
      <w:pPr>
        <w:pStyle w:val="a9"/>
        <w:numPr>
          <w:ilvl w:val="0"/>
          <w:numId w:val="29"/>
        </w:numPr>
        <w:spacing w:line="360" w:lineRule="auto"/>
        <w:ind w:left="357" w:hanging="357"/>
        <w:rPr>
          <w:rFonts w:ascii="Candara" w:hAnsi="Candara"/>
        </w:rPr>
      </w:pPr>
      <w:r w:rsidRPr="005E4D70">
        <w:rPr>
          <w:rFonts w:ascii="Candara" w:hAnsi="Candara"/>
        </w:rPr>
        <w:t>Klugh JM, Puzio TJ, Wandling MW, et al. Ketamine for acute pain after trauma: A pragmatic, randomized clinical trial. J Trauma Acute Care Surg. 2024;97(4):514-519. doi:10.1097/TA.0000000000004325</w:t>
      </w:r>
      <w:r>
        <w:rPr>
          <w:rFonts w:ascii="Candara" w:hAnsi="Candara" w:hint="eastAsia"/>
        </w:rPr>
        <w:t>.</w:t>
      </w:r>
    </w:p>
    <w:p w14:paraId="433468C9" w14:textId="1D367F43" w:rsidR="005E4D70" w:rsidRPr="00BB14E2" w:rsidRDefault="005E4D70" w:rsidP="005E4D70">
      <w:pPr>
        <w:pStyle w:val="a9"/>
        <w:numPr>
          <w:ilvl w:val="0"/>
          <w:numId w:val="29"/>
        </w:numPr>
        <w:spacing w:line="360" w:lineRule="auto"/>
        <w:ind w:left="357" w:hanging="357"/>
        <w:rPr>
          <w:rFonts w:ascii="Candara" w:hAnsi="Candara"/>
        </w:rPr>
      </w:pPr>
      <w:r w:rsidRPr="005E4D70">
        <w:rPr>
          <w:rFonts w:ascii="Candara" w:hAnsi="Candara"/>
        </w:rPr>
        <w:t>Santoro A, Assenat E, Yau T, et al. A phase Ib/II trial of capmatinib plus spartalizumab vs. spartalizumab alone in patients with pretreated hepatocellular carcinoma. JHEP Rep. 2024;6(4):101021. Published 2024 Jan 28. doi:10.1016/j.jhepr.2024.101021</w:t>
      </w:r>
      <w:r>
        <w:rPr>
          <w:rFonts w:ascii="Candara" w:hAnsi="Candara" w:hint="eastAsia"/>
        </w:rPr>
        <w:t>.</w:t>
      </w:r>
    </w:p>
    <w:sectPr w:rsidR="005E4D70" w:rsidRPr="00BB14E2" w:rsidSect="00451AF7">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9C956" w14:textId="77777777" w:rsidR="00DB2E73" w:rsidRDefault="00DB2E73" w:rsidP="00FE48BA">
      <w:pPr>
        <w:rPr>
          <w:rFonts w:hint="eastAsia"/>
        </w:rPr>
      </w:pPr>
      <w:r>
        <w:separator/>
      </w:r>
    </w:p>
  </w:endnote>
  <w:endnote w:type="continuationSeparator" w:id="0">
    <w:p w14:paraId="35A9CA94" w14:textId="77777777" w:rsidR="00DB2E73" w:rsidRDefault="00DB2E73" w:rsidP="00FE48B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B824" w14:textId="77777777" w:rsidR="00DB2E73" w:rsidRDefault="00DB2E73" w:rsidP="00FE48BA">
      <w:pPr>
        <w:rPr>
          <w:rFonts w:hint="eastAsia"/>
        </w:rPr>
      </w:pPr>
      <w:r>
        <w:separator/>
      </w:r>
    </w:p>
  </w:footnote>
  <w:footnote w:type="continuationSeparator" w:id="0">
    <w:p w14:paraId="1692C8EC" w14:textId="77777777" w:rsidR="00DB2E73" w:rsidRDefault="00DB2E73" w:rsidP="00FE48B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3174"/>
    <w:multiLevelType w:val="hybridMultilevel"/>
    <w:tmpl w:val="06EE3F26"/>
    <w:lvl w:ilvl="0" w:tplc="C98A3C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AA4505"/>
    <w:multiLevelType w:val="hybridMultilevel"/>
    <w:tmpl w:val="1DF8357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06DD74C8"/>
    <w:multiLevelType w:val="hybridMultilevel"/>
    <w:tmpl w:val="F3F8376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0928779C"/>
    <w:multiLevelType w:val="hybridMultilevel"/>
    <w:tmpl w:val="E1AE569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13501A60"/>
    <w:multiLevelType w:val="hybridMultilevel"/>
    <w:tmpl w:val="0CFC68E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168224ED"/>
    <w:multiLevelType w:val="hybridMultilevel"/>
    <w:tmpl w:val="7CE2530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6FD2C9A"/>
    <w:multiLevelType w:val="hybridMultilevel"/>
    <w:tmpl w:val="7DF4A1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20B040CE"/>
    <w:multiLevelType w:val="hybridMultilevel"/>
    <w:tmpl w:val="9F6456E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259E682D"/>
    <w:multiLevelType w:val="hybridMultilevel"/>
    <w:tmpl w:val="8C4CCA5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2A761C71"/>
    <w:multiLevelType w:val="hybridMultilevel"/>
    <w:tmpl w:val="A7144FD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2BF874D7"/>
    <w:multiLevelType w:val="hybridMultilevel"/>
    <w:tmpl w:val="5B66BE7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32AD4B6D"/>
    <w:multiLevelType w:val="hybridMultilevel"/>
    <w:tmpl w:val="8F3ECC3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C5B370E"/>
    <w:multiLevelType w:val="hybridMultilevel"/>
    <w:tmpl w:val="82A0B66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3D994614"/>
    <w:multiLevelType w:val="hybridMultilevel"/>
    <w:tmpl w:val="459C02C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3F991989"/>
    <w:multiLevelType w:val="hybridMultilevel"/>
    <w:tmpl w:val="5A62CBF6"/>
    <w:lvl w:ilvl="0" w:tplc="B378B21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402D4D8D"/>
    <w:multiLevelType w:val="hybridMultilevel"/>
    <w:tmpl w:val="A34C230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42F20808"/>
    <w:multiLevelType w:val="hybridMultilevel"/>
    <w:tmpl w:val="9D3EFB9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444B20F3"/>
    <w:multiLevelType w:val="hybridMultilevel"/>
    <w:tmpl w:val="8702B77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48AE0760"/>
    <w:multiLevelType w:val="hybridMultilevel"/>
    <w:tmpl w:val="3FACFDB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4E8F19FC"/>
    <w:multiLevelType w:val="hybridMultilevel"/>
    <w:tmpl w:val="5A62C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0" w15:restartNumberingAfterBreak="0">
    <w:nsid w:val="5C7D7EE3"/>
    <w:multiLevelType w:val="hybridMultilevel"/>
    <w:tmpl w:val="27F40CA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5E41252B"/>
    <w:multiLevelType w:val="hybridMultilevel"/>
    <w:tmpl w:val="499A060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2" w15:restartNumberingAfterBreak="0">
    <w:nsid w:val="5F7B4E44"/>
    <w:multiLevelType w:val="hybridMultilevel"/>
    <w:tmpl w:val="A15A8C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79A4479"/>
    <w:multiLevelType w:val="hybridMultilevel"/>
    <w:tmpl w:val="6CF2DBC0"/>
    <w:lvl w:ilvl="0" w:tplc="B378B21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69BF18E4"/>
    <w:multiLevelType w:val="hybridMultilevel"/>
    <w:tmpl w:val="295C03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5" w15:restartNumberingAfterBreak="0">
    <w:nsid w:val="6CCA5AD8"/>
    <w:multiLevelType w:val="hybridMultilevel"/>
    <w:tmpl w:val="A80EB6D0"/>
    <w:lvl w:ilvl="0" w:tplc="345ACFC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769A3A8C"/>
    <w:multiLevelType w:val="hybridMultilevel"/>
    <w:tmpl w:val="A93CFA5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7" w15:restartNumberingAfterBreak="0">
    <w:nsid w:val="78A47D74"/>
    <w:multiLevelType w:val="hybridMultilevel"/>
    <w:tmpl w:val="4D6A2B0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78B46483"/>
    <w:multiLevelType w:val="hybridMultilevel"/>
    <w:tmpl w:val="7D2C95C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7E9578FB"/>
    <w:multiLevelType w:val="hybridMultilevel"/>
    <w:tmpl w:val="1E365E9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376002657">
    <w:abstractNumId w:val="6"/>
  </w:num>
  <w:num w:numId="2" w16cid:durableId="302661012">
    <w:abstractNumId w:val="7"/>
  </w:num>
  <w:num w:numId="3" w16cid:durableId="1284463188">
    <w:abstractNumId w:val="25"/>
  </w:num>
  <w:num w:numId="4" w16cid:durableId="1981301089">
    <w:abstractNumId w:val="14"/>
  </w:num>
  <w:num w:numId="5" w16cid:durableId="1812625701">
    <w:abstractNumId w:val="0"/>
  </w:num>
  <w:num w:numId="6" w16cid:durableId="1636597275">
    <w:abstractNumId w:val="11"/>
  </w:num>
  <w:num w:numId="7" w16cid:durableId="1272207420">
    <w:abstractNumId w:val="13"/>
  </w:num>
  <w:num w:numId="8" w16cid:durableId="418910791">
    <w:abstractNumId w:val="24"/>
  </w:num>
  <w:num w:numId="9" w16cid:durableId="406537964">
    <w:abstractNumId w:val="1"/>
  </w:num>
  <w:num w:numId="10" w16cid:durableId="2016110798">
    <w:abstractNumId w:val="28"/>
  </w:num>
  <w:num w:numId="11" w16cid:durableId="1501461237">
    <w:abstractNumId w:val="22"/>
  </w:num>
  <w:num w:numId="12" w16cid:durableId="1262106104">
    <w:abstractNumId w:val="5"/>
  </w:num>
  <w:num w:numId="13" w16cid:durableId="562645748">
    <w:abstractNumId w:val="10"/>
  </w:num>
  <w:num w:numId="14" w16cid:durableId="1833794499">
    <w:abstractNumId w:val="12"/>
  </w:num>
  <w:num w:numId="15" w16cid:durableId="1487815143">
    <w:abstractNumId w:val="29"/>
  </w:num>
  <w:num w:numId="16" w16cid:durableId="1384136434">
    <w:abstractNumId w:val="3"/>
  </w:num>
  <w:num w:numId="17" w16cid:durableId="755131960">
    <w:abstractNumId w:val="18"/>
  </w:num>
  <w:num w:numId="18" w16cid:durableId="1316375726">
    <w:abstractNumId w:val="26"/>
  </w:num>
  <w:num w:numId="19" w16cid:durableId="531724064">
    <w:abstractNumId w:val="21"/>
  </w:num>
  <w:num w:numId="20" w16cid:durableId="93749164">
    <w:abstractNumId w:val="16"/>
  </w:num>
  <w:num w:numId="21" w16cid:durableId="527065889">
    <w:abstractNumId w:val="17"/>
  </w:num>
  <w:num w:numId="22" w16cid:durableId="972558708">
    <w:abstractNumId w:val="15"/>
  </w:num>
  <w:num w:numId="23" w16cid:durableId="1733040629">
    <w:abstractNumId w:val="2"/>
  </w:num>
  <w:num w:numId="24" w16cid:durableId="891884742">
    <w:abstractNumId w:val="4"/>
  </w:num>
  <w:num w:numId="25" w16cid:durableId="777454074">
    <w:abstractNumId w:val="27"/>
  </w:num>
  <w:num w:numId="26" w16cid:durableId="2068798017">
    <w:abstractNumId w:val="9"/>
  </w:num>
  <w:num w:numId="27" w16cid:durableId="1709836156">
    <w:abstractNumId w:val="20"/>
  </w:num>
  <w:num w:numId="28" w16cid:durableId="333457487">
    <w:abstractNumId w:val="8"/>
  </w:num>
  <w:num w:numId="29" w16cid:durableId="450363725">
    <w:abstractNumId w:val="19"/>
  </w:num>
  <w:num w:numId="30" w16cid:durableId="329678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1CA"/>
    <w:rsid w:val="00032403"/>
    <w:rsid w:val="00082115"/>
    <w:rsid w:val="000F113C"/>
    <w:rsid w:val="00103143"/>
    <w:rsid w:val="00123B81"/>
    <w:rsid w:val="0014657E"/>
    <w:rsid w:val="001949D7"/>
    <w:rsid w:val="001F2702"/>
    <w:rsid w:val="00223F7A"/>
    <w:rsid w:val="00233898"/>
    <w:rsid w:val="00266DBF"/>
    <w:rsid w:val="00282239"/>
    <w:rsid w:val="00291C1D"/>
    <w:rsid w:val="00293D24"/>
    <w:rsid w:val="002A2FA5"/>
    <w:rsid w:val="002A32E7"/>
    <w:rsid w:val="002C4813"/>
    <w:rsid w:val="002E68E3"/>
    <w:rsid w:val="00303C4D"/>
    <w:rsid w:val="003234F3"/>
    <w:rsid w:val="0034235F"/>
    <w:rsid w:val="003578FB"/>
    <w:rsid w:val="00445E4E"/>
    <w:rsid w:val="00451AF7"/>
    <w:rsid w:val="00462A65"/>
    <w:rsid w:val="00474D4C"/>
    <w:rsid w:val="004B4F37"/>
    <w:rsid w:val="00526661"/>
    <w:rsid w:val="00566576"/>
    <w:rsid w:val="005A0300"/>
    <w:rsid w:val="005A6EA8"/>
    <w:rsid w:val="005D191D"/>
    <w:rsid w:val="005E4D70"/>
    <w:rsid w:val="00645A91"/>
    <w:rsid w:val="006566F4"/>
    <w:rsid w:val="00656846"/>
    <w:rsid w:val="00665EF5"/>
    <w:rsid w:val="006820C0"/>
    <w:rsid w:val="006C08FB"/>
    <w:rsid w:val="006D46DE"/>
    <w:rsid w:val="00716B9D"/>
    <w:rsid w:val="00763868"/>
    <w:rsid w:val="007B04D1"/>
    <w:rsid w:val="00803E42"/>
    <w:rsid w:val="0083321A"/>
    <w:rsid w:val="00845986"/>
    <w:rsid w:val="008D0E0D"/>
    <w:rsid w:val="008E4ABD"/>
    <w:rsid w:val="00912080"/>
    <w:rsid w:val="00913A78"/>
    <w:rsid w:val="00942814"/>
    <w:rsid w:val="009468E5"/>
    <w:rsid w:val="00996712"/>
    <w:rsid w:val="009D039A"/>
    <w:rsid w:val="009D08F2"/>
    <w:rsid w:val="00A17BCD"/>
    <w:rsid w:val="00A81F9C"/>
    <w:rsid w:val="00A876A4"/>
    <w:rsid w:val="00B55855"/>
    <w:rsid w:val="00BB14E2"/>
    <w:rsid w:val="00BD1B15"/>
    <w:rsid w:val="00CF02D9"/>
    <w:rsid w:val="00D23D3C"/>
    <w:rsid w:val="00D30D66"/>
    <w:rsid w:val="00D81EA6"/>
    <w:rsid w:val="00DB218D"/>
    <w:rsid w:val="00DB2E73"/>
    <w:rsid w:val="00DC3EFD"/>
    <w:rsid w:val="00E118C6"/>
    <w:rsid w:val="00E261CA"/>
    <w:rsid w:val="00E857B9"/>
    <w:rsid w:val="00ED2382"/>
    <w:rsid w:val="00ED329B"/>
    <w:rsid w:val="00F56064"/>
    <w:rsid w:val="00F60E73"/>
    <w:rsid w:val="00FD4917"/>
    <w:rsid w:val="00FE4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068425"/>
  <w15:chartTrackingRefBased/>
  <w15:docId w15:val="{CD322C62-FFDB-4F67-8573-E4FC3363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E261C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261C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261C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261C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261C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261C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261C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61C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61CA"/>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61CA"/>
    <w:rPr>
      <w:rFonts w:asciiTheme="majorHAnsi" w:eastAsiaTheme="majorEastAsia" w:hAnsiTheme="majorHAnsi" w:cstheme="majorBidi"/>
      <w:color w:val="2F5496" w:themeColor="accent1" w:themeShade="BF"/>
      <w:sz w:val="48"/>
      <w:szCs w:val="48"/>
      <w:lang w:val="en-GB"/>
    </w:rPr>
  </w:style>
  <w:style w:type="character" w:customStyle="1" w:styleId="20">
    <w:name w:val="标题 2 字符"/>
    <w:basedOn w:val="a0"/>
    <w:link w:val="2"/>
    <w:uiPriority w:val="9"/>
    <w:semiHidden/>
    <w:rsid w:val="00E261CA"/>
    <w:rPr>
      <w:rFonts w:asciiTheme="majorHAnsi" w:eastAsiaTheme="majorEastAsia" w:hAnsiTheme="majorHAnsi" w:cstheme="majorBidi"/>
      <w:color w:val="2F5496" w:themeColor="accent1" w:themeShade="BF"/>
      <w:sz w:val="40"/>
      <w:szCs w:val="40"/>
      <w:lang w:val="en-GB"/>
    </w:rPr>
  </w:style>
  <w:style w:type="character" w:customStyle="1" w:styleId="30">
    <w:name w:val="标题 3 字符"/>
    <w:basedOn w:val="a0"/>
    <w:link w:val="3"/>
    <w:uiPriority w:val="9"/>
    <w:semiHidden/>
    <w:rsid w:val="00E261CA"/>
    <w:rPr>
      <w:rFonts w:asciiTheme="majorHAnsi" w:eastAsiaTheme="majorEastAsia" w:hAnsiTheme="majorHAnsi" w:cstheme="majorBidi"/>
      <w:color w:val="2F5496" w:themeColor="accent1" w:themeShade="BF"/>
      <w:sz w:val="32"/>
      <w:szCs w:val="32"/>
      <w:lang w:val="en-GB"/>
    </w:rPr>
  </w:style>
  <w:style w:type="character" w:customStyle="1" w:styleId="40">
    <w:name w:val="标题 4 字符"/>
    <w:basedOn w:val="a0"/>
    <w:link w:val="4"/>
    <w:uiPriority w:val="9"/>
    <w:semiHidden/>
    <w:rsid w:val="00E261CA"/>
    <w:rPr>
      <w:rFonts w:cstheme="majorBidi"/>
      <w:color w:val="2F5496" w:themeColor="accent1" w:themeShade="BF"/>
      <w:sz w:val="28"/>
      <w:szCs w:val="28"/>
      <w:lang w:val="en-GB"/>
    </w:rPr>
  </w:style>
  <w:style w:type="character" w:customStyle="1" w:styleId="50">
    <w:name w:val="标题 5 字符"/>
    <w:basedOn w:val="a0"/>
    <w:link w:val="5"/>
    <w:uiPriority w:val="9"/>
    <w:semiHidden/>
    <w:rsid w:val="00E261CA"/>
    <w:rPr>
      <w:rFonts w:cstheme="majorBidi"/>
      <w:color w:val="2F5496" w:themeColor="accent1" w:themeShade="BF"/>
      <w:sz w:val="24"/>
      <w:szCs w:val="24"/>
      <w:lang w:val="en-GB"/>
    </w:rPr>
  </w:style>
  <w:style w:type="character" w:customStyle="1" w:styleId="60">
    <w:name w:val="标题 6 字符"/>
    <w:basedOn w:val="a0"/>
    <w:link w:val="6"/>
    <w:uiPriority w:val="9"/>
    <w:semiHidden/>
    <w:rsid w:val="00E261CA"/>
    <w:rPr>
      <w:rFonts w:cstheme="majorBidi"/>
      <w:b/>
      <w:bCs/>
      <w:color w:val="2F5496" w:themeColor="accent1" w:themeShade="BF"/>
      <w:lang w:val="en-GB"/>
    </w:rPr>
  </w:style>
  <w:style w:type="character" w:customStyle="1" w:styleId="70">
    <w:name w:val="标题 7 字符"/>
    <w:basedOn w:val="a0"/>
    <w:link w:val="7"/>
    <w:uiPriority w:val="9"/>
    <w:semiHidden/>
    <w:rsid w:val="00E261CA"/>
    <w:rPr>
      <w:rFonts w:cstheme="majorBidi"/>
      <w:b/>
      <w:bCs/>
      <w:color w:val="595959" w:themeColor="text1" w:themeTint="A6"/>
      <w:lang w:val="en-GB"/>
    </w:rPr>
  </w:style>
  <w:style w:type="character" w:customStyle="1" w:styleId="80">
    <w:name w:val="标题 8 字符"/>
    <w:basedOn w:val="a0"/>
    <w:link w:val="8"/>
    <w:uiPriority w:val="9"/>
    <w:semiHidden/>
    <w:rsid w:val="00E261CA"/>
    <w:rPr>
      <w:rFonts w:cstheme="majorBidi"/>
      <w:color w:val="595959" w:themeColor="text1" w:themeTint="A6"/>
      <w:lang w:val="en-GB"/>
    </w:rPr>
  </w:style>
  <w:style w:type="character" w:customStyle="1" w:styleId="90">
    <w:name w:val="标题 9 字符"/>
    <w:basedOn w:val="a0"/>
    <w:link w:val="9"/>
    <w:uiPriority w:val="9"/>
    <w:semiHidden/>
    <w:rsid w:val="00E261CA"/>
    <w:rPr>
      <w:rFonts w:eastAsiaTheme="majorEastAsia" w:cstheme="majorBidi"/>
      <w:color w:val="595959" w:themeColor="text1" w:themeTint="A6"/>
      <w:lang w:val="en-GB"/>
    </w:rPr>
  </w:style>
  <w:style w:type="paragraph" w:styleId="a3">
    <w:name w:val="Title"/>
    <w:basedOn w:val="a"/>
    <w:next w:val="a"/>
    <w:link w:val="a4"/>
    <w:uiPriority w:val="10"/>
    <w:qFormat/>
    <w:rsid w:val="00E261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61CA"/>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E261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61CA"/>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E261CA"/>
    <w:pPr>
      <w:spacing w:before="160" w:after="160"/>
      <w:jc w:val="center"/>
    </w:pPr>
    <w:rPr>
      <w:i/>
      <w:iCs/>
      <w:color w:val="404040" w:themeColor="text1" w:themeTint="BF"/>
    </w:rPr>
  </w:style>
  <w:style w:type="character" w:customStyle="1" w:styleId="a8">
    <w:name w:val="引用 字符"/>
    <w:basedOn w:val="a0"/>
    <w:link w:val="a7"/>
    <w:uiPriority w:val="29"/>
    <w:rsid w:val="00E261CA"/>
    <w:rPr>
      <w:i/>
      <w:iCs/>
      <w:color w:val="404040" w:themeColor="text1" w:themeTint="BF"/>
      <w:lang w:val="en-GB"/>
    </w:rPr>
  </w:style>
  <w:style w:type="paragraph" w:styleId="a9">
    <w:name w:val="List Paragraph"/>
    <w:basedOn w:val="a"/>
    <w:uiPriority w:val="34"/>
    <w:qFormat/>
    <w:rsid w:val="00E261CA"/>
    <w:pPr>
      <w:ind w:left="720"/>
      <w:contextualSpacing/>
    </w:pPr>
  </w:style>
  <w:style w:type="character" w:styleId="aa">
    <w:name w:val="Intense Emphasis"/>
    <w:basedOn w:val="a0"/>
    <w:uiPriority w:val="21"/>
    <w:qFormat/>
    <w:rsid w:val="00E261CA"/>
    <w:rPr>
      <w:i/>
      <w:iCs/>
      <w:color w:val="2F5496" w:themeColor="accent1" w:themeShade="BF"/>
    </w:rPr>
  </w:style>
  <w:style w:type="paragraph" w:styleId="ab">
    <w:name w:val="Intense Quote"/>
    <w:basedOn w:val="a"/>
    <w:next w:val="a"/>
    <w:link w:val="ac"/>
    <w:uiPriority w:val="30"/>
    <w:qFormat/>
    <w:rsid w:val="00E26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261CA"/>
    <w:rPr>
      <w:i/>
      <w:iCs/>
      <w:color w:val="2F5496" w:themeColor="accent1" w:themeShade="BF"/>
      <w:lang w:val="en-GB"/>
    </w:rPr>
  </w:style>
  <w:style w:type="character" w:styleId="ad">
    <w:name w:val="Intense Reference"/>
    <w:basedOn w:val="a0"/>
    <w:uiPriority w:val="32"/>
    <w:qFormat/>
    <w:rsid w:val="00E261CA"/>
    <w:rPr>
      <w:b/>
      <w:bCs/>
      <w:smallCaps/>
      <w:color w:val="2F5496" w:themeColor="accent1" w:themeShade="BF"/>
      <w:spacing w:val="5"/>
    </w:rPr>
  </w:style>
  <w:style w:type="paragraph" w:styleId="ae">
    <w:name w:val="header"/>
    <w:basedOn w:val="a"/>
    <w:link w:val="af"/>
    <w:uiPriority w:val="99"/>
    <w:unhideWhenUsed/>
    <w:rsid w:val="00FE48BA"/>
    <w:pPr>
      <w:tabs>
        <w:tab w:val="center" w:pos="4153"/>
        <w:tab w:val="right" w:pos="8306"/>
      </w:tabs>
      <w:snapToGrid w:val="0"/>
      <w:jc w:val="center"/>
    </w:pPr>
    <w:rPr>
      <w:sz w:val="18"/>
      <w:szCs w:val="18"/>
    </w:rPr>
  </w:style>
  <w:style w:type="character" w:customStyle="1" w:styleId="af">
    <w:name w:val="页眉 字符"/>
    <w:basedOn w:val="a0"/>
    <w:link w:val="ae"/>
    <w:uiPriority w:val="99"/>
    <w:rsid w:val="00FE48BA"/>
    <w:rPr>
      <w:sz w:val="18"/>
      <w:szCs w:val="18"/>
      <w:lang w:val="en-GB"/>
    </w:rPr>
  </w:style>
  <w:style w:type="paragraph" w:styleId="af0">
    <w:name w:val="footer"/>
    <w:basedOn w:val="a"/>
    <w:link w:val="af1"/>
    <w:uiPriority w:val="99"/>
    <w:unhideWhenUsed/>
    <w:rsid w:val="00FE48BA"/>
    <w:pPr>
      <w:tabs>
        <w:tab w:val="center" w:pos="4153"/>
        <w:tab w:val="right" w:pos="8306"/>
      </w:tabs>
      <w:snapToGrid w:val="0"/>
      <w:jc w:val="left"/>
    </w:pPr>
    <w:rPr>
      <w:sz w:val="18"/>
      <w:szCs w:val="18"/>
    </w:rPr>
  </w:style>
  <w:style w:type="character" w:customStyle="1" w:styleId="af1">
    <w:name w:val="页脚 字符"/>
    <w:basedOn w:val="a0"/>
    <w:link w:val="af0"/>
    <w:uiPriority w:val="99"/>
    <w:rsid w:val="00FE48BA"/>
    <w:rPr>
      <w:sz w:val="18"/>
      <w:szCs w:val="18"/>
      <w:lang w:val="en-GB"/>
    </w:rPr>
  </w:style>
  <w:style w:type="character" w:customStyle="1" w:styleId="af2">
    <w:name w:val="博正文 字符"/>
    <w:link w:val="af3"/>
    <w:qFormat/>
    <w:rsid w:val="00FE48BA"/>
    <w:rPr>
      <w:rFonts w:ascii="Times New Roman" w:hAnsi="Times New Roman"/>
    </w:rPr>
  </w:style>
  <w:style w:type="paragraph" w:customStyle="1" w:styleId="af3">
    <w:name w:val="博正文"/>
    <w:basedOn w:val="a"/>
    <w:link w:val="af2"/>
    <w:qFormat/>
    <w:rsid w:val="00FE48BA"/>
    <w:pPr>
      <w:widowControl/>
      <w:topLinePunct/>
      <w:snapToGrid w:val="0"/>
      <w:spacing w:line="360" w:lineRule="auto"/>
      <w:ind w:firstLineChars="200" w:firstLine="200"/>
      <w:jc w:val="left"/>
    </w:pPr>
    <w:rPr>
      <w:rFonts w:ascii="Times New Roman" w:hAnsi="Times New Roman"/>
      <w:lang w:val="en-US"/>
    </w:rPr>
  </w:style>
  <w:style w:type="table" w:styleId="af4">
    <w:name w:val="Table Grid"/>
    <w:basedOn w:val="a1"/>
    <w:uiPriority w:val="39"/>
    <w:rsid w:val="00451A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653</TotalTime>
  <Pages>21</Pages>
  <Words>5364</Words>
  <Characters>36909</Characters>
  <Application>Microsoft Office Word</Application>
  <DocSecurity>0</DocSecurity>
  <Lines>455</Lines>
  <Paragraphs>182</Paragraphs>
  <ScaleCrop>false</ScaleCrop>
  <Company/>
  <LinksUpToDate>false</LinksUpToDate>
  <CharactersWithSpaces>42091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dcterms:created xsi:type="dcterms:W3CDTF">2025-09-09T03:10:00Z</dcterms:created>
  <dcterms:modified xsi:type="dcterms:W3CDTF">2025-10-29T09:29:00Z</dcterms:modified>
</cp:coreProperties>
</file>