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2EAC0" w14:textId="008EE9EE" w:rsidR="005E65C7" w:rsidRDefault="005E65C7" w:rsidP="005E65C7">
      <w:pPr>
        <w:spacing w:line="360" w:lineRule="auto"/>
        <w:jc w:val="center"/>
        <w:rPr>
          <w:rFonts w:ascii="Candara" w:hAnsi="Candara"/>
          <w:b/>
          <w:bCs/>
        </w:rPr>
      </w:pPr>
      <w:r>
        <w:rPr>
          <w:rFonts w:ascii="Candara" w:hAnsi="Candara"/>
          <w:b/>
          <w:bCs/>
        </w:rPr>
        <w:t>T</w:t>
      </w:r>
      <w:r>
        <w:rPr>
          <w:rFonts w:ascii="Candara" w:hAnsi="Candara" w:hint="eastAsia"/>
          <w:b/>
          <w:bCs/>
        </w:rPr>
        <w:t xml:space="preserve">wo </w:t>
      </w:r>
      <w:r w:rsidRPr="005E65C7">
        <w:rPr>
          <w:rFonts w:ascii="Candara" w:hAnsi="Candara" w:hint="eastAsia"/>
          <w:b/>
          <w:bCs/>
        </w:rPr>
        <w:t>examples of well-conducted sensitivity analyses</w:t>
      </w:r>
    </w:p>
    <w:p w14:paraId="672511AC" w14:textId="427CF86B" w:rsidR="00174E0D" w:rsidRPr="009525B5" w:rsidRDefault="00174E0D" w:rsidP="003474D2">
      <w:pPr>
        <w:spacing w:line="360" w:lineRule="auto"/>
        <w:rPr>
          <w:rFonts w:ascii="Candara" w:hAnsi="Candara"/>
          <w:b/>
          <w:bCs/>
        </w:rPr>
      </w:pPr>
      <w:r w:rsidRPr="009525B5">
        <w:rPr>
          <w:rFonts w:ascii="Candara" w:hAnsi="Candara"/>
          <w:b/>
          <w:bCs/>
        </w:rPr>
        <w:t>Example 1</w:t>
      </w:r>
    </w:p>
    <w:p w14:paraId="48BF128B" w14:textId="5E774C5D" w:rsidR="009525B5" w:rsidRPr="009525B5" w:rsidRDefault="00174E0D" w:rsidP="003474D2">
      <w:pPr>
        <w:spacing w:line="360" w:lineRule="auto"/>
        <w:rPr>
          <w:rFonts w:ascii="Candara" w:hAnsi="Candara"/>
        </w:rPr>
      </w:pPr>
      <w:r w:rsidRPr="009525B5">
        <w:rPr>
          <w:rFonts w:ascii="Candara" w:hAnsi="Candara"/>
          <w:b/>
          <w:bCs/>
        </w:rPr>
        <w:t xml:space="preserve">Title: </w:t>
      </w:r>
      <w:r w:rsidR="009525B5" w:rsidRPr="009525B5">
        <w:rPr>
          <w:rFonts w:ascii="Candara" w:hAnsi="Candara"/>
        </w:rPr>
        <w:t>Tocilizumab plus dexamethasone versus dexamethasone in patients with moderate-to-severe COVID-19 pneumonia: A randomised clinical trial from</w:t>
      </w:r>
    </w:p>
    <w:p w14:paraId="3765E417" w14:textId="21B961E1" w:rsidR="00174E0D" w:rsidRPr="009525B5" w:rsidRDefault="009525B5" w:rsidP="003474D2">
      <w:pPr>
        <w:spacing w:line="360" w:lineRule="auto"/>
        <w:rPr>
          <w:rFonts w:ascii="Candara" w:hAnsi="Candara"/>
        </w:rPr>
      </w:pPr>
      <w:r w:rsidRPr="009525B5">
        <w:rPr>
          <w:rFonts w:ascii="Candara" w:hAnsi="Candara"/>
        </w:rPr>
        <w:t>the CORIMUNO-19 study group.</w:t>
      </w:r>
    </w:p>
    <w:p w14:paraId="48CB1FD8" w14:textId="1FF3587E" w:rsidR="00174E0D" w:rsidRPr="009525B5" w:rsidRDefault="009525B5" w:rsidP="003474D2">
      <w:pPr>
        <w:spacing w:line="360" w:lineRule="auto"/>
        <w:rPr>
          <w:rFonts w:ascii="Candara" w:hAnsi="Candara"/>
        </w:rPr>
      </w:pPr>
      <w:r w:rsidRPr="009525B5">
        <w:rPr>
          <w:rFonts w:ascii="Candara" w:hAnsi="Candara"/>
          <w:b/>
          <w:bCs/>
        </w:rPr>
        <w:t>SAP</w:t>
      </w:r>
      <w:r w:rsidR="00174E0D" w:rsidRPr="009525B5">
        <w:rPr>
          <w:rFonts w:ascii="Candara" w:hAnsi="Candara"/>
          <w:b/>
          <w:bCs/>
        </w:rPr>
        <w:t>:</w:t>
      </w:r>
      <w:r w:rsidRPr="009525B5">
        <w:rPr>
          <w:rFonts w:ascii="Candara" w:hAnsi="Candara"/>
          <w:b/>
          <w:bCs/>
        </w:rPr>
        <w:t xml:space="preserve"> </w:t>
      </w:r>
      <w:r w:rsidRPr="009525B5">
        <w:rPr>
          <w:rFonts w:ascii="Candara" w:hAnsi="Candara"/>
        </w:rPr>
        <w:t>As a sensitivity analysis, we will investigate different prior distributions, namely two sceptic priors centred on 0 with variance set so that a P(HR &lt; 0.2) = P(HR &gt; 5) = 0.05 (SD 0.975) or P(HR &lt; 0.2) = P(HR &gt; 5) = 0.025 (SD 0.82), and one enthusiastic informative prior centred on the targeted treatment effect (HR of 0.65) and informative with s = 0.975.</w:t>
      </w:r>
    </w:p>
    <w:p w14:paraId="709E17DD" w14:textId="4FFAE36D" w:rsidR="00174E0D" w:rsidRPr="009525B5" w:rsidRDefault="00174E0D" w:rsidP="003474D2">
      <w:pPr>
        <w:spacing w:line="360" w:lineRule="auto"/>
        <w:rPr>
          <w:rFonts w:ascii="Candara" w:hAnsi="Candara"/>
        </w:rPr>
      </w:pPr>
      <w:r w:rsidRPr="009525B5">
        <w:rPr>
          <w:rFonts w:ascii="Candara" w:hAnsi="Candara"/>
          <w:b/>
          <w:bCs/>
        </w:rPr>
        <w:t>Final report:</w:t>
      </w:r>
      <w:r w:rsidR="009525B5" w:rsidRPr="009525B5">
        <w:rPr>
          <w:rFonts w:ascii="Candara" w:hAnsi="Candara"/>
        </w:rPr>
        <w:t xml:space="preserve"> Sensitivity analyses using different prior distributions or a frequentist analysis yielded very similar results (Supplementary Table 4 and Supplementary Fig. 1)</w:t>
      </w:r>
    </w:p>
    <w:p w14:paraId="6BD0E9D9" w14:textId="538DE0FC" w:rsidR="00174E0D" w:rsidRDefault="009525B5" w:rsidP="003474D2">
      <w:pPr>
        <w:spacing w:line="360" w:lineRule="auto"/>
        <w:jc w:val="center"/>
        <w:rPr>
          <w:rFonts w:ascii="Candara" w:hAnsi="Candara"/>
        </w:rPr>
      </w:pPr>
      <w:r w:rsidRPr="009525B5">
        <w:rPr>
          <w:rFonts w:ascii="Candara" w:hAnsi="Candara"/>
          <w:noProof/>
        </w:rPr>
        <w:drawing>
          <wp:inline distT="0" distB="0" distL="0" distR="0" wp14:anchorId="04FCF3CD" wp14:editId="7721A130">
            <wp:extent cx="4204970" cy="5278120"/>
            <wp:effectExtent l="0" t="0" r="5080" b="0"/>
            <wp:docPr id="2035076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76768" name=""/>
                    <pic:cNvPicPr/>
                  </pic:nvPicPr>
                  <pic:blipFill>
                    <a:blip r:embed="rId7"/>
                    <a:stretch>
                      <a:fillRect/>
                    </a:stretch>
                  </pic:blipFill>
                  <pic:spPr>
                    <a:xfrm>
                      <a:off x="0" y="0"/>
                      <a:ext cx="4204970" cy="5278120"/>
                    </a:xfrm>
                    <a:prstGeom prst="rect">
                      <a:avLst/>
                    </a:prstGeom>
                  </pic:spPr>
                </pic:pic>
              </a:graphicData>
            </a:graphic>
          </wp:inline>
        </w:drawing>
      </w:r>
    </w:p>
    <w:p w14:paraId="19D56EB7" w14:textId="3434272D" w:rsidR="009525B5" w:rsidRDefault="009525B5" w:rsidP="003474D2">
      <w:pPr>
        <w:spacing w:line="360" w:lineRule="auto"/>
        <w:jc w:val="center"/>
        <w:rPr>
          <w:rFonts w:ascii="Candara" w:hAnsi="Candara"/>
        </w:rPr>
      </w:pPr>
      <w:r w:rsidRPr="009525B5">
        <w:rPr>
          <w:noProof/>
        </w:rPr>
        <w:lastRenderedPageBreak/>
        <w:drawing>
          <wp:inline distT="0" distB="0" distL="0" distR="0" wp14:anchorId="4FCFBEC4" wp14:editId="0E5AF07B">
            <wp:extent cx="5278120" cy="3112135"/>
            <wp:effectExtent l="0" t="0" r="0" b="0"/>
            <wp:docPr id="7633375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37528" name=""/>
                    <pic:cNvPicPr/>
                  </pic:nvPicPr>
                  <pic:blipFill>
                    <a:blip r:embed="rId8"/>
                    <a:stretch>
                      <a:fillRect/>
                    </a:stretch>
                  </pic:blipFill>
                  <pic:spPr>
                    <a:xfrm>
                      <a:off x="0" y="0"/>
                      <a:ext cx="5278120" cy="3112135"/>
                    </a:xfrm>
                    <a:prstGeom prst="rect">
                      <a:avLst/>
                    </a:prstGeom>
                  </pic:spPr>
                </pic:pic>
              </a:graphicData>
            </a:graphic>
          </wp:inline>
        </w:drawing>
      </w:r>
    </w:p>
    <w:p w14:paraId="4441E65B" w14:textId="3C099C7C" w:rsidR="009525B5" w:rsidRPr="009525B5" w:rsidRDefault="009525B5" w:rsidP="003474D2">
      <w:pPr>
        <w:spacing w:line="360" w:lineRule="auto"/>
        <w:rPr>
          <w:rFonts w:ascii="Candara" w:hAnsi="Candara"/>
          <w:b/>
          <w:bCs/>
        </w:rPr>
      </w:pPr>
      <w:r w:rsidRPr="009525B5">
        <w:rPr>
          <w:rFonts w:ascii="Candara" w:hAnsi="Candara"/>
          <w:b/>
          <w:bCs/>
        </w:rPr>
        <w:t xml:space="preserve">Example </w:t>
      </w:r>
      <w:r>
        <w:rPr>
          <w:rFonts w:ascii="Candara" w:hAnsi="Candara" w:hint="eastAsia"/>
          <w:b/>
          <w:bCs/>
        </w:rPr>
        <w:t>2</w:t>
      </w:r>
    </w:p>
    <w:p w14:paraId="65B0EC22" w14:textId="1AD04896" w:rsidR="009525B5" w:rsidRDefault="009525B5" w:rsidP="003474D2">
      <w:pPr>
        <w:spacing w:line="360" w:lineRule="auto"/>
        <w:rPr>
          <w:rFonts w:ascii="Candara" w:hAnsi="Candara"/>
        </w:rPr>
      </w:pPr>
      <w:r w:rsidRPr="009525B5">
        <w:rPr>
          <w:rFonts w:ascii="Candara" w:hAnsi="Candara"/>
          <w:b/>
          <w:bCs/>
        </w:rPr>
        <w:t>Title:</w:t>
      </w:r>
      <w:r>
        <w:rPr>
          <w:rFonts w:ascii="Candara" w:hAnsi="Candara" w:hint="eastAsia"/>
          <w:b/>
          <w:bCs/>
        </w:rPr>
        <w:t xml:space="preserve"> </w:t>
      </w:r>
      <w:proofErr w:type="spellStart"/>
      <w:r w:rsidRPr="009525B5">
        <w:rPr>
          <w:rFonts w:ascii="Candara" w:hAnsi="Candara" w:hint="eastAsia"/>
        </w:rPr>
        <w:t>Capmatinib</w:t>
      </w:r>
      <w:proofErr w:type="spellEnd"/>
      <w:r w:rsidRPr="009525B5">
        <w:rPr>
          <w:rFonts w:ascii="Candara" w:hAnsi="Candara" w:hint="eastAsia"/>
        </w:rPr>
        <w:t xml:space="preserve"> plus nivolumab in pretreated patients with EGFR wild-type advanced non</w:t>
      </w:r>
      <w:r w:rsidRPr="009525B5">
        <w:rPr>
          <w:rFonts w:ascii="Candara" w:hAnsi="Candara" w:hint="eastAsia"/>
        </w:rPr>
        <w:t>–</w:t>
      </w:r>
      <w:r w:rsidRPr="009525B5">
        <w:rPr>
          <w:rFonts w:ascii="Candara" w:hAnsi="Candara" w:hint="eastAsia"/>
        </w:rPr>
        <w:t>small cell lung cancer</w:t>
      </w:r>
    </w:p>
    <w:p w14:paraId="3E5FCE57" w14:textId="48B49181" w:rsidR="009525B5" w:rsidRDefault="009525B5" w:rsidP="003474D2">
      <w:pPr>
        <w:spacing w:line="360" w:lineRule="auto"/>
        <w:rPr>
          <w:rFonts w:ascii="Candara" w:hAnsi="Candara"/>
        </w:rPr>
      </w:pPr>
      <w:r w:rsidRPr="009525B5">
        <w:rPr>
          <w:rFonts w:ascii="Candara" w:hAnsi="Candara" w:hint="eastAsia"/>
          <w:b/>
          <w:bCs/>
        </w:rPr>
        <w:t xml:space="preserve">SAP: </w:t>
      </w:r>
      <w:r w:rsidRPr="009525B5">
        <w:rPr>
          <w:rFonts w:ascii="Candara" w:hAnsi="Candara" w:hint="eastAsia"/>
        </w:rPr>
        <w:t>The PPS will be used in the sensitivity analysis of the primary endpoint. If the PPS and the FAS are identical, then analyses described by the PPS below will not be performed.</w:t>
      </w:r>
    </w:p>
    <w:p w14:paraId="53289B69" w14:textId="42279BC9" w:rsidR="009525B5" w:rsidRDefault="009525B5" w:rsidP="003474D2">
      <w:pPr>
        <w:spacing w:line="360" w:lineRule="auto"/>
        <w:rPr>
          <w:rFonts w:ascii="Candara" w:hAnsi="Candara"/>
        </w:rPr>
      </w:pPr>
      <w:r w:rsidRPr="009525B5">
        <w:rPr>
          <w:rFonts w:ascii="Candara" w:hAnsi="Candara"/>
          <w:b/>
          <w:bCs/>
        </w:rPr>
        <w:t>M</w:t>
      </w:r>
      <w:r w:rsidRPr="009525B5">
        <w:rPr>
          <w:rFonts w:ascii="Candara" w:hAnsi="Candara" w:hint="eastAsia"/>
          <w:b/>
          <w:bCs/>
        </w:rPr>
        <w:t xml:space="preserve">ethods in final report: </w:t>
      </w:r>
      <w:r w:rsidRPr="009525B5">
        <w:rPr>
          <w:rFonts w:ascii="Candara" w:hAnsi="Candara" w:hint="eastAsia"/>
        </w:rPr>
        <w:t>As supportive analyses, the primary analysis of PFS rate at 6 months was repeated using the per-protocol set (PPS) if the PPS was different from the FAS.</w:t>
      </w:r>
    </w:p>
    <w:p w14:paraId="2C7267FE" w14:textId="6F995DE2" w:rsidR="009525B5" w:rsidRDefault="003474D2" w:rsidP="003474D2">
      <w:pPr>
        <w:spacing w:line="360" w:lineRule="auto"/>
        <w:rPr>
          <w:rFonts w:ascii="Candara" w:hAnsi="Candara"/>
        </w:rPr>
      </w:pPr>
      <w:r w:rsidRPr="003474D2">
        <w:rPr>
          <w:rFonts w:ascii="Candara" w:hAnsi="Candara"/>
          <w:b/>
          <w:bCs/>
        </w:rPr>
        <w:t>R</w:t>
      </w:r>
      <w:r w:rsidRPr="003474D2">
        <w:rPr>
          <w:rFonts w:ascii="Candara" w:hAnsi="Candara" w:hint="eastAsia"/>
          <w:b/>
          <w:bCs/>
        </w:rPr>
        <w:t xml:space="preserve">esults in final report: </w:t>
      </w:r>
      <w:r w:rsidRPr="003474D2">
        <w:rPr>
          <w:rFonts w:ascii="Candara" w:hAnsi="Candara" w:hint="eastAsia"/>
        </w:rPr>
        <w:t>As the PPS was different from the FAS in the low-MET group, supportive analysis was performed for this group. With 4 patients excluded from the PPS, both the Bayesian and Kaplan-Meier analysis results based on the PPS were consistent with those based on the FAS.</w:t>
      </w:r>
    </w:p>
    <w:p w14:paraId="5CE2FA93" w14:textId="77777777" w:rsidR="003474D2" w:rsidRPr="003474D2" w:rsidRDefault="003474D2" w:rsidP="003474D2">
      <w:pPr>
        <w:spacing w:line="360" w:lineRule="auto"/>
        <w:rPr>
          <w:rFonts w:ascii="Candara" w:hAnsi="Candara"/>
          <w:b/>
          <w:bCs/>
        </w:rPr>
      </w:pPr>
    </w:p>
    <w:sectPr w:rsidR="003474D2" w:rsidRPr="003474D2" w:rsidSect="009525B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19FA" w14:textId="77777777" w:rsidR="00DC1737" w:rsidRDefault="00DC1737" w:rsidP="00FE48BA">
      <w:pPr>
        <w:rPr>
          <w:rFonts w:hint="eastAsia"/>
        </w:rPr>
      </w:pPr>
      <w:r>
        <w:separator/>
      </w:r>
    </w:p>
  </w:endnote>
  <w:endnote w:type="continuationSeparator" w:id="0">
    <w:p w14:paraId="06BB8EA0" w14:textId="77777777" w:rsidR="00DC1737" w:rsidRDefault="00DC1737" w:rsidP="00FE48B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18C4A" w14:textId="77777777" w:rsidR="00DC1737" w:rsidRDefault="00DC1737" w:rsidP="00FE48BA">
      <w:pPr>
        <w:rPr>
          <w:rFonts w:hint="eastAsia"/>
        </w:rPr>
      </w:pPr>
      <w:r>
        <w:separator/>
      </w:r>
    </w:p>
  </w:footnote>
  <w:footnote w:type="continuationSeparator" w:id="0">
    <w:p w14:paraId="1758D9BF" w14:textId="77777777" w:rsidR="00DC1737" w:rsidRDefault="00DC1737" w:rsidP="00FE48B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3174"/>
    <w:multiLevelType w:val="hybridMultilevel"/>
    <w:tmpl w:val="06EE3F26"/>
    <w:lvl w:ilvl="0" w:tplc="C98A3C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AA4505"/>
    <w:multiLevelType w:val="hybridMultilevel"/>
    <w:tmpl w:val="1DF8357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06DD74C8"/>
    <w:multiLevelType w:val="hybridMultilevel"/>
    <w:tmpl w:val="F3F8376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0928779C"/>
    <w:multiLevelType w:val="hybridMultilevel"/>
    <w:tmpl w:val="E1AE569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13501A60"/>
    <w:multiLevelType w:val="hybridMultilevel"/>
    <w:tmpl w:val="0CFC68E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168224ED"/>
    <w:multiLevelType w:val="hybridMultilevel"/>
    <w:tmpl w:val="7CE2530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6FD2C9A"/>
    <w:multiLevelType w:val="hybridMultilevel"/>
    <w:tmpl w:val="7DF4A12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20B040CE"/>
    <w:multiLevelType w:val="hybridMultilevel"/>
    <w:tmpl w:val="9F6456E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259E682D"/>
    <w:multiLevelType w:val="hybridMultilevel"/>
    <w:tmpl w:val="8C4CCA5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2A761C71"/>
    <w:multiLevelType w:val="hybridMultilevel"/>
    <w:tmpl w:val="A7144FD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2BF874D7"/>
    <w:multiLevelType w:val="hybridMultilevel"/>
    <w:tmpl w:val="5B66BE7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32AD4B6D"/>
    <w:multiLevelType w:val="hybridMultilevel"/>
    <w:tmpl w:val="8F3ECC3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3C5B370E"/>
    <w:multiLevelType w:val="hybridMultilevel"/>
    <w:tmpl w:val="82A0B66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3D994614"/>
    <w:multiLevelType w:val="hybridMultilevel"/>
    <w:tmpl w:val="459C02C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3F991989"/>
    <w:multiLevelType w:val="hybridMultilevel"/>
    <w:tmpl w:val="5A62CBF6"/>
    <w:lvl w:ilvl="0" w:tplc="B378B21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402D4D8D"/>
    <w:multiLevelType w:val="hybridMultilevel"/>
    <w:tmpl w:val="A34C230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42F20808"/>
    <w:multiLevelType w:val="hybridMultilevel"/>
    <w:tmpl w:val="9D3EFB9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444B20F3"/>
    <w:multiLevelType w:val="hybridMultilevel"/>
    <w:tmpl w:val="8702B77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48AE0760"/>
    <w:multiLevelType w:val="hybridMultilevel"/>
    <w:tmpl w:val="3FACFDB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4E8F19FC"/>
    <w:multiLevelType w:val="hybridMultilevel"/>
    <w:tmpl w:val="5A62CB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0" w15:restartNumberingAfterBreak="0">
    <w:nsid w:val="5C7D7EE3"/>
    <w:multiLevelType w:val="hybridMultilevel"/>
    <w:tmpl w:val="27F40CA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5E41252B"/>
    <w:multiLevelType w:val="hybridMultilevel"/>
    <w:tmpl w:val="499A060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2" w15:restartNumberingAfterBreak="0">
    <w:nsid w:val="5F7B4E44"/>
    <w:multiLevelType w:val="hybridMultilevel"/>
    <w:tmpl w:val="A15A8C2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3" w15:restartNumberingAfterBreak="0">
    <w:nsid w:val="679A4479"/>
    <w:multiLevelType w:val="hybridMultilevel"/>
    <w:tmpl w:val="6CF2DBC0"/>
    <w:lvl w:ilvl="0" w:tplc="B378B21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69BF18E4"/>
    <w:multiLevelType w:val="hybridMultilevel"/>
    <w:tmpl w:val="295C03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5" w15:restartNumberingAfterBreak="0">
    <w:nsid w:val="6CCA5AD8"/>
    <w:multiLevelType w:val="hybridMultilevel"/>
    <w:tmpl w:val="A80EB6D0"/>
    <w:lvl w:ilvl="0" w:tplc="345ACFC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769A3A8C"/>
    <w:multiLevelType w:val="hybridMultilevel"/>
    <w:tmpl w:val="A93CFA5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7" w15:restartNumberingAfterBreak="0">
    <w:nsid w:val="78A47D74"/>
    <w:multiLevelType w:val="hybridMultilevel"/>
    <w:tmpl w:val="4D6A2B0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8" w15:restartNumberingAfterBreak="0">
    <w:nsid w:val="78B46483"/>
    <w:multiLevelType w:val="hybridMultilevel"/>
    <w:tmpl w:val="7D2C95C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7E9578FB"/>
    <w:multiLevelType w:val="hybridMultilevel"/>
    <w:tmpl w:val="1E365E9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376002657">
    <w:abstractNumId w:val="6"/>
  </w:num>
  <w:num w:numId="2" w16cid:durableId="302661012">
    <w:abstractNumId w:val="7"/>
  </w:num>
  <w:num w:numId="3" w16cid:durableId="1284463188">
    <w:abstractNumId w:val="25"/>
  </w:num>
  <w:num w:numId="4" w16cid:durableId="1981301089">
    <w:abstractNumId w:val="14"/>
  </w:num>
  <w:num w:numId="5" w16cid:durableId="1812625701">
    <w:abstractNumId w:val="0"/>
  </w:num>
  <w:num w:numId="6" w16cid:durableId="1636597275">
    <w:abstractNumId w:val="11"/>
  </w:num>
  <w:num w:numId="7" w16cid:durableId="1272207420">
    <w:abstractNumId w:val="13"/>
  </w:num>
  <w:num w:numId="8" w16cid:durableId="418910791">
    <w:abstractNumId w:val="24"/>
  </w:num>
  <w:num w:numId="9" w16cid:durableId="406537964">
    <w:abstractNumId w:val="1"/>
  </w:num>
  <w:num w:numId="10" w16cid:durableId="2016110798">
    <w:abstractNumId w:val="28"/>
  </w:num>
  <w:num w:numId="11" w16cid:durableId="1501461237">
    <w:abstractNumId w:val="22"/>
  </w:num>
  <w:num w:numId="12" w16cid:durableId="1262106104">
    <w:abstractNumId w:val="5"/>
  </w:num>
  <w:num w:numId="13" w16cid:durableId="562645748">
    <w:abstractNumId w:val="10"/>
  </w:num>
  <w:num w:numId="14" w16cid:durableId="1833794499">
    <w:abstractNumId w:val="12"/>
  </w:num>
  <w:num w:numId="15" w16cid:durableId="1487815143">
    <w:abstractNumId w:val="29"/>
  </w:num>
  <w:num w:numId="16" w16cid:durableId="1384136434">
    <w:abstractNumId w:val="3"/>
  </w:num>
  <w:num w:numId="17" w16cid:durableId="755131960">
    <w:abstractNumId w:val="18"/>
  </w:num>
  <w:num w:numId="18" w16cid:durableId="1316375726">
    <w:abstractNumId w:val="26"/>
  </w:num>
  <w:num w:numId="19" w16cid:durableId="531724064">
    <w:abstractNumId w:val="21"/>
  </w:num>
  <w:num w:numId="20" w16cid:durableId="93749164">
    <w:abstractNumId w:val="16"/>
  </w:num>
  <w:num w:numId="21" w16cid:durableId="527065889">
    <w:abstractNumId w:val="17"/>
  </w:num>
  <w:num w:numId="22" w16cid:durableId="972558708">
    <w:abstractNumId w:val="15"/>
  </w:num>
  <w:num w:numId="23" w16cid:durableId="1733040629">
    <w:abstractNumId w:val="2"/>
  </w:num>
  <w:num w:numId="24" w16cid:durableId="891884742">
    <w:abstractNumId w:val="4"/>
  </w:num>
  <w:num w:numId="25" w16cid:durableId="777454074">
    <w:abstractNumId w:val="27"/>
  </w:num>
  <w:num w:numId="26" w16cid:durableId="2068798017">
    <w:abstractNumId w:val="9"/>
  </w:num>
  <w:num w:numId="27" w16cid:durableId="1709836156">
    <w:abstractNumId w:val="20"/>
  </w:num>
  <w:num w:numId="28" w16cid:durableId="333457487">
    <w:abstractNumId w:val="8"/>
  </w:num>
  <w:num w:numId="29" w16cid:durableId="450363725">
    <w:abstractNumId w:val="19"/>
  </w:num>
  <w:num w:numId="30" w16cid:durableId="3296783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1CA"/>
    <w:rsid w:val="00032403"/>
    <w:rsid w:val="00082115"/>
    <w:rsid w:val="000F113C"/>
    <w:rsid w:val="00103143"/>
    <w:rsid w:val="00123B81"/>
    <w:rsid w:val="0014657E"/>
    <w:rsid w:val="00174E0D"/>
    <w:rsid w:val="001949D7"/>
    <w:rsid w:val="001F2702"/>
    <w:rsid w:val="00223F7A"/>
    <w:rsid w:val="00233898"/>
    <w:rsid w:val="00266DBF"/>
    <w:rsid w:val="00282239"/>
    <w:rsid w:val="00291C1D"/>
    <w:rsid w:val="00293D24"/>
    <w:rsid w:val="002A2FA5"/>
    <w:rsid w:val="002A32E7"/>
    <w:rsid w:val="002C4813"/>
    <w:rsid w:val="002E68E3"/>
    <w:rsid w:val="00303C4D"/>
    <w:rsid w:val="003234F3"/>
    <w:rsid w:val="0034235F"/>
    <w:rsid w:val="003474D2"/>
    <w:rsid w:val="003578FB"/>
    <w:rsid w:val="00382ED7"/>
    <w:rsid w:val="00445E4E"/>
    <w:rsid w:val="00451AF7"/>
    <w:rsid w:val="00462A65"/>
    <w:rsid w:val="00474D4C"/>
    <w:rsid w:val="004B4F37"/>
    <w:rsid w:val="00526661"/>
    <w:rsid w:val="00566576"/>
    <w:rsid w:val="005A0300"/>
    <w:rsid w:val="005A6EA8"/>
    <w:rsid w:val="005D191D"/>
    <w:rsid w:val="005D6B34"/>
    <w:rsid w:val="005E4D70"/>
    <w:rsid w:val="005E65C7"/>
    <w:rsid w:val="00645A91"/>
    <w:rsid w:val="006566F4"/>
    <w:rsid w:val="00656846"/>
    <w:rsid w:val="00665EF5"/>
    <w:rsid w:val="006820C0"/>
    <w:rsid w:val="006C08FB"/>
    <w:rsid w:val="006D46DE"/>
    <w:rsid w:val="00716B9D"/>
    <w:rsid w:val="00763868"/>
    <w:rsid w:val="007B04D1"/>
    <w:rsid w:val="00803E42"/>
    <w:rsid w:val="0083321A"/>
    <w:rsid w:val="00845986"/>
    <w:rsid w:val="008D0E0D"/>
    <w:rsid w:val="008E4ABD"/>
    <w:rsid w:val="00912080"/>
    <w:rsid w:val="00913A78"/>
    <w:rsid w:val="00942814"/>
    <w:rsid w:val="009468E5"/>
    <w:rsid w:val="009525B5"/>
    <w:rsid w:val="00996712"/>
    <w:rsid w:val="009D039A"/>
    <w:rsid w:val="009D08F2"/>
    <w:rsid w:val="00A17BCD"/>
    <w:rsid w:val="00A81F9C"/>
    <w:rsid w:val="00A876A4"/>
    <w:rsid w:val="00B55855"/>
    <w:rsid w:val="00BB14E2"/>
    <w:rsid w:val="00BD1B15"/>
    <w:rsid w:val="00CF02D9"/>
    <w:rsid w:val="00D23D3C"/>
    <w:rsid w:val="00D30D66"/>
    <w:rsid w:val="00D81EA6"/>
    <w:rsid w:val="00DB218D"/>
    <w:rsid w:val="00DB2E73"/>
    <w:rsid w:val="00DC1737"/>
    <w:rsid w:val="00DC3EFD"/>
    <w:rsid w:val="00E118C6"/>
    <w:rsid w:val="00E261CA"/>
    <w:rsid w:val="00E857B9"/>
    <w:rsid w:val="00ED2382"/>
    <w:rsid w:val="00ED329B"/>
    <w:rsid w:val="00F56064"/>
    <w:rsid w:val="00F60E73"/>
    <w:rsid w:val="00FD4917"/>
    <w:rsid w:val="00FE4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068425"/>
  <w15:chartTrackingRefBased/>
  <w15:docId w15:val="{CD322C62-FFDB-4F67-8573-E4FC3363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E261C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261C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261C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261C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261C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261C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261C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261C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261C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61CA"/>
    <w:rPr>
      <w:rFonts w:asciiTheme="majorHAnsi" w:eastAsiaTheme="majorEastAsia" w:hAnsiTheme="majorHAnsi" w:cstheme="majorBidi"/>
      <w:color w:val="2F5496" w:themeColor="accent1" w:themeShade="BF"/>
      <w:sz w:val="48"/>
      <w:szCs w:val="48"/>
      <w:lang w:val="en-GB"/>
    </w:rPr>
  </w:style>
  <w:style w:type="character" w:customStyle="1" w:styleId="20">
    <w:name w:val="标题 2 字符"/>
    <w:basedOn w:val="a0"/>
    <w:link w:val="2"/>
    <w:uiPriority w:val="9"/>
    <w:semiHidden/>
    <w:rsid w:val="00E261CA"/>
    <w:rPr>
      <w:rFonts w:asciiTheme="majorHAnsi" w:eastAsiaTheme="majorEastAsia" w:hAnsiTheme="majorHAnsi" w:cstheme="majorBidi"/>
      <w:color w:val="2F5496" w:themeColor="accent1" w:themeShade="BF"/>
      <w:sz w:val="40"/>
      <w:szCs w:val="40"/>
      <w:lang w:val="en-GB"/>
    </w:rPr>
  </w:style>
  <w:style w:type="character" w:customStyle="1" w:styleId="30">
    <w:name w:val="标题 3 字符"/>
    <w:basedOn w:val="a0"/>
    <w:link w:val="3"/>
    <w:uiPriority w:val="9"/>
    <w:semiHidden/>
    <w:rsid w:val="00E261CA"/>
    <w:rPr>
      <w:rFonts w:asciiTheme="majorHAnsi" w:eastAsiaTheme="majorEastAsia" w:hAnsiTheme="majorHAnsi" w:cstheme="majorBidi"/>
      <w:color w:val="2F5496" w:themeColor="accent1" w:themeShade="BF"/>
      <w:sz w:val="32"/>
      <w:szCs w:val="32"/>
      <w:lang w:val="en-GB"/>
    </w:rPr>
  </w:style>
  <w:style w:type="character" w:customStyle="1" w:styleId="40">
    <w:name w:val="标题 4 字符"/>
    <w:basedOn w:val="a0"/>
    <w:link w:val="4"/>
    <w:uiPriority w:val="9"/>
    <w:semiHidden/>
    <w:rsid w:val="00E261CA"/>
    <w:rPr>
      <w:rFonts w:cstheme="majorBidi"/>
      <w:color w:val="2F5496" w:themeColor="accent1" w:themeShade="BF"/>
      <w:sz w:val="28"/>
      <w:szCs w:val="28"/>
      <w:lang w:val="en-GB"/>
    </w:rPr>
  </w:style>
  <w:style w:type="character" w:customStyle="1" w:styleId="50">
    <w:name w:val="标题 5 字符"/>
    <w:basedOn w:val="a0"/>
    <w:link w:val="5"/>
    <w:uiPriority w:val="9"/>
    <w:semiHidden/>
    <w:rsid w:val="00E261CA"/>
    <w:rPr>
      <w:rFonts w:cstheme="majorBidi"/>
      <w:color w:val="2F5496" w:themeColor="accent1" w:themeShade="BF"/>
      <w:sz w:val="24"/>
      <w:szCs w:val="24"/>
      <w:lang w:val="en-GB"/>
    </w:rPr>
  </w:style>
  <w:style w:type="character" w:customStyle="1" w:styleId="60">
    <w:name w:val="标题 6 字符"/>
    <w:basedOn w:val="a0"/>
    <w:link w:val="6"/>
    <w:uiPriority w:val="9"/>
    <w:semiHidden/>
    <w:rsid w:val="00E261CA"/>
    <w:rPr>
      <w:rFonts w:cstheme="majorBidi"/>
      <w:b/>
      <w:bCs/>
      <w:color w:val="2F5496" w:themeColor="accent1" w:themeShade="BF"/>
      <w:lang w:val="en-GB"/>
    </w:rPr>
  </w:style>
  <w:style w:type="character" w:customStyle="1" w:styleId="70">
    <w:name w:val="标题 7 字符"/>
    <w:basedOn w:val="a0"/>
    <w:link w:val="7"/>
    <w:uiPriority w:val="9"/>
    <w:semiHidden/>
    <w:rsid w:val="00E261CA"/>
    <w:rPr>
      <w:rFonts w:cstheme="majorBidi"/>
      <w:b/>
      <w:bCs/>
      <w:color w:val="595959" w:themeColor="text1" w:themeTint="A6"/>
      <w:lang w:val="en-GB"/>
    </w:rPr>
  </w:style>
  <w:style w:type="character" w:customStyle="1" w:styleId="80">
    <w:name w:val="标题 8 字符"/>
    <w:basedOn w:val="a0"/>
    <w:link w:val="8"/>
    <w:uiPriority w:val="9"/>
    <w:semiHidden/>
    <w:rsid w:val="00E261CA"/>
    <w:rPr>
      <w:rFonts w:cstheme="majorBidi"/>
      <w:color w:val="595959" w:themeColor="text1" w:themeTint="A6"/>
      <w:lang w:val="en-GB"/>
    </w:rPr>
  </w:style>
  <w:style w:type="character" w:customStyle="1" w:styleId="90">
    <w:name w:val="标题 9 字符"/>
    <w:basedOn w:val="a0"/>
    <w:link w:val="9"/>
    <w:uiPriority w:val="9"/>
    <w:semiHidden/>
    <w:rsid w:val="00E261CA"/>
    <w:rPr>
      <w:rFonts w:eastAsiaTheme="majorEastAsia" w:cstheme="majorBidi"/>
      <w:color w:val="595959" w:themeColor="text1" w:themeTint="A6"/>
      <w:lang w:val="en-GB"/>
    </w:rPr>
  </w:style>
  <w:style w:type="paragraph" w:styleId="a3">
    <w:name w:val="Title"/>
    <w:basedOn w:val="a"/>
    <w:next w:val="a"/>
    <w:link w:val="a4"/>
    <w:uiPriority w:val="10"/>
    <w:qFormat/>
    <w:rsid w:val="00E261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261CA"/>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E261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261CA"/>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E261CA"/>
    <w:pPr>
      <w:spacing w:before="160" w:after="160"/>
      <w:jc w:val="center"/>
    </w:pPr>
    <w:rPr>
      <w:i/>
      <w:iCs/>
      <w:color w:val="404040" w:themeColor="text1" w:themeTint="BF"/>
    </w:rPr>
  </w:style>
  <w:style w:type="character" w:customStyle="1" w:styleId="a8">
    <w:name w:val="引用 字符"/>
    <w:basedOn w:val="a0"/>
    <w:link w:val="a7"/>
    <w:uiPriority w:val="29"/>
    <w:rsid w:val="00E261CA"/>
    <w:rPr>
      <w:i/>
      <w:iCs/>
      <w:color w:val="404040" w:themeColor="text1" w:themeTint="BF"/>
      <w:lang w:val="en-GB"/>
    </w:rPr>
  </w:style>
  <w:style w:type="paragraph" w:styleId="a9">
    <w:name w:val="List Paragraph"/>
    <w:basedOn w:val="a"/>
    <w:uiPriority w:val="34"/>
    <w:qFormat/>
    <w:rsid w:val="00E261CA"/>
    <w:pPr>
      <w:ind w:left="720"/>
      <w:contextualSpacing/>
    </w:pPr>
  </w:style>
  <w:style w:type="character" w:styleId="aa">
    <w:name w:val="Intense Emphasis"/>
    <w:basedOn w:val="a0"/>
    <w:uiPriority w:val="21"/>
    <w:qFormat/>
    <w:rsid w:val="00E261CA"/>
    <w:rPr>
      <w:i/>
      <w:iCs/>
      <w:color w:val="2F5496" w:themeColor="accent1" w:themeShade="BF"/>
    </w:rPr>
  </w:style>
  <w:style w:type="paragraph" w:styleId="ab">
    <w:name w:val="Intense Quote"/>
    <w:basedOn w:val="a"/>
    <w:next w:val="a"/>
    <w:link w:val="ac"/>
    <w:uiPriority w:val="30"/>
    <w:qFormat/>
    <w:rsid w:val="00E26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261CA"/>
    <w:rPr>
      <w:i/>
      <w:iCs/>
      <w:color w:val="2F5496" w:themeColor="accent1" w:themeShade="BF"/>
      <w:lang w:val="en-GB"/>
    </w:rPr>
  </w:style>
  <w:style w:type="character" w:styleId="ad">
    <w:name w:val="Intense Reference"/>
    <w:basedOn w:val="a0"/>
    <w:uiPriority w:val="32"/>
    <w:qFormat/>
    <w:rsid w:val="00E261CA"/>
    <w:rPr>
      <w:b/>
      <w:bCs/>
      <w:smallCaps/>
      <w:color w:val="2F5496" w:themeColor="accent1" w:themeShade="BF"/>
      <w:spacing w:val="5"/>
    </w:rPr>
  </w:style>
  <w:style w:type="paragraph" w:styleId="ae">
    <w:name w:val="header"/>
    <w:basedOn w:val="a"/>
    <w:link w:val="af"/>
    <w:uiPriority w:val="99"/>
    <w:unhideWhenUsed/>
    <w:rsid w:val="00FE48BA"/>
    <w:pPr>
      <w:tabs>
        <w:tab w:val="center" w:pos="4153"/>
        <w:tab w:val="right" w:pos="8306"/>
      </w:tabs>
      <w:snapToGrid w:val="0"/>
      <w:jc w:val="center"/>
    </w:pPr>
    <w:rPr>
      <w:sz w:val="18"/>
      <w:szCs w:val="18"/>
    </w:rPr>
  </w:style>
  <w:style w:type="character" w:customStyle="1" w:styleId="af">
    <w:name w:val="页眉 字符"/>
    <w:basedOn w:val="a0"/>
    <w:link w:val="ae"/>
    <w:uiPriority w:val="99"/>
    <w:rsid w:val="00FE48BA"/>
    <w:rPr>
      <w:sz w:val="18"/>
      <w:szCs w:val="18"/>
      <w:lang w:val="en-GB"/>
    </w:rPr>
  </w:style>
  <w:style w:type="paragraph" w:styleId="af0">
    <w:name w:val="footer"/>
    <w:basedOn w:val="a"/>
    <w:link w:val="af1"/>
    <w:uiPriority w:val="99"/>
    <w:unhideWhenUsed/>
    <w:rsid w:val="00FE48BA"/>
    <w:pPr>
      <w:tabs>
        <w:tab w:val="center" w:pos="4153"/>
        <w:tab w:val="right" w:pos="8306"/>
      </w:tabs>
      <w:snapToGrid w:val="0"/>
      <w:jc w:val="left"/>
    </w:pPr>
    <w:rPr>
      <w:sz w:val="18"/>
      <w:szCs w:val="18"/>
    </w:rPr>
  </w:style>
  <w:style w:type="character" w:customStyle="1" w:styleId="af1">
    <w:name w:val="页脚 字符"/>
    <w:basedOn w:val="a0"/>
    <w:link w:val="af0"/>
    <w:uiPriority w:val="99"/>
    <w:rsid w:val="00FE48BA"/>
    <w:rPr>
      <w:sz w:val="18"/>
      <w:szCs w:val="18"/>
      <w:lang w:val="en-GB"/>
    </w:rPr>
  </w:style>
  <w:style w:type="character" w:customStyle="1" w:styleId="af2">
    <w:name w:val="博正文 字符"/>
    <w:link w:val="af3"/>
    <w:qFormat/>
    <w:rsid w:val="00FE48BA"/>
    <w:rPr>
      <w:rFonts w:ascii="Times New Roman" w:hAnsi="Times New Roman"/>
    </w:rPr>
  </w:style>
  <w:style w:type="paragraph" w:customStyle="1" w:styleId="af3">
    <w:name w:val="博正文"/>
    <w:basedOn w:val="a"/>
    <w:link w:val="af2"/>
    <w:qFormat/>
    <w:rsid w:val="00FE48BA"/>
    <w:pPr>
      <w:widowControl/>
      <w:topLinePunct/>
      <w:snapToGrid w:val="0"/>
      <w:spacing w:line="360" w:lineRule="auto"/>
      <w:ind w:firstLineChars="200" w:firstLine="200"/>
      <w:jc w:val="left"/>
    </w:pPr>
    <w:rPr>
      <w:rFonts w:ascii="Times New Roman" w:hAnsi="Times New Roman"/>
      <w:lang w:val="en-US"/>
    </w:rPr>
  </w:style>
  <w:style w:type="table" w:styleId="af4">
    <w:name w:val="Table Grid"/>
    <w:basedOn w:val="a1"/>
    <w:uiPriority w:val="39"/>
    <w:rsid w:val="00451A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670</TotalTime>
  <Pages>2</Pages>
  <Words>253</Words>
  <Characters>1299</Characters>
  <Application>Microsoft Office Word</Application>
  <DocSecurity>0</DocSecurity>
  <Lines>24</Lines>
  <Paragraphs>12</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25</cp:revision>
  <dcterms:created xsi:type="dcterms:W3CDTF">2025-09-09T03:10:00Z</dcterms:created>
  <dcterms:modified xsi:type="dcterms:W3CDTF">2025-10-30T07:18:00Z</dcterms:modified>
</cp:coreProperties>
</file>