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E1FB95">
      <w:pPr>
        <w:keepNext w:val="0"/>
        <w:keepLines w:val="0"/>
        <w:pageBreakBefore w:val="0"/>
        <w:widowControl/>
        <w:kinsoku/>
        <w:overflowPunct/>
        <w:topLinePunct w:val="0"/>
        <w:autoSpaceDE/>
        <w:autoSpaceDN/>
        <w:bidi w:val="0"/>
        <w:adjustRightInd/>
        <w:spacing w:after="240" w:line="480" w:lineRule="auto"/>
        <w:jc w:val="center"/>
        <w:textAlignment w:val="auto"/>
        <w:rPr>
          <w:i w:val="0"/>
          <w:iCs w:val="0"/>
          <w:sz w:val="22"/>
          <w:szCs w:val="22"/>
        </w:rPr>
      </w:pPr>
      <w:r>
        <w:rPr>
          <w:rFonts w:hint="eastAsia" w:ascii="Times New Roman" w:hAnsi="Times New Roman"/>
          <w:b/>
          <w:i w:val="0"/>
          <w:iCs w:val="0"/>
          <w:sz w:val="22"/>
          <w:szCs w:val="22"/>
        </w:rPr>
        <w:t>Additional file</w:t>
      </w:r>
      <w:r>
        <w:rPr>
          <w:rFonts w:ascii="Times New Roman" w:hAnsi="Times New Roman"/>
          <w:b/>
          <w:i w:val="0"/>
          <w:iCs w:val="0"/>
          <w:sz w:val="22"/>
          <w:szCs w:val="22"/>
        </w:rPr>
        <w:t xml:space="preserve"> 3</w:t>
      </w:r>
    </w:p>
    <w:p w14:paraId="5D30EE40">
      <w:pPr>
        <w:keepNext w:val="0"/>
        <w:keepLines w:val="0"/>
        <w:pageBreakBefore w:val="0"/>
        <w:widowControl/>
        <w:kinsoku/>
        <w:overflowPunct/>
        <w:topLinePunct w:val="0"/>
        <w:autoSpaceDE/>
        <w:autoSpaceDN/>
        <w:bidi w:val="0"/>
        <w:adjustRightInd/>
        <w:spacing w:after="120" w:line="480" w:lineRule="auto"/>
        <w:jc w:val="center"/>
        <w:textAlignment w:val="auto"/>
        <w:rPr>
          <w:i w:val="0"/>
          <w:iCs w:val="0"/>
          <w:sz w:val="22"/>
          <w:szCs w:val="22"/>
        </w:rPr>
      </w:pPr>
      <w:r>
        <w:rPr>
          <w:rFonts w:ascii="Times New Roman" w:hAnsi="Times New Roman"/>
          <w:b/>
          <w:i w:val="0"/>
          <w:iCs w:val="0"/>
          <w:sz w:val="22"/>
          <w:szCs w:val="22"/>
        </w:rPr>
        <w:t>Non-linear Data Sensitivity Analysis: Performance of Selected Models Under Covert Non-linear Decompensation with High Physiological Noise and Missing Data</w:t>
      </w:r>
    </w:p>
    <w:p w14:paraId="5D3388DD">
      <w:pPr>
        <w:keepNext w:val="0"/>
        <w:keepLines w:val="0"/>
        <w:pageBreakBefore w:val="0"/>
        <w:widowControl/>
        <w:kinsoku/>
        <w:overflowPunct/>
        <w:topLinePunct w:val="0"/>
        <w:autoSpaceDE/>
        <w:autoSpaceDN/>
        <w:bidi w:val="0"/>
        <w:adjustRightInd/>
        <w:spacing w:after="360" w:line="480" w:lineRule="auto"/>
        <w:jc w:val="center"/>
        <w:textAlignment w:val="auto"/>
        <w:rPr>
          <w:i w:val="0"/>
          <w:iCs w:val="0"/>
          <w:sz w:val="22"/>
          <w:szCs w:val="22"/>
        </w:rPr>
      </w:pPr>
      <w:r>
        <w:rPr>
          <w:rFonts w:ascii="Times New Roman" w:hAnsi="Times New Roman"/>
          <w:i w:val="0"/>
          <w:iCs w:val="0"/>
          <w:sz w:val="22"/>
          <w:szCs w:val="22"/>
        </w:rPr>
        <w:t>Manuscript: Real-time prediction of trauma-induced coagulopathy using an inverted transformer (Trauma-Former): a methodological feasibility and simulation study based on the ADEMP framework</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4"/>
      </w:tblGrid>
      <w:tr w14:paraId="05047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4" w:type="dxa"/>
            <w:shd w:val="clear" w:color="auto" w:fill="FFF2CC"/>
          </w:tcPr>
          <w:p w14:paraId="3E00B4C9">
            <w:pPr>
              <w:keepNext w:val="0"/>
              <w:keepLines w:val="0"/>
              <w:pageBreakBefore w:val="0"/>
              <w:widowControl/>
              <w:kinsoku/>
              <w:overflowPunct/>
              <w:topLinePunct w:val="0"/>
              <w:autoSpaceDE/>
              <w:autoSpaceDN/>
              <w:bidi w:val="0"/>
              <w:adjustRightInd/>
              <w:spacing w:after="0" w:line="480" w:lineRule="auto"/>
              <w:textAlignment w:val="auto"/>
              <w:rPr>
                <w:sz w:val="22"/>
                <w:szCs w:val="22"/>
              </w:rPr>
            </w:pPr>
          </w:p>
          <w:p w14:paraId="49E62454">
            <w:pPr>
              <w:keepNext w:val="0"/>
              <w:keepLines w:val="0"/>
              <w:pageBreakBefore w:val="0"/>
              <w:widowControl/>
              <w:kinsoku/>
              <w:overflowPunct/>
              <w:topLinePunct w:val="0"/>
              <w:autoSpaceDE/>
              <w:autoSpaceDN/>
              <w:bidi w:val="0"/>
              <w:adjustRightInd/>
              <w:spacing w:before="80" w:after="80" w:line="480" w:lineRule="auto"/>
              <w:textAlignment w:val="auto"/>
              <w:rPr>
                <w:sz w:val="22"/>
                <w:szCs w:val="22"/>
              </w:rPr>
            </w:pPr>
            <w:r>
              <w:rPr>
                <w:rFonts w:ascii="Times New Roman" w:hAnsi="Times New Roman"/>
                <w:b/>
                <w:sz w:val="22"/>
                <w:szCs w:val="22"/>
              </w:rPr>
              <w:t>⚠ IMPORTANT CAVEATS – This is a post-hoc, exploratory sensitivity experiment:</w:t>
            </w:r>
          </w:p>
          <w:p w14:paraId="2DAC8A09">
            <w:pPr>
              <w:keepNext w:val="0"/>
              <w:keepLines w:val="0"/>
              <w:pageBreakBefore w:val="0"/>
              <w:widowControl/>
              <w:kinsoku/>
              <w:overflowPunct/>
              <w:topLinePunct w:val="0"/>
              <w:autoSpaceDE/>
              <w:autoSpaceDN/>
              <w:bidi w:val="0"/>
              <w:adjustRightInd/>
              <w:spacing w:before="40" w:after="40" w:line="480" w:lineRule="auto"/>
              <w:ind w:left="283"/>
              <w:textAlignment w:val="auto"/>
              <w:rPr>
                <w:sz w:val="22"/>
                <w:szCs w:val="22"/>
              </w:rPr>
            </w:pPr>
            <w:r>
              <w:rPr>
                <w:rFonts w:ascii="Times New Roman" w:hAnsi="Times New Roman"/>
                <w:sz w:val="22"/>
                <w:szCs w:val="22"/>
              </w:rPr>
              <w:t>1. Not pre-registered – This experiment was not part of the primary analysis plan and was conducted specifically to address a reviewer concern regarding the simplicity of the linear generative model. Results should be interpreted as preliminary and indicative, not as definitive evidence.</w:t>
            </w:r>
          </w:p>
          <w:p w14:paraId="62838DAF">
            <w:pPr>
              <w:keepNext w:val="0"/>
              <w:keepLines w:val="0"/>
              <w:pageBreakBefore w:val="0"/>
              <w:widowControl/>
              <w:kinsoku/>
              <w:overflowPunct/>
              <w:topLinePunct w:val="0"/>
              <w:autoSpaceDE/>
              <w:autoSpaceDN/>
              <w:bidi w:val="0"/>
              <w:adjustRightInd/>
              <w:spacing w:before="40" w:after="40" w:line="480" w:lineRule="auto"/>
              <w:ind w:left="283"/>
              <w:textAlignment w:val="auto"/>
              <w:rPr>
                <w:sz w:val="22"/>
                <w:szCs w:val="22"/>
              </w:rPr>
            </w:pPr>
            <w:r>
              <w:rPr>
                <w:rFonts w:ascii="Times New Roman" w:hAnsi="Times New Roman"/>
                <w:sz w:val="22"/>
                <w:szCs w:val="22"/>
              </w:rPr>
              <w:t>2. Non-calibrated parameters – The non-linear generative model parameters (power-law exponent, randomised onset, amplified noise) were not derived from clinical data or mechanistic models of coagulation physiology. The actual non-linear dynamics of TIC in real patients may differ substantially.</w:t>
            </w:r>
          </w:p>
          <w:p w14:paraId="1FE2518B">
            <w:pPr>
              <w:keepNext w:val="0"/>
              <w:keepLines w:val="0"/>
              <w:pageBreakBefore w:val="0"/>
              <w:widowControl/>
              <w:kinsoku/>
              <w:overflowPunct/>
              <w:topLinePunct w:val="0"/>
              <w:autoSpaceDE/>
              <w:autoSpaceDN/>
              <w:bidi w:val="0"/>
              <w:adjustRightInd/>
              <w:spacing w:before="40" w:after="40" w:line="480" w:lineRule="auto"/>
              <w:ind w:left="283"/>
              <w:textAlignment w:val="auto"/>
              <w:rPr>
                <w:sz w:val="22"/>
                <w:szCs w:val="22"/>
              </w:rPr>
            </w:pPr>
            <w:r>
              <w:rPr>
                <w:rFonts w:ascii="Times New Roman" w:hAnsi="Times New Roman"/>
                <w:sz w:val="22"/>
                <w:szCs w:val="22"/>
              </w:rPr>
              <w:t>3. Methodological confounding – This experiment simultaneously changed three independent factors relative to the primary analysis: (i) physiological dynamics (linear OU → power-law with randomised onset), (ii) missing data imputation (masking → cubic spline interpolation), and (iii) validation protocol (5-fold cross-validation → single 80/20 split). Consequently, the observed performance degradation cannot be uniquely attributed to non-linear dynamics alone.</w:t>
            </w:r>
          </w:p>
          <w:p w14:paraId="28697638">
            <w:pPr>
              <w:keepNext w:val="0"/>
              <w:keepLines w:val="0"/>
              <w:pageBreakBefore w:val="0"/>
              <w:widowControl/>
              <w:kinsoku/>
              <w:overflowPunct/>
              <w:topLinePunct w:val="0"/>
              <w:autoSpaceDE/>
              <w:autoSpaceDN/>
              <w:bidi w:val="0"/>
              <w:adjustRightInd/>
              <w:spacing w:after="80" w:line="480" w:lineRule="auto"/>
              <w:textAlignment w:val="auto"/>
              <w:rPr>
                <w:sz w:val="22"/>
                <w:szCs w:val="22"/>
              </w:rPr>
            </w:pPr>
          </w:p>
        </w:tc>
      </w:tr>
    </w:tbl>
    <w:p w14:paraId="62344032">
      <w:pPr>
        <w:keepNext w:val="0"/>
        <w:keepLines w:val="0"/>
        <w:pageBreakBefore w:val="0"/>
        <w:widowControl/>
        <w:kinsoku/>
        <w:overflowPunct/>
        <w:topLinePunct w:val="0"/>
        <w:autoSpaceDE/>
        <w:autoSpaceDN/>
        <w:bidi w:val="0"/>
        <w:adjustRightInd/>
        <w:spacing w:line="480" w:lineRule="auto"/>
        <w:textAlignment w:val="auto"/>
        <w:rPr>
          <w:sz w:val="22"/>
          <w:szCs w:val="22"/>
        </w:rPr>
      </w:pPr>
    </w:p>
    <w:p w14:paraId="2B2983F7">
      <w:pPr>
        <w:keepNext w:val="0"/>
        <w:keepLines w:val="0"/>
        <w:pageBreakBefore w:val="0"/>
        <w:widowControl/>
        <w:kinsoku/>
        <w:overflowPunct/>
        <w:topLinePunct w:val="0"/>
        <w:autoSpaceDE/>
        <w:autoSpaceDN/>
        <w:bidi w:val="0"/>
        <w:adjustRightInd/>
        <w:spacing w:before="0" w:after="120" w:line="480" w:lineRule="auto"/>
        <w:jc w:val="both"/>
        <w:textAlignment w:val="auto"/>
        <w:rPr>
          <w:i w:val="0"/>
          <w:iCs/>
          <w:sz w:val="22"/>
          <w:szCs w:val="22"/>
        </w:rPr>
      </w:pPr>
      <w:r>
        <w:rPr>
          <w:rFonts w:ascii="Times New Roman" w:hAnsi="Times New Roman"/>
          <w:b w:val="0"/>
          <w:i w:val="0"/>
          <w:iCs/>
          <w:sz w:val="22"/>
          <w:szCs w:val="22"/>
        </w:rPr>
        <w:t>Readers are strongly cautioned against directly comparing these results with the primary analysis results.</w:t>
      </w:r>
    </w:p>
    <w:p w14:paraId="19C4C0E1">
      <w:pPr>
        <w:keepNext w:val="0"/>
        <w:keepLines w:val="0"/>
        <w:pageBreakBefore w:val="0"/>
        <w:widowControl/>
        <w:kinsoku/>
        <w:overflowPunct/>
        <w:topLinePunct w:val="0"/>
        <w:autoSpaceDE/>
        <w:autoSpaceDN/>
        <w:bidi w:val="0"/>
        <w:adjustRightInd/>
        <w:spacing w:before="240" w:after="120" w:line="480" w:lineRule="auto"/>
        <w:jc w:val="left"/>
        <w:textAlignment w:val="auto"/>
        <w:rPr>
          <w:sz w:val="22"/>
          <w:szCs w:val="22"/>
        </w:rPr>
      </w:pPr>
      <w:r>
        <w:rPr>
          <w:rFonts w:ascii="Times New Roman" w:hAnsi="Times New Roman"/>
          <w:b/>
          <w:i w:val="0"/>
          <w:sz w:val="22"/>
          <w:szCs w:val="22"/>
        </w:rPr>
        <w:t>S3.1 Motivation and Scope</w:t>
      </w:r>
    </w:p>
    <w:p w14:paraId="5753AC57">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The primary analysis in the main manuscript employs a linear Ornstein–Uhlenbeck (OU) drift model to generate TIC-positive physiological trajectories (Additional file 1). As acknowledged in the main manuscript (Section 4.4), this linear drift model makes the TIC detection task substantially simpler than real-world clinical scenarios, as evidenced by the LR-trend baseline achieving an AUROC of 0.917 using only simple slope features.</w:t>
      </w:r>
    </w:p>
    <w:p w14:paraId="25A429AE">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To provide a preliminary, in-silico indication of how model performance might change when faced with more biologically complex dynamics, we conducted this exploratory sensitivity experiment. This experiment is explicitly not a clinical validation and does not modify the conclusions of the main study.</w:t>
      </w:r>
    </w:p>
    <w:p w14:paraId="49A8001F">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The purpose of this supplementary experiment is threefold:</w:t>
      </w:r>
    </w:p>
    <w:p w14:paraId="30B81714">
      <w:pPr>
        <w:pStyle w:val="16"/>
        <w:keepNext w:val="0"/>
        <w:keepLines w:val="0"/>
        <w:pageBreakBefore w:val="0"/>
        <w:widowControl/>
        <w:kinsoku/>
        <w:overflowPunct/>
        <w:topLinePunct w:val="0"/>
        <w:autoSpaceDE/>
        <w:autoSpaceDN/>
        <w:bidi w:val="0"/>
        <w:adjustRightInd/>
        <w:spacing w:after="80" w:line="480" w:lineRule="auto"/>
        <w:textAlignment w:val="auto"/>
        <w:rPr>
          <w:sz w:val="22"/>
          <w:szCs w:val="22"/>
        </w:rPr>
      </w:pPr>
      <w:r>
        <w:rPr>
          <w:rFonts w:ascii="Times New Roman" w:hAnsi="Times New Roman"/>
          <w:sz w:val="22"/>
          <w:szCs w:val="22"/>
        </w:rPr>
        <w:t>To provide a preliminary quantitative estimate of the performance reductions expected when moving beyond linear conditions, thereby contextualising the upper-bound nature of the primary analysis results.</w:t>
      </w:r>
    </w:p>
    <w:p w14:paraId="3ADAC50F">
      <w:pPr>
        <w:pStyle w:val="16"/>
        <w:keepNext w:val="0"/>
        <w:keepLines w:val="0"/>
        <w:pageBreakBefore w:val="0"/>
        <w:widowControl/>
        <w:kinsoku/>
        <w:overflowPunct/>
        <w:topLinePunct w:val="0"/>
        <w:autoSpaceDE/>
        <w:autoSpaceDN/>
        <w:bidi w:val="0"/>
        <w:adjustRightInd/>
        <w:spacing w:after="80" w:line="480" w:lineRule="auto"/>
        <w:textAlignment w:val="auto"/>
        <w:rPr>
          <w:sz w:val="22"/>
          <w:szCs w:val="22"/>
        </w:rPr>
      </w:pPr>
      <w:r>
        <w:rPr>
          <w:rFonts w:ascii="Times New Roman" w:hAnsi="Times New Roman"/>
          <w:sz w:val="22"/>
          <w:szCs w:val="22"/>
        </w:rPr>
        <w:t>To demonstrate that the simplicity of the linear generative model—rather than the sophistication of the Transformer architecture—is the primary driver of the high AUROCs reported in the main analysis.</w:t>
      </w:r>
    </w:p>
    <w:p w14:paraId="4F570966">
      <w:pPr>
        <w:pStyle w:val="16"/>
        <w:keepNext w:val="0"/>
        <w:keepLines w:val="0"/>
        <w:pageBreakBefore w:val="0"/>
        <w:widowControl/>
        <w:kinsoku/>
        <w:overflowPunct/>
        <w:topLinePunct w:val="0"/>
        <w:autoSpaceDE/>
        <w:autoSpaceDN/>
        <w:bidi w:val="0"/>
        <w:adjustRightInd/>
        <w:spacing w:after="80" w:line="480" w:lineRule="auto"/>
        <w:textAlignment w:val="auto"/>
        <w:rPr>
          <w:sz w:val="22"/>
          <w:szCs w:val="22"/>
        </w:rPr>
      </w:pPr>
      <w:r>
        <w:rPr>
          <w:rFonts w:ascii="Times New Roman" w:hAnsi="Times New Roman"/>
          <w:sz w:val="22"/>
          <w:szCs w:val="22"/>
        </w:rPr>
        <w:t>To serve as a reference for future work that will employ clinically validated non-linear generative models.</w:t>
      </w:r>
    </w:p>
    <w:p w14:paraId="70562120">
      <w:pPr>
        <w:keepNext w:val="0"/>
        <w:keepLines w:val="0"/>
        <w:pageBreakBefore w:val="0"/>
        <w:widowControl/>
        <w:kinsoku/>
        <w:overflowPunct/>
        <w:topLinePunct w:val="0"/>
        <w:autoSpaceDE/>
        <w:autoSpaceDN/>
        <w:bidi w:val="0"/>
        <w:adjustRightInd/>
        <w:spacing w:before="240" w:after="120" w:line="480" w:lineRule="auto"/>
        <w:jc w:val="left"/>
        <w:textAlignment w:val="auto"/>
        <w:rPr>
          <w:sz w:val="22"/>
          <w:szCs w:val="22"/>
        </w:rPr>
      </w:pPr>
      <w:r>
        <w:rPr>
          <w:rFonts w:ascii="Times New Roman" w:hAnsi="Times New Roman"/>
          <w:b/>
          <w:i w:val="0"/>
          <w:sz w:val="22"/>
          <w:szCs w:val="22"/>
        </w:rPr>
        <w:t>S3.2 Non-linear Physiological Data Generator</w:t>
      </w:r>
    </w:p>
    <w:p w14:paraId="38C2009D">
      <w:pPr>
        <w:keepNext w:val="0"/>
        <w:keepLines w:val="0"/>
        <w:pageBreakBefore w:val="0"/>
        <w:widowControl/>
        <w:kinsoku/>
        <w:overflowPunct/>
        <w:topLinePunct w:val="0"/>
        <w:autoSpaceDE/>
        <w:autoSpaceDN/>
        <w:bidi w:val="0"/>
        <w:adjustRightInd/>
        <w:spacing w:before="240" w:after="120" w:line="480" w:lineRule="auto"/>
        <w:jc w:val="left"/>
        <w:textAlignment w:val="auto"/>
        <w:rPr>
          <w:sz w:val="22"/>
          <w:szCs w:val="22"/>
        </w:rPr>
      </w:pPr>
      <w:r>
        <w:rPr>
          <w:rFonts w:ascii="Times New Roman" w:hAnsi="Times New Roman"/>
          <w:b/>
          <w:i w:val="0"/>
          <w:sz w:val="22"/>
          <w:szCs w:val="22"/>
        </w:rPr>
        <w:t>S3.2.1 Design Principles</w:t>
      </w:r>
    </w:p>
    <w:p w14:paraId="55B618EB">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The non-linear generator retains the OU framework but replaces the fixed linear drift with a covert, power-law decompensation pattern superimposed on elevated baseline physiological noise. Three design principles guided the parameterisation:</w:t>
      </w:r>
    </w:p>
    <w:p w14:paraId="24E6223E">
      <w:pPr>
        <w:pStyle w:val="16"/>
        <w:keepNext w:val="0"/>
        <w:keepLines w:val="0"/>
        <w:pageBreakBefore w:val="0"/>
        <w:widowControl/>
        <w:kinsoku/>
        <w:overflowPunct/>
        <w:topLinePunct w:val="0"/>
        <w:autoSpaceDE/>
        <w:autoSpaceDN/>
        <w:bidi w:val="0"/>
        <w:adjustRightInd/>
        <w:spacing w:after="80" w:line="480" w:lineRule="auto"/>
        <w:textAlignment w:val="auto"/>
        <w:rPr>
          <w:sz w:val="22"/>
          <w:szCs w:val="22"/>
        </w:rPr>
      </w:pPr>
      <w:r>
        <w:rPr>
          <w:rFonts w:ascii="Times New Roman" w:hAnsi="Times New Roman"/>
          <w:b/>
          <w:sz w:val="22"/>
          <w:szCs w:val="22"/>
        </w:rPr>
        <w:t xml:space="preserve">Covertness: </w:t>
      </w:r>
      <w:r>
        <w:rPr>
          <w:rFonts w:ascii="Times New Roman" w:hAnsi="Times New Roman"/>
          <w:sz w:val="22"/>
          <w:szCs w:val="22"/>
        </w:rPr>
        <w:t>The physiological signal must be difficult to distinguish from baseline noise at early time points, reflecting the clinical challenge of identifying TIC during the compensated phase. This was achieved by deliberately attenuating the drift amplitude relative to the noise level.</w:t>
      </w:r>
    </w:p>
    <w:p w14:paraId="2E2EE8AD">
      <w:pPr>
        <w:pStyle w:val="16"/>
        <w:keepNext w:val="0"/>
        <w:keepLines w:val="0"/>
        <w:pageBreakBefore w:val="0"/>
        <w:widowControl/>
        <w:kinsoku/>
        <w:overflowPunct/>
        <w:topLinePunct w:val="0"/>
        <w:autoSpaceDE/>
        <w:autoSpaceDN/>
        <w:bidi w:val="0"/>
        <w:adjustRightInd/>
        <w:spacing w:after="80" w:line="480" w:lineRule="auto"/>
        <w:textAlignment w:val="auto"/>
        <w:rPr>
          <w:sz w:val="22"/>
          <w:szCs w:val="22"/>
        </w:rPr>
      </w:pPr>
      <w:r>
        <w:rPr>
          <w:rFonts w:ascii="Times New Roman" w:hAnsi="Times New Roman"/>
          <w:b/>
          <w:sz w:val="22"/>
          <w:szCs w:val="22"/>
        </w:rPr>
        <w:t xml:space="preserve">Non-linearity: </w:t>
      </w:r>
      <w:r>
        <w:rPr>
          <w:rFonts w:ascii="Times New Roman" w:hAnsi="Times New Roman"/>
          <w:sz w:val="22"/>
          <w:szCs w:val="22"/>
        </w:rPr>
        <w:t>The deterioration pattern follows a power-law curve (exponent &gt; 1) rather than a linear slope, producing late and abrupt-appearing decompensation after a period of apparent stability. The time of decompensation onset is randomised across episodes to prevent the model from exploiting a fixed temporal pattern.</w:t>
      </w:r>
    </w:p>
    <w:p w14:paraId="7CBDC1B9">
      <w:pPr>
        <w:pStyle w:val="16"/>
        <w:keepNext w:val="0"/>
        <w:keepLines w:val="0"/>
        <w:pageBreakBefore w:val="0"/>
        <w:widowControl/>
        <w:kinsoku/>
        <w:overflowPunct/>
        <w:topLinePunct w:val="0"/>
        <w:autoSpaceDE/>
        <w:autoSpaceDN/>
        <w:bidi w:val="0"/>
        <w:adjustRightInd/>
        <w:spacing w:after="80" w:line="480" w:lineRule="auto"/>
        <w:textAlignment w:val="auto"/>
        <w:rPr>
          <w:sz w:val="22"/>
          <w:szCs w:val="22"/>
        </w:rPr>
      </w:pPr>
      <w:r>
        <w:rPr>
          <w:rFonts w:ascii="Times New Roman" w:hAnsi="Times New Roman"/>
          <w:b/>
          <w:sz w:val="22"/>
          <w:szCs w:val="22"/>
        </w:rPr>
        <w:t xml:space="preserve">Increased noise: </w:t>
      </w:r>
      <w:r>
        <w:rPr>
          <w:rFonts w:ascii="Times New Roman" w:hAnsi="Times New Roman"/>
          <w:sz w:val="22"/>
          <w:szCs w:val="22"/>
        </w:rPr>
        <w:t>Baseline physiological noise is amplified (by a factor of approximately 1.2–1.5 relative to the primary analysis) to reflect the greater variability observed in real prehospital measurements.</w:t>
      </w:r>
    </w:p>
    <w:p w14:paraId="529624D7">
      <w:pPr>
        <w:keepNext w:val="0"/>
        <w:keepLines w:val="0"/>
        <w:pageBreakBefore w:val="0"/>
        <w:widowControl/>
        <w:kinsoku/>
        <w:overflowPunct/>
        <w:topLinePunct w:val="0"/>
        <w:autoSpaceDE/>
        <w:autoSpaceDN/>
        <w:bidi w:val="0"/>
        <w:adjustRightInd/>
        <w:spacing w:before="240" w:after="120" w:line="480" w:lineRule="auto"/>
        <w:jc w:val="left"/>
        <w:textAlignment w:val="auto"/>
        <w:rPr>
          <w:sz w:val="22"/>
          <w:szCs w:val="22"/>
        </w:rPr>
      </w:pPr>
      <w:r>
        <w:rPr>
          <w:rFonts w:ascii="Times New Roman" w:hAnsi="Times New Roman"/>
          <w:b/>
          <w:i w:val="0"/>
          <w:sz w:val="22"/>
          <w:szCs w:val="22"/>
        </w:rPr>
        <w:t>S3.2.2 Mathematical Specification</w:t>
      </w:r>
    </w:p>
    <w:p w14:paraId="7847AEEA">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For TIC-positive trajectories in the non-linear generator, the mean function μᵢ(t) is defined as:</w:t>
      </w:r>
    </w:p>
    <w:p w14:paraId="62DC89D2">
      <w:pPr>
        <w:pStyle w:val="3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pacing w:before="0" w:beforeAutospacing="0" w:after="0" w:afterAutospacing="0" w:line="480" w:lineRule="auto"/>
        <w:ind w:left="0" w:right="0" w:firstLine="0"/>
        <w:jc w:val="center"/>
        <w:textAlignment w:val="auto"/>
        <w:rPr>
          <w:rFonts w:hAnsi="Segoe UI Emoji" w:eastAsia="Segoe UI Emoji" w:cs="Segoe UI Emoji"/>
          <w:i w:val="0"/>
          <w:iCs w:val="0"/>
          <w:caps w:val="0"/>
          <w:color w:val="000000"/>
          <w:spacing w:val="0"/>
          <w:sz w:val="22"/>
          <w:szCs w:val="22"/>
        </w:rPr>
      </w:pPr>
      <m:oMathPara>
        <m:oMath>
          <m:sSub>
            <m:sSubPr>
              <m:ctrlPr>
                <w:rPr>
                  <w:rFonts w:hint="default" w:ascii="Cambria Math" w:hAnsi="Cambria Math" w:eastAsia="Segoe UI Emoji"/>
                  <w:sz w:val="22"/>
                  <w:szCs w:val="22"/>
                </w:rPr>
              </m:ctrlPr>
            </m:sSubPr>
            <m:e>
              <m:r>
                <m:rPr/>
                <w:rPr>
                  <w:rFonts w:hint="default" w:ascii="Cambria Math" w:hAnsi="Cambria Math" w:eastAsia="Segoe UI Emoji"/>
                  <w:sz w:val="22"/>
                  <w:szCs w:val="22"/>
                </w:rPr>
                <m:t>μ</m:t>
              </m:r>
              <m:ctrlPr>
                <w:rPr>
                  <w:rFonts w:ascii="Cambria Math" w:hAnsi="Cambria Math" w:eastAsia="Segoe UI Emoji"/>
                  <w:sz w:val="22"/>
                  <w:szCs w:val="22"/>
                </w:rPr>
              </m:ctrlPr>
            </m:e>
            <m:sub>
              <m:r>
                <m:rPr/>
                <w:rPr>
                  <w:rFonts w:hint="default" w:ascii="Cambria Math" w:hAnsi="Cambria Math" w:eastAsia="Segoe UI Emoji"/>
                  <w:sz w:val="22"/>
                  <w:szCs w:val="22"/>
                </w:rPr>
                <m:t>i</m:t>
              </m:r>
              <m:ctrlPr>
                <w:rPr>
                  <w:rFonts w:ascii="Cambria Math" w:hAnsi="Cambria Math" w:eastAsia="Segoe UI Emoji"/>
                  <w:sz w:val="22"/>
                  <w:szCs w:val="22"/>
                </w:rPr>
              </m:ctrlPr>
            </m:sub>
          </m:sSub>
          <m:r>
            <m:rPr/>
            <w:rPr>
              <w:rFonts w:hint="default" w:ascii="Cambria Math" w:hAnsi="Cambria Math" w:eastAsia="Segoe UI Emoji"/>
              <w:sz w:val="22"/>
              <w:szCs w:val="22"/>
            </w:rPr>
            <m:t>(t)=</m:t>
          </m:r>
          <m:sSub>
            <m:sSubPr>
              <m:ctrlPr>
                <w:rPr>
                  <w:rFonts w:hint="default" w:ascii="Cambria Math" w:hAnsi="Cambria Math" w:eastAsia="Segoe UI Emoji"/>
                  <w:sz w:val="22"/>
                  <w:szCs w:val="22"/>
                </w:rPr>
              </m:ctrlPr>
            </m:sSubPr>
            <m:e>
              <m:r>
                <m:rPr/>
                <w:rPr>
                  <w:rFonts w:hint="default" w:ascii="Cambria Math" w:hAnsi="Cambria Math" w:eastAsia="Segoe UI Emoji"/>
                  <w:sz w:val="22"/>
                  <w:szCs w:val="22"/>
                </w:rPr>
                <m:t>μ</m:t>
              </m:r>
              <m:ctrlPr>
                <w:rPr>
                  <w:rFonts w:ascii="Cambria Math" w:hAnsi="Cambria Math" w:eastAsia="Segoe UI Emoji"/>
                  <w:sz w:val="22"/>
                  <w:szCs w:val="22"/>
                </w:rPr>
              </m:ctrlPr>
            </m:e>
            <m:sub>
              <m:r>
                <m:rPr/>
                <w:rPr>
                  <w:rFonts w:hint="default" w:ascii="Cambria Math" w:hAnsi="Cambria Math" w:eastAsia="Segoe UI Emoji"/>
                  <w:sz w:val="22"/>
                  <w:szCs w:val="22"/>
                </w:rPr>
                <m:t>i,base</m:t>
              </m:r>
              <m:r>
                <m:rPr/>
                <w:rPr>
                  <w:rFonts w:hint="default" w:ascii="Cambria Math" w:hAnsi="Cambria Math"/>
                  <w:sz w:val="22"/>
                  <w:szCs w:val="22"/>
                  <w:lang w:val="en-US" w:eastAsia="zh-CN"/>
                </w:rPr>
                <m:t>line</m:t>
              </m:r>
              <m:ctrlPr>
                <w:rPr>
                  <w:rFonts w:ascii="Cambria Math" w:hAnsi="Cambria Math" w:eastAsia="Segoe UI Emoji"/>
                  <w:sz w:val="22"/>
                  <w:szCs w:val="22"/>
                </w:rPr>
              </m:ctrlPr>
            </m:sub>
          </m:sSub>
          <m:r>
            <m:rPr/>
            <w:rPr>
              <w:rFonts w:hint="default" w:ascii="Cambria Math" w:hAnsi="Cambria Math" w:eastAsia="Segoe UI Emoji"/>
              <w:sz w:val="22"/>
              <w:szCs w:val="22"/>
            </w:rPr>
            <m:t>+</m:t>
          </m:r>
          <m:sSub>
            <m:sSubPr>
              <m:ctrlPr>
                <w:rPr>
                  <w:rFonts w:hint="default" w:ascii="Cambria Math" w:hAnsi="Cambria Math" w:eastAsia="Segoe UI Emoji"/>
                  <w:sz w:val="22"/>
                  <w:szCs w:val="22"/>
                </w:rPr>
              </m:ctrlPr>
            </m:sSubPr>
            <m:e>
              <m:r>
                <m:rPr/>
                <w:rPr>
                  <w:rFonts w:hint="default" w:ascii="Cambria Math" w:hAnsi="Cambria Math" w:eastAsia="Segoe UI Emoji"/>
                  <w:sz w:val="22"/>
                  <w:szCs w:val="22"/>
                </w:rPr>
                <m:t>β</m:t>
              </m:r>
              <m:ctrlPr>
                <w:rPr>
                  <w:rFonts w:ascii="Cambria Math" w:hAnsi="Cambria Math" w:eastAsia="Segoe UI Emoji"/>
                  <w:sz w:val="22"/>
                  <w:szCs w:val="22"/>
                </w:rPr>
              </m:ctrlPr>
            </m:e>
            <m:sub>
              <m:r>
                <m:rPr/>
                <w:rPr>
                  <w:rFonts w:hint="default" w:ascii="Cambria Math" w:hAnsi="Cambria Math" w:eastAsia="Segoe UI Emoji"/>
                  <w:sz w:val="22"/>
                  <w:szCs w:val="22"/>
                </w:rPr>
                <m:t>i</m:t>
              </m:r>
              <m:ctrlPr>
                <w:rPr>
                  <w:rFonts w:ascii="Cambria Math" w:hAnsi="Cambria Math" w:eastAsia="Segoe UI Emoji"/>
                  <w:sz w:val="22"/>
                  <w:szCs w:val="22"/>
                </w:rPr>
              </m:ctrlPr>
            </m:sub>
          </m:sSub>
          <m:sSup>
            <m:sSupPr>
              <m:ctrlPr>
                <w:rPr>
                  <w:rFonts w:hint="default" w:ascii="Cambria Math" w:hAnsi="Cambria Math" w:eastAsia="Segoe UI Emoji"/>
                  <w:sz w:val="22"/>
                  <w:szCs w:val="22"/>
                </w:rPr>
              </m:ctrlPr>
            </m:sSupPr>
            <m:e>
              <m:d>
                <m:dPr>
                  <m:begChr m:val="["/>
                  <m:endChr m:val="]"/>
                  <m:ctrlPr>
                    <w:rPr>
                      <w:rFonts w:hint="default" w:ascii="Cambria Math" w:hAnsi="Cambria Math" w:eastAsia="Segoe UI Emoji"/>
                      <w:sz w:val="22"/>
                      <w:szCs w:val="22"/>
                    </w:rPr>
                  </m:ctrlPr>
                </m:dPr>
                <m:e>
                  <m:func>
                    <m:funcPr>
                      <m:ctrlPr>
                        <w:rPr>
                          <w:rFonts w:hint="default" w:ascii="Cambria Math" w:hAnsi="Cambria Math" w:eastAsia="Segoe UI Emoji"/>
                          <w:sz w:val="22"/>
                          <w:szCs w:val="22"/>
                        </w:rPr>
                      </m:ctrlPr>
                    </m:funcPr>
                    <m:fName>
                      <m:limLow>
                        <m:limLowPr>
                          <m:ctrlPr>
                            <w:rPr>
                              <w:rFonts w:hint="default" w:ascii="Cambria Math" w:hAnsi="Cambria Math" w:eastAsia="Segoe UI Emoji"/>
                              <w:sz w:val="22"/>
                              <w:szCs w:val="22"/>
                            </w:rPr>
                          </m:ctrlPr>
                        </m:limLowPr>
                        <m:e>
                          <m:r>
                            <m:rPr>
                              <m:sty m:val="p"/>
                            </m:rPr>
                            <w:rPr>
                              <w:rFonts w:hint="default" w:ascii="Cambria Math" w:hAnsi="Cambria Math" w:eastAsia="Segoe UI Emoji"/>
                              <w:sz w:val="22"/>
                              <w:szCs w:val="22"/>
                            </w:rPr>
                            <m:t>max</m:t>
                          </m:r>
                          <m:ctrlPr>
                            <w:rPr>
                              <w:rFonts w:ascii="Cambria Math" w:hAnsi="Cambria Math" w:eastAsia="Segoe UI Emoji"/>
                              <w:sz w:val="22"/>
                              <w:szCs w:val="22"/>
                            </w:rPr>
                          </m:ctrlPr>
                        </m:e>
                        <m:lim>
                          <m:ctrlPr>
                            <w:rPr>
                              <w:rFonts w:ascii="Cambria Math" w:hAnsi="Cambria Math" w:eastAsia="Segoe UI Emoji"/>
                              <w:sz w:val="22"/>
                              <w:szCs w:val="22"/>
                            </w:rPr>
                          </m:ctrlPr>
                        </m:lim>
                      </m:limLow>
                      <m:ctrlPr>
                        <w:rPr>
                          <w:rFonts w:hint="default" w:ascii="Cambria Math" w:hAnsi="Cambria Math" w:eastAsia="Segoe UI Emoji"/>
                          <w:sz w:val="22"/>
                          <w:szCs w:val="22"/>
                        </w:rPr>
                      </m:ctrlPr>
                    </m:fName>
                    <m:e>
                      <m:d>
                        <m:dPr>
                          <m:ctrlPr>
                            <w:rPr>
                              <w:rFonts w:hint="default" w:ascii="Cambria Math" w:hAnsi="Cambria Math" w:eastAsia="Segoe UI Emoji"/>
                              <w:sz w:val="22"/>
                              <w:szCs w:val="22"/>
                            </w:rPr>
                          </m:ctrlPr>
                        </m:dPr>
                        <m:e>
                          <m:f>
                            <m:fPr>
                              <m:ctrlPr>
                                <w:rPr>
                                  <w:rFonts w:hint="default" w:ascii="Cambria Math" w:hAnsi="Cambria Math" w:eastAsia="Segoe UI Emoji"/>
                                  <w:sz w:val="22"/>
                                  <w:szCs w:val="22"/>
                                </w:rPr>
                              </m:ctrlPr>
                            </m:fPr>
                            <m:num>
                              <m:r>
                                <m:rPr/>
                                <w:rPr>
                                  <w:rFonts w:hint="default" w:ascii="Cambria Math" w:hAnsi="Cambria Math" w:eastAsia="Segoe UI Emoji"/>
                                  <w:sz w:val="22"/>
                                  <w:szCs w:val="22"/>
                                </w:rPr>
                                <m:t>t−</m:t>
                              </m:r>
                              <m:sSub>
                                <m:sSubPr>
                                  <m:ctrlPr>
                                    <w:rPr>
                                      <w:rFonts w:hint="default" w:ascii="Cambria Math" w:hAnsi="Cambria Math" w:eastAsia="Segoe UI Emoji"/>
                                      <w:sz w:val="22"/>
                                      <w:szCs w:val="22"/>
                                    </w:rPr>
                                  </m:ctrlPr>
                                </m:sSubPr>
                                <m:e>
                                  <m:r>
                                    <m:rPr/>
                                    <w:rPr>
                                      <w:rFonts w:hint="default" w:ascii="Cambria Math" w:hAnsi="Cambria Math" w:eastAsia="Segoe UI Emoji"/>
                                      <w:sz w:val="22"/>
                                      <w:szCs w:val="22"/>
                                    </w:rPr>
                                    <m:t>T</m:t>
                                  </m:r>
                                  <m:ctrlPr>
                                    <w:rPr>
                                      <w:rFonts w:ascii="Cambria Math" w:hAnsi="Cambria Math" w:eastAsia="Segoe UI Emoji"/>
                                      <w:sz w:val="22"/>
                                      <w:szCs w:val="22"/>
                                    </w:rPr>
                                  </m:ctrlPr>
                                </m:e>
                                <m:sub>
                                  <m:r>
                                    <m:rPr/>
                                    <w:rPr>
                                      <w:rFonts w:hint="default" w:ascii="Cambria Math" w:hAnsi="Cambria Math" w:eastAsia="Segoe UI Emoji"/>
                                      <w:sz w:val="22"/>
                                      <w:szCs w:val="22"/>
                                    </w:rPr>
                                    <m:t>decomp</m:t>
                                  </m:r>
                                  <m:ctrlPr>
                                    <w:rPr>
                                      <w:rFonts w:ascii="Cambria Math" w:hAnsi="Cambria Math" w:eastAsia="Segoe UI Emoji"/>
                                      <w:sz w:val="22"/>
                                      <w:szCs w:val="22"/>
                                    </w:rPr>
                                  </m:ctrlPr>
                                </m:sub>
                              </m:sSub>
                              <m:ctrlPr>
                                <w:rPr>
                                  <w:rFonts w:hint="default" w:ascii="Cambria Math" w:hAnsi="Cambria Math" w:eastAsia="Segoe UI Emoji"/>
                                  <w:sz w:val="22"/>
                                  <w:szCs w:val="22"/>
                                </w:rPr>
                              </m:ctrlPr>
                            </m:num>
                            <m:den>
                              <m:r>
                                <m:rPr/>
                                <w:rPr>
                                  <w:rFonts w:hint="default" w:ascii="Cambria Math" w:hAnsi="Cambria Math" w:eastAsia="Segoe UI Emoji"/>
                                  <w:sz w:val="22"/>
                                  <w:szCs w:val="22"/>
                                </w:rPr>
                                <m:t>60</m:t>
                              </m:r>
                              <m:ctrlPr>
                                <w:rPr>
                                  <w:rFonts w:hint="default" w:ascii="Cambria Math" w:hAnsi="Cambria Math" w:eastAsia="Segoe UI Emoji"/>
                                  <w:sz w:val="22"/>
                                  <w:szCs w:val="22"/>
                                </w:rPr>
                              </m:ctrlPr>
                            </m:den>
                          </m:f>
                          <m:r>
                            <m:rPr/>
                            <w:rPr>
                              <w:rFonts w:hint="default" w:ascii="Cambria Math" w:hAnsi="Cambria Math" w:eastAsia="Segoe UI Emoji"/>
                              <w:sz w:val="22"/>
                              <w:szCs w:val="22"/>
                            </w:rPr>
                            <m:t>,0</m:t>
                          </m:r>
                          <m:ctrlPr>
                            <w:rPr>
                              <w:rFonts w:hint="default" w:ascii="Cambria Math" w:hAnsi="Cambria Math" w:eastAsia="Segoe UI Emoji"/>
                              <w:sz w:val="22"/>
                              <w:szCs w:val="22"/>
                            </w:rPr>
                          </m:ctrlPr>
                        </m:e>
                      </m:d>
                      <m:ctrlPr>
                        <w:rPr>
                          <w:rFonts w:hint="default" w:ascii="Cambria Math" w:hAnsi="Cambria Math" w:eastAsia="Segoe UI Emoji"/>
                          <w:sz w:val="22"/>
                          <w:szCs w:val="22"/>
                        </w:rPr>
                      </m:ctrlPr>
                    </m:e>
                  </m:func>
                  <m:ctrlPr>
                    <w:rPr>
                      <w:rFonts w:hint="default" w:ascii="Cambria Math" w:hAnsi="Cambria Math" w:eastAsia="Segoe UI Emoji"/>
                      <w:sz w:val="22"/>
                      <w:szCs w:val="22"/>
                    </w:rPr>
                  </m:ctrlPr>
                </m:e>
              </m:d>
              <m:ctrlPr>
                <w:rPr>
                  <w:rFonts w:hint="default" w:ascii="Cambria Math" w:hAnsi="Cambria Math" w:eastAsia="Segoe UI Emoji"/>
                  <w:sz w:val="22"/>
                  <w:szCs w:val="22"/>
                </w:rPr>
              </m:ctrlPr>
            </m:e>
            <m:sup>
              <m:r>
                <m:rPr/>
                <w:rPr>
                  <w:rFonts w:hint="default" w:ascii="Cambria Math" w:hAnsi="Cambria Math" w:eastAsia="Segoe UI Emoji"/>
                  <w:sz w:val="22"/>
                  <w:szCs w:val="22"/>
                </w:rPr>
                <m:t>γ</m:t>
              </m:r>
              <m:ctrlPr>
                <w:rPr>
                  <w:rFonts w:hint="default" w:ascii="Cambria Math" w:hAnsi="Cambria Math" w:eastAsia="Segoe UI Emoji"/>
                  <w:sz w:val="22"/>
                  <w:szCs w:val="22"/>
                </w:rPr>
              </m:ctrlPr>
            </m:sup>
          </m:sSup>
          <m:r>
            <m:rPr/>
            <w:rPr>
              <w:rFonts w:hint="default" w:ascii="Cambria Math" w:hAnsi="Cambria Math" w:eastAsia="Segoe UI Emoji"/>
              <w:sz w:val="22"/>
              <w:szCs w:val="22"/>
            </w:rPr>
            <m:t>,</m:t>
          </m:r>
        </m:oMath>
      </m:oMathPara>
    </w:p>
    <w:p w14:paraId="6A8A92A1">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where:</w:t>
      </w:r>
    </w:p>
    <w:p w14:paraId="7B5DE2C0">
      <w:pPr>
        <w:pStyle w:val="16"/>
        <w:keepNext w:val="0"/>
        <w:keepLines w:val="0"/>
        <w:pageBreakBefore w:val="0"/>
        <w:widowControl/>
        <w:kinsoku/>
        <w:overflowPunct/>
        <w:topLinePunct w:val="0"/>
        <w:autoSpaceDE/>
        <w:autoSpaceDN/>
        <w:bidi w:val="0"/>
        <w:adjustRightInd/>
        <w:spacing w:line="480" w:lineRule="auto"/>
        <w:ind w:left="360" w:leftChars="0" w:hanging="360" w:firstLineChars="0"/>
        <w:textAlignment w:val="auto"/>
      </w:pPr>
      <m:oMath>
        <m:sSub>
          <m:sSubPr>
            <m:ctrlPr>
              <w:rPr>
                <w:rFonts w:hint="default" w:ascii="Cambria Math" w:hAnsi="Cambria Math"/>
              </w:rPr>
            </m:ctrlPr>
          </m:sSubPr>
          <m:e>
            <m:r>
              <m:rPr>
                <m:sty m:val="p"/>
              </m:rPr>
              <w:rPr>
                <w:rFonts w:hint="default" w:ascii="Times New Roman" w:hAnsi="Times New Roman"/>
              </w:rPr>
              <m:t>β</m:t>
            </m:r>
            <m:ctrlPr>
              <w:rPr>
                <w:rFonts w:ascii="Cambria Math" w:hAnsi="Cambria Math"/>
              </w:rPr>
            </m:ctrlPr>
          </m:e>
          <m:sub>
            <m:r>
              <m:rPr>
                <m:sty m:val="p"/>
              </m:rPr>
              <w:rPr>
                <w:rFonts w:hint="default" w:ascii="Times New Roman" w:hAnsi="Times New Roman"/>
              </w:rPr>
              <m:t>HR</m:t>
            </m:r>
            <m:ctrlPr>
              <w:rPr>
                <w:rFonts w:ascii="Cambria Math" w:hAnsi="Cambria Math"/>
              </w:rPr>
            </m:ctrlPr>
          </m:sub>
        </m:sSub>
        <m:r>
          <m:rPr>
            <m:sty m:val="p"/>
          </m:rPr>
          <w:rPr>
            <w:rFonts w:hint="default" w:ascii="Times New Roman" w:hAnsi="Times New Roman"/>
          </w:rPr>
          <m:t>=+0.001(bpm⋅</m:t>
        </m:r>
        <m:sSup>
          <m:sSupPr>
            <m:ctrlPr>
              <w:rPr>
                <w:rFonts w:hint="default" w:ascii="Cambria Math" w:hAnsi="Cambria Math"/>
              </w:rPr>
            </m:ctrlPr>
          </m:sSupPr>
          <m:e>
            <m:r>
              <m:rPr>
                <m:sty m:val="p"/>
              </m:rPr>
              <w:rPr>
                <w:rFonts w:hint="default" w:ascii="Times New Roman" w:hAnsi="Times New Roman"/>
              </w:rPr>
              <m:t>s</m:t>
            </m:r>
            <m:ctrlPr>
              <w:rPr>
                <w:rFonts w:ascii="Cambria Math" w:hAnsi="Cambria Math"/>
              </w:rPr>
            </m:ctrlPr>
          </m:e>
          <m:sup>
            <m:r>
              <m:rPr>
                <m:sty m:val="p"/>
              </m:rPr>
              <w:rPr>
                <w:rFonts w:hint="default" w:ascii="Times New Roman" w:hAnsi="Times New Roman"/>
              </w:rPr>
              <m:t>−γ</m:t>
            </m:r>
            <m:ctrlPr>
              <w:rPr>
                <w:rFonts w:ascii="Cambria Math" w:hAnsi="Cambria Math"/>
              </w:rPr>
            </m:ctrlPr>
          </m:sup>
        </m:sSup>
        <m:r>
          <m:rPr>
            <m:sty m:val="p"/>
          </m:rPr>
          <w:rPr>
            <w:rFonts w:hint="default" w:ascii="Times New Roman" w:hAnsi="Times New Roman"/>
          </w:rPr>
          <m:t>),</m:t>
        </m:r>
        <m:sSub>
          <m:sSubPr>
            <m:ctrlPr>
              <w:rPr>
                <w:rFonts w:hint="default" w:ascii="Cambria Math" w:hAnsi="Cambria Math"/>
              </w:rPr>
            </m:ctrlPr>
          </m:sSubPr>
          <m:e>
            <m:r>
              <m:rPr>
                <m:sty m:val="p"/>
              </m:rPr>
              <w:rPr>
                <w:rFonts w:hint="default" w:ascii="Times New Roman" w:hAnsi="Times New Roman"/>
              </w:rPr>
              <m:t>β</m:t>
            </m:r>
            <m:ctrlPr>
              <w:rPr>
                <w:rFonts w:ascii="Cambria Math" w:hAnsi="Cambria Math"/>
              </w:rPr>
            </m:ctrlPr>
          </m:e>
          <m:sub>
            <m:r>
              <m:rPr>
                <m:sty m:val="p"/>
              </m:rPr>
              <w:rPr>
                <w:rFonts w:hint="default" w:ascii="Times New Roman" w:hAnsi="Times New Roman"/>
              </w:rPr>
              <m:t>SBP</m:t>
            </m:r>
            <m:ctrlPr>
              <w:rPr>
                <w:rFonts w:ascii="Cambria Math" w:hAnsi="Cambria Math"/>
              </w:rPr>
            </m:ctrlPr>
          </m:sub>
        </m:sSub>
        <m:r>
          <m:rPr>
            <m:sty m:val="p"/>
          </m:rPr>
          <w:rPr>
            <w:rFonts w:hint="default" w:ascii="Times New Roman" w:hAnsi="Times New Roman"/>
          </w:rPr>
          <m:t>=−0.0015(mmHg⋅</m:t>
        </m:r>
        <m:sSup>
          <m:sSupPr>
            <m:ctrlPr>
              <w:rPr>
                <w:rFonts w:hint="default" w:ascii="Cambria Math" w:hAnsi="Cambria Math"/>
              </w:rPr>
            </m:ctrlPr>
          </m:sSupPr>
          <m:e>
            <m:r>
              <m:rPr>
                <m:sty m:val="p"/>
              </m:rPr>
              <w:rPr>
                <w:rFonts w:hint="default" w:ascii="Times New Roman" w:hAnsi="Times New Roman"/>
              </w:rPr>
              <m:t>s</m:t>
            </m:r>
            <m:ctrlPr>
              <w:rPr>
                <w:rFonts w:ascii="Cambria Math" w:hAnsi="Cambria Math"/>
              </w:rPr>
            </m:ctrlPr>
          </m:e>
          <m:sup>
            <m:r>
              <m:rPr>
                <m:sty m:val="p"/>
              </m:rPr>
              <w:rPr>
                <w:rFonts w:hint="default" w:ascii="Times New Roman" w:hAnsi="Times New Roman"/>
              </w:rPr>
              <m:t>−γ</m:t>
            </m:r>
            <m:ctrlPr>
              <w:rPr>
                <w:rFonts w:ascii="Cambria Math" w:hAnsi="Cambria Math"/>
              </w:rPr>
            </m:ctrlPr>
          </m:sup>
        </m:sSup>
        <m:r>
          <m:rPr>
            <m:sty m:val="p"/>
          </m:rPr>
          <w:rPr>
            <w:rFonts w:hint="default" w:ascii="Times New Roman" w:hAnsi="Times New Roman"/>
          </w:rPr>
          <m:t>)</m:t>
        </m:r>
      </m:oMath>
      <w:r>
        <w:t>: attenuated drift amplitudes relative to the linear model</w:t>
      </w:r>
    </w:p>
    <w:p w14:paraId="43A6C739">
      <w:pPr>
        <w:pStyle w:val="16"/>
        <w:keepNext w:val="0"/>
        <w:keepLines w:val="0"/>
        <w:pageBreakBefore w:val="0"/>
        <w:widowControl/>
        <w:kinsoku/>
        <w:overflowPunct/>
        <w:topLinePunct w:val="0"/>
        <w:autoSpaceDE/>
        <w:autoSpaceDN/>
        <w:bidi w:val="0"/>
        <w:adjustRightInd/>
        <w:spacing w:line="480" w:lineRule="auto"/>
        <w:ind w:left="360" w:leftChars="0" w:hanging="360" w:firstLineChars="0"/>
        <w:textAlignment w:val="auto"/>
      </w:pPr>
      <m:oMath>
        <m:r>
          <m:rPr>
            <m:sty m:val="p"/>
          </m:rPr>
          <w:rPr>
            <w:rFonts w:hint="default" w:ascii="Times New Roman" w:hAnsi="Times New Roman"/>
          </w:rPr>
          <m:t>γ</m:t>
        </m:r>
      </m:oMath>
      <w:r>
        <w:t xml:space="preserve"> = 1.1 (power-law exponent; slightly superlinear to produce slow initial drift with late acceleration)</w:t>
      </w:r>
    </w:p>
    <w:p w14:paraId="7D37C607">
      <w:pPr>
        <w:pStyle w:val="16"/>
        <w:keepNext w:val="0"/>
        <w:keepLines w:val="0"/>
        <w:pageBreakBefore w:val="0"/>
        <w:widowControl/>
        <w:kinsoku/>
        <w:overflowPunct/>
        <w:topLinePunct w:val="0"/>
        <w:autoSpaceDE/>
        <w:autoSpaceDN/>
        <w:bidi w:val="0"/>
        <w:adjustRightInd/>
        <w:spacing w:line="480" w:lineRule="auto"/>
        <w:ind w:left="360" w:leftChars="0" w:hanging="360" w:firstLineChars="0"/>
        <w:textAlignment w:val="auto"/>
      </w:pPr>
      <m:oMath>
        <m:sSub>
          <m:sSubPr>
            <m:ctrlPr>
              <w:rPr>
                <w:rFonts w:hint="default" w:ascii="Cambria Math" w:hAnsi="Cambria Math"/>
              </w:rPr>
            </m:ctrlPr>
          </m:sSubPr>
          <m:e>
            <m:r>
              <m:rPr>
                <m:sty m:val="p"/>
              </m:rPr>
              <w:rPr>
                <w:rFonts w:hint="default" w:ascii="Times New Roman" w:hAnsi="Times New Roman"/>
              </w:rPr>
              <m:t>T</m:t>
            </m:r>
            <m:ctrlPr>
              <w:rPr>
                <w:rFonts w:ascii="Cambria Math" w:hAnsi="Cambria Math"/>
              </w:rPr>
            </m:ctrlPr>
          </m:e>
          <m:sub>
            <m:r>
              <m:rPr>
                <m:sty m:val="p"/>
              </m:rPr>
              <w:rPr>
                <w:rFonts w:hint="default" w:ascii="Times New Roman" w:hAnsi="Times New Roman"/>
              </w:rPr>
              <m:t>decomp</m:t>
            </m:r>
            <m:ctrlPr>
              <w:rPr>
                <w:rFonts w:ascii="Cambria Math" w:hAnsi="Cambria Math"/>
              </w:rPr>
            </m:ctrlPr>
          </m:sub>
        </m:sSub>
      </m:oMath>
      <w:r>
        <w:t xml:space="preserve"> ∼ Uniform(300, 1200) s: randomised decompensation onset time per episode</w:t>
      </w:r>
    </w:p>
    <w:p w14:paraId="4A792066">
      <w:pPr>
        <w:pStyle w:val="16"/>
        <w:keepNext w:val="0"/>
        <w:keepLines w:val="0"/>
        <w:pageBreakBefore w:val="0"/>
        <w:widowControl/>
        <w:kinsoku/>
        <w:overflowPunct/>
        <w:topLinePunct w:val="0"/>
        <w:autoSpaceDE/>
        <w:autoSpaceDN/>
        <w:bidi w:val="0"/>
        <w:adjustRightInd/>
        <w:spacing w:line="480" w:lineRule="auto"/>
        <w:ind w:left="360" w:leftChars="0" w:hanging="360" w:firstLineChars="0"/>
        <w:textAlignment w:val="auto"/>
      </w:pPr>
      <w:r>
        <w:t xml:space="preserve">DBP is modelled as </w:t>
      </w:r>
      <m:oMath>
        <m:sSub>
          <m:sSubPr>
            <m:ctrlPr>
              <w:rPr>
                <w:rFonts w:hint="default" w:ascii="Cambria Math" w:hAnsi="Cambria Math"/>
              </w:rPr>
            </m:ctrlPr>
          </m:sSubPr>
          <m:e>
            <m:r>
              <m:rPr>
                <m:sty m:val="p"/>
              </m:rPr>
              <w:rPr>
                <w:rFonts w:hint="default" w:ascii="Times New Roman" w:hAnsi="Times New Roman"/>
              </w:rPr>
              <m:t>μ</m:t>
            </m:r>
            <m:ctrlPr>
              <w:rPr>
                <w:rFonts w:ascii="Cambria Math" w:hAnsi="Cambria Math"/>
              </w:rPr>
            </m:ctrlPr>
          </m:e>
          <m:sub>
            <m:r>
              <m:rPr>
                <m:sty m:val="p"/>
              </m:rPr>
              <w:rPr>
                <w:rFonts w:hint="default" w:ascii="Times New Roman" w:hAnsi="Times New Roman"/>
              </w:rPr>
              <m:t>SBP</m:t>
            </m:r>
            <m:ctrlPr>
              <w:rPr>
                <w:rFonts w:ascii="Cambria Math" w:hAnsi="Cambria Math"/>
              </w:rPr>
            </m:ctrlPr>
          </m:sub>
        </m:sSub>
        <m:r>
          <m:rPr>
            <m:sty m:val="p"/>
          </m:rPr>
          <w:rPr>
            <w:rFonts w:hint="default" w:ascii="Times New Roman" w:hAnsi="Times New Roman"/>
          </w:rPr>
          <m:t>(t)</m:t>
        </m:r>
      </m:oMath>
      <w:r>
        <w:t xml:space="preserve"> − </w:t>
      </w:r>
      <w:r>
        <w:rPr>
          <w:rFonts w:hint="eastAsia"/>
          <w:lang w:val="en-US" w:eastAsia="zh-CN"/>
        </w:rPr>
        <w:t>4</w:t>
      </w:r>
      <w:r>
        <w:t>5 mmHg (as in the primary analysis)</w:t>
      </w:r>
    </w:p>
    <w:p w14:paraId="75FB27E0">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The OU reversion coefficients and noise parameters are amplified relative to the primary analysis:</w:t>
      </w:r>
    </w:p>
    <w:p w14:paraId="7C122B86">
      <w:pPr>
        <w:keepNext w:val="0"/>
        <w:keepLines w:val="0"/>
        <w:pageBreakBefore w:val="0"/>
        <w:widowControl/>
        <w:kinsoku/>
        <w:wordWrap/>
        <w:overflowPunct/>
        <w:topLinePunct w:val="0"/>
        <w:autoSpaceDE/>
        <w:autoSpaceDN/>
        <w:bidi w:val="0"/>
        <w:adjustRightInd/>
        <w:spacing w:before="240" w:after="80" w:line="240" w:lineRule="auto"/>
        <w:jc w:val="center"/>
        <w:textAlignment w:val="auto"/>
        <w:rPr>
          <w:b/>
          <w:bCs w:val="0"/>
          <w:i w:val="0"/>
          <w:iCs w:val="0"/>
          <w:sz w:val="22"/>
          <w:szCs w:val="22"/>
        </w:rPr>
      </w:pPr>
      <w:r>
        <w:rPr>
          <w:rFonts w:ascii="Times New Roman" w:hAnsi="Times New Roman"/>
          <w:b/>
          <w:bCs w:val="0"/>
          <w:i w:val="0"/>
          <w:iCs w:val="0"/>
          <w:sz w:val="22"/>
          <w:szCs w:val="22"/>
        </w:rPr>
        <w:t>Table S3.1. Non-linear generator OU parameters (compare with Table S1.1 for the primary analysis).</w:t>
      </w:r>
    </w:p>
    <w:tbl>
      <w:tblPr>
        <w:tblStyle w:val="34"/>
        <w:tblW w:w="9614" w:type="dxa"/>
        <w:jc w:val="center"/>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autofit"/>
        <w:tblCellMar>
          <w:top w:w="0" w:type="dxa"/>
          <w:left w:w="108" w:type="dxa"/>
          <w:bottom w:w="0" w:type="dxa"/>
          <w:right w:w="108" w:type="dxa"/>
        </w:tblCellMar>
      </w:tblPr>
      <w:tblGrid>
        <w:gridCol w:w="993"/>
        <w:gridCol w:w="1578"/>
        <w:gridCol w:w="1160"/>
        <w:gridCol w:w="1624"/>
        <w:gridCol w:w="1664"/>
        <w:gridCol w:w="2595"/>
      </w:tblGrid>
      <w:tr w14:paraId="05D2B531">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000000" w:sz="12" w:space="0"/>
              <w:left w:val="nil"/>
              <w:bottom w:val="nil"/>
              <w:right w:val="nil"/>
              <w:tl2br w:val="nil"/>
            </w:tcBorders>
            <w:shd w:val="clear" w:color="auto" w:fill="FFFFFF"/>
            <w:noWrap w:val="0"/>
            <w:tcMar>
              <w:top w:w="-1" w:type="dxa"/>
              <w:left w:w="-1" w:type="dxa"/>
              <w:bottom w:w="-1" w:type="dxa"/>
              <w:right w:w="-1" w:type="dxa"/>
            </w:tcMar>
            <w:vAlign w:val="center"/>
          </w:tcPr>
          <w:p w14:paraId="682D6599">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bCs w:val="0"/>
                <w:i w:val="0"/>
                <w:iCs w:val="0"/>
                <w:color w:val="000000"/>
                <w:sz w:val="22"/>
                <w:szCs w:val="22"/>
              </w:rPr>
            </w:pPr>
            <w:r>
              <w:rPr>
                <w:rFonts w:ascii="Times New Roman" w:hAnsi="Times New Roman" w:eastAsia="ＭＳ 明朝"/>
                <w:b/>
                <w:bCs w:val="0"/>
                <w:i w:val="0"/>
                <w:iCs w:val="0"/>
                <w:color w:val="000000"/>
                <w:sz w:val="22"/>
                <w:szCs w:val="22"/>
              </w:rPr>
              <w:t>Vital sign</w:t>
            </w:r>
          </w:p>
        </w:tc>
        <w:tc>
          <w:tcPr>
            <w:tcW w:w="0" w:type="auto"/>
            <w:tcBorders>
              <w:top w:val="single" w:color="000000" w:sz="12" w:space="0"/>
              <w:left w:val="nil"/>
              <w:bottom w:val="nil"/>
              <w:right w:val="nil"/>
            </w:tcBorders>
            <w:shd w:val="clear" w:color="auto" w:fill="FFFFFF"/>
            <w:noWrap w:val="0"/>
            <w:tcMar>
              <w:top w:w="-1" w:type="dxa"/>
              <w:left w:w="-1" w:type="dxa"/>
              <w:bottom w:w="-1" w:type="dxa"/>
              <w:right w:w="-1" w:type="dxa"/>
            </w:tcMar>
            <w:vAlign w:val="center"/>
          </w:tcPr>
          <w:p w14:paraId="2C9384A2">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bCs w:val="0"/>
                <w:i w:val="0"/>
                <w:iCs w:val="0"/>
                <w:color w:val="000000"/>
                <w:sz w:val="22"/>
                <w:szCs w:val="22"/>
              </w:rPr>
            </w:pPr>
            <w:r>
              <w:rPr>
                <w:rFonts w:ascii="Times New Roman" w:hAnsi="Times New Roman" w:eastAsia="ＭＳ 明朝"/>
                <w:b/>
                <w:bCs w:val="0"/>
                <w:i w:val="0"/>
                <w:iCs w:val="0"/>
                <w:color w:val="000000"/>
                <w:sz w:val="22"/>
                <w:szCs w:val="22"/>
              </w:rPr>
              <w:t>Reversion rate θᵢ</w:t>
            </w:r>
          </w:p>
        </w:tc>
        <w:tc>
          <w:tcPr>
            <w:tcW w:w="0" w:type="auto"/>
            <w:tcBorders>
              <w:top w:val="single" w:color="000000" w:sz="12" w:space="0"/>
              <w:left w:val="nil"/>
              <w:bottom w:val="nil"/>
              <w:right w:val="nil"/>
            </w:tcBorders>
            <w:shd w:val="clear" w:color="auto" w:fill="FFFFFF"/>
            <w:noWrap w:val="0"/>
            <w:tcMar>
              <w:top w:w="-1" w:type="dxa"/>
              <w:left w:w="-1" w:type="dxa"/>
              <w:bottom w:w="-1" w:type="dxa"/>
              <w:right w:w="-1" w:type="dxa"/>
            </w:tcMar>
            <w:vAlign w:val="center"/>
          </w:tcPr>
          <w:p w14:paraId="1354FFF7">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bCs w:val="0"/>
                <w:i w:val="0"/>
                <w:iCs w:val="0"/>
                <w:color w:val="000000"/>
                <w:sz w:val="22"/>
                <w:szCs w:val="22"/>
              </w:rPr>
            </w:pPr>
            <w:r>
              <w:rPr>
                <w:rFonts w:ascii="Times New Roman" w:hAnsi="Times New Roman" w:eastAsia="ＭＳ 明朝"/>
                <w:b/>
                <w:bCs w:val="0"/>
                <w:i w:val="0"/>
                <w:iCs w:val="0"/>
                <w:color w:val="000000"/>
                <w:sz w:val="22"/>
                <w:szCs w:val="22"/>
              </w:rPr>
              <w:t>Volatility σᵢ</w:t>
            </w:r>
          </w:p>
        </w:tc>
        <w:tc>
          <w:tcPr>
            <w:tcW w:w="0" w:type="auto"/>
            <w:tcBorders>
              <w:top w:val="single" w:color="000000" w:sz="12" w:space="0"/>
              <w:left w:val="nil"/>
              <w:bottom w:val="nil"/>
              <w:right w:val="nil"/>
            </w:tcBorders>
            <w:shd w:val="clear" w:color="auto" w:fill="FFFFFF"/>
            <w:noWrap w:val="0"/>
            <w:tcMar>
              <w:top w:w="-1" w:type="dxa"/>
              <w:left w:w="-1" w:type="dxa"/>
              <w:bottom w:w="-1" w:type="dxa"/>
              <w:right w:w="-1" w:type="dxa"/>
            </w:tcMar>
            <w:vAlign w:val="center"/>
          </w:tcPr>
          <w:p w14:paraId="65BD4B32">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bCs w:val="0"/>
                <w:i w:val="0"/>
                <w:iCs w:val="0"/>
                <w:color w:val="000000"/>
                <w:sz w:val="22"/>
                <w:szCs w:val="22"/>
              </w:rPr>
            </w:pPr>
            <w:r>
              <w:rPr>
                <w:rFonts w:ascii="Times New Roman" w:hAnsi="Times New Roman" w:eastAsia="ＭＳ 明朝"/>
                <w:b/>
                <w:bCs w:val="0"/>
                <w:i w:val="0"/>
                <w:iCs w:val="0"/>
                <w:color w:val="000000"/>
                <w:sz w:val="22"/>
                <w:szCs w:val="22"/>
              </w:rPr>
              <w:t>Noise scale factor</w:t>
            </w:r>
          </w:p>
        </w:tc>
        <w:tc>
          <w:tcPr>
            <w:tcW w:w="0" w:type="auto"/>
            <w:tcBorders>
              <w:top w:val="single" w:color="000000" w:sz="12" w:space="0"/>
              <w:left w:val="nil"/>
              <w:bottom w:val="nil"/>
              <w:right w:val="nil"/>
            </w:tcBorders>
            <w:shd w:val="clear" w:color="auto" w:fill="FFFFFF"/>
            <w:noWrap w:val="0"/>
            <w:tcMar>
              <w:top w:w="-1" w:type="dxa"/>
              <w:left w:w="-1" w:type="dxa"/>
              <w:bottom w:w="-1" w:type="dxa"/>
              <w:right w:w="-1" w:type="dxa"/>
            </w:tcMar>
            <w:vAlign w:val="center"/>
          </w:tcPr>
          <w:p w14:paraId="49AD9A97">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bCs w:val="0"/>
                <w:i w:val="0"/>
                <w:iCs w:val="0"/>
                <w:color w:val="000000"/>
                <w:sz w:val="22"/>
                <w:szCs w:val="22"/>
              </w:rPr>
            </w:pPr>
            <w:r>
              <w:rPr>
                <w:rFonts w:ascii="Times New Roman" w:hAnsi="Times New Roman" w:eastAsia="ＭＳ 明朝"/>
                <w:b/>
                <w:bCs w:val="0"/>
                <w:i w:val="0"/>
                <w:iCs w:val="0"/>
                <w:color w:val="000000"/>
                <w:sz w:val="22"/>
                <w:szCs w:val="22"/>
              </w:rPr>
              <w:t>Drift amplitude βᵢ</w:t>
            </w:r>
          </w:p>
        </w:tc>
        <w:tc>
          <w:tcPr>
            <w:tcW w:w="2595" w:type="dxa"/>
            <w:tcBorders>
              <w:top w:val="single" w:color="000000" w:sz="12" w:space="0"/>
              <w:left w:val="nil"/>
              <w:bottom w:val="nil"/>
              <w:right w:val="nil"/>
            </w:tcBorders>
            <w:shd w:val="clear" w:color="auto" w:fill="FFFFFF"/>
            <w:noWrap w:val="0"/>
            <w:tcMar>
              <w:top w:w="-1" w:type="dxa"/>
              <w:left w:w="-1" w:type="dxa"/>
              <w:bottom w:w="-1" w:type="dxa"/>
              <w:right w:w="-1" w:type="dxa"/>
            </w:tcMar>
            <w:vAlign w:val="center"/>
          </w:tcPr>
          <w:p w14:paraId="36B15805">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bCs w:val="0"/>
                <w:i w:val="0"/>
                <w:iCs w:val="0"/>
                <w:color w:val="000000"/>
                <w:sz w:val="22"/>
                <w:szCs w:val="22"/>
              </w:rPr>
            </w:pPr>
            <w:r>
              <w:rPr>
                <w:rFonts w:ascii="Times New Roman" w:hAnsi="Times New Roman" w:eastAsia="ＭＳ 明朝"/>
                <w:b/>
                <w:bCs w:val="0"/>
                <w:i w:val="0"/>
                <w:iCs w:val="0"/>
                <w:color w:val="000000"/>
                <w:sz w:val="22"/>
                <w:szCs w:val="22"/>
              </w:rPr>
              <w:t>Change vs. primary</w:t>
            </w:r>
          </w:p>
        </w:tc>
      </w:tr>
      <w:tr w14:paraId="3F5E5E23">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049F4E1F">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HR</w:t>
            </w:r>
          </w:p>
        </w:tc>
        <w:tc>
          <w:tcPr>
            <w:tcW w:w="0" w:type="auto"/>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4C75B2C2">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0.05</w:t>
            </w:r>
          </w:p>
        </w:tc>
        <w:tc>
          <w:tcPr>
            <w:tcW w:w="0" w:type="auto"/>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62DD2177">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4.0</w:t>
            </w:r>
          </w:p>
        </w:tc>
        <w:tc>
          <w:tcPr>
            <w:tcW w:w="0" w:type="auto"/>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356F4378">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×1.14</w:t>
            </w:r>
          </w:p>
        </w:tc>
        <w:tc>
          <w:tcPr>
            <w:tcW w:w="0" w:type="auto"/>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0B9A43FA">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+0.001</w:t>
            </w:r>
          </w:p>
        </w:tc>
        <w:tc>
          <w:tcPr>
            <w:tcW w:w="2595" w:type="dxa"/>
            <w:tcBorders>
              <w:top w:val="single" w:color="000000" w:sz="4" w:space="0"/>
              <w:left w:val="nil"/>
              <w:bottom w:val="nil"/>
              <w:right w:val="nil"/>
            </w:tcBorders>
            <w:shd w:val="clear" w:color="auto" w:fill="FFFFFF"/>
            <w:noWrap w:val="0"/>
            <w:tcMar>
              <w:top w:w="-1" w:type="dxa"/>
              <w:left w:w="-1" w:type="dxa"/>
              <w:bottom w:w="-1" w:type="dxa"/>
              <w:right w:w="-1" w:type="dxa"/>
            </w:tcMar>
            <w:vAlign w:val="center"/>
          </w:tcPr>
          <w:p w14:paraId="41477CEB">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Lower θ; higher σ; weaker drift</w:t>
            </w:r>
          </w:p>
        </w:tc>
      </w:tr>
      <w:tr w14:paraId="5001DF68">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F9E4F28">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SBP</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7B8AE44">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0.05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7D90DC76">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5.0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28A4C37F">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×1.11</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83054D4">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−0.0015</w:t>
            </w:r>
          </w:p>
        </w:tc>
        <w:tc>
          <w:tcPr>
            <w:tcW w:w="2595" w:type="dxa"/>
            <w:tcBorders>
              <w:top w:val="nil"/>
              <w:left w:val="nil"/>
              <w:bottom w:val="nil"/>
              <w:right w:val="nil"/>
            </w:tcBorders>
            <w:shd w:val="clear" w:color="auto" w:fill="FFFFFF"/>
            <w:noWrap w:val="0"/>
            <w:tcMar>
              <w:top w:w="-1" w:type="dxa"/>
              <w:left w:w="-1" w:type="dxa"/>
              <w:bottom w:w="-1" w:type="dxa"/>
              <w:right w:w="-1" w:type="dxa"/>
            </w:tcMar>
            <w:vAlign w:val="center"/>
          </w:tcPr>
          <w:p w14:paraId="6F29C5B8">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Lower θ; higher σ; weaker drift</w:t>
            </w:r>
          </w:p>
        </w:tc>
      </w:tr>
      <w:tr w14:paraId="79898559">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D88C75B">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DBP</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C781A8E">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0.05</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633929F9">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3.0</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5468168F">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×1.14</w:t>
            </w:r>
          </w:p>
        </w:tc>
        <w:tc>
          <w:tcPr>
            <w:tcW w:w="0" w:type="auto"/>
            <w:tcBorders>
              <w:top w:val="nil"/>
              <w:left w:val="nil"/>
              <w:bottom w:val="nil"/>
              <w:right w:val="nil"/>
            </w:tcBorders>
            <w:shd w:val="clear" w:color="auto" w:fill="FFFFFF"/>
            <w:noWrap w:val="0"/>
            <w:tcMar>
              <w:top w:w="-1" w:type="dxa"/>
              <w:left w:w="-1" w:type="dxa"/>
              <w:bottom w:w="-1" w:type="dxa"/>
              <w:right w:w="-1" w:type="dxa"/>
            </w:tcMar>
            <w:vAlign w:val="center"/>
          </w:tcPr>
          <w:p w14:paraId="1A4B999B">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Derived</w:t>
            </w:r>
          </w:p>
        </w:tc>
        <w:tc>
          <w:tcPr>
            <w:tcW w:w="2595" w:type="dxa"/>
            <w:tcBorders>
              <w:top w:val="nil"/>
              <w:left w:val="nil"/>
              <w:bottom w:val="nil"/>
              <w:right w:val="nil"/>
            </w:tcBorders>
            <w:shd w:val="clear" w:color="auto" w:fill="FFFFFF"/>
            <w:noWrap w:val="0"/>
            <w:tcMar>
              <w:top w:w="-1" w:type="dxa"/>
              <w:left w:w="-1" w:type="dxa"/>
              <w:bottom w:w="-1" w:type="dxa"/>
              <w:right w:w="-1" w:type="dxa"/>
            </w:tcMar>
            <w:vAlign w:val="center"/>
          </w:tcPr>
          <w:p w14:paraId="3E1DC59A">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Derived from SBP model</w:t>
            </w:r>
          </w:p>
        </w:tc>
      </w:tr>
      <w:tr w14:paraId="61A8FC14">
        <w:tblPrEx>
          <w:tblBorders>
            <w:top w:val="none" w:color="auto" w:sz="4" w:space="0"/>
            <w:left w:val="none" w:color="auto" w:sz="4" w:space="0"/>
            <w:bottom w:val="non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0" w:hRule="atLeast"/>
          <w:jc w:val="center"/>
        </w:trPr>
        <w:tc>
          <w:tcPr>
            <w:tcW w:w="993"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2B0D4DEA">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SpO₂</w:t>
            </w:r>
          </w:p>
        </w:tc>
        <w:tc>
          <w:tcPr>
            <w:tcW w:w="1578"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4F1808AE">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0.10</w:t>
            </w:r>
          </w:p>
        </w:tc>
        <w:tc>
          <w:tcPr>
            <w:tcW w:w="1160"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385144A1">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1.0</w:t>
            </w:r>
          </w:p>
        </w:tc>
        <w:tc>
          <w:tcPr>
            <w:tcW w:w="1624"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7485DA71">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×1.25</w:t>
            </w:r>
          </w:p>
        </w:tc>
        <w:tc>
          <w:tcPr>
            <w:tcW w:w="1664"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3701D7C5">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w:t>
            </w:r>
          </w:p>
        </w:tc>
        <w:tc>
          <w:tcPr>
            <w:tcW w:w="2595" w:type="dxa"/>
            <w:tcBorders>
              <w:top w:val="nil"/>
              <w:left w:val="nil"/>
              <w:bottom w:val="single" w:color="000000" w:sz="12" w:space="0"/>
              <w:right w:val="nil"/>
            </w:tcBorders>
            <w:shd w:val="clear" w:color="auto" w:fill="FFFFFF"/>
            <w:noWrap w:val="0"/>
            <w:tcMar>
              <w:top w:w="-1" w:type="dxa"/>
              <w:left w:w="-1" w:type="dxa"/>
              <w:bottom w:w="-1" w:type="dxa"/>
              <w:right w:w="-1" w:type="dxa"/>
            </w:tcMar>
            <w:vAlign w:val="center"/>
          </w:tcPr>
          <w:p w14:paraId="6C9C8CA5">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Higher noise only</w:t>
            </w:r>
          </w:p>
        </w:tc>
      </w:tr>
    </w:tbl>
    <w:p w14:paraId="3E0776A7">
      <w:pPr>
        <w:keepNext w:val="0"/>
        <w:keepLines w:val="0"/>
        <w:pageBreakBefore w:val="0"/>
        <w:widowControl/>
        <w:kinsoku/>
        <w:wordWrap/>
        <w:overflowPunct/>
        <w:topLinePunct w:val="0"/>
        <w:autoSpaceDE/>
        <w:autoSpaceDN/>
        <w:bidi w:val="0"/>
        <w:adjustRightInd/>
        <w:spacing w:before="40" w:after="200" w:line="240" w:lineRule="auto"/>
        <w:jc w:val="center"/>
        <w:textAlignment w:val="auto"/>
        <w:rPr>
          <w:i w:val="0"/>
          <w:iCs/>
          <w:sz w:val="22"/>
          <w:szCs w:val="22"/>
        </w:rPr>
      </w:pPr>
      <w:r>
        <w:rPr>
          <w:rFonts w:ascii="Times New Roman" w:hAnsi="Times New Roman"/>
          <w:i w:val="0"/>
          <w:iCs/>
          <w:sz w:val="22"/>
          <w:szCs w:val="22"/>
        </w:rPr>
        <w:t>Lower mean-reversion rates (θ) increase the OU process's tendency to wander from its mean, producing more realistic longer-range fluctuations. Higher volatility (σ) increases sample-to-sample variability. These changes are not clinically calibrated and represent a sensitivity scenario only.</w:t>
      </w:r>
    </w:p>
    <w:p w14:paraId="1E3DC416">
      <w:pPr>
        <w:keepNext w:val="0"/>
        <w:keepLines w:val="0"/>
        <w:pageBreakBefore w:val="0"/>
        <w:widowControl/>
        <w:kinsoku/>
        <w:overflowPunct/>
        <w:topLinePunct w:val="0"/>
        <w:autoSpaceDE/>
        <w:autoSpaceDN/>
        <w:bidi w:val="0"/>
        <w:adjustRightInd/>
        <w:spacing w:before="240" w:after="120" w:line="480" w:lineRule="auto"/>
        <w:jc w:val="left"/>
        <w:textAlignment w:val="auto"/>
        <w:rPr>
          <w:sz w:val="22"/>
          <w:szCs w:val="22"/>
        </w:rPr>
      </w:pPr>
      <w:r>
        <w:rPr>
          <w:rFonts w:ascii="Times New Roman" w:hAnsi="Times New Roman"/>
          <w:b/>
          <w:i w:val="0"/>
          <w:sz w:val="22"/>
          <w:szCs w:val="22"/>
        </w:rPr>
        <w:t>S3.3 Missing Data Handling: Spline Interpolation</w:t>
      </w:r>
    </w:p>
    <w:p w14:paraId="291B24FA">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In contrast to the primary analysis (which uses zero-padding with masking for gaps &gt; 5 s), this supplementary experiment employs cubic spline interpolation (scipy.interpolate.CubicSpline, extrapolation via boundary condition ‘not-a-knot’) as the imputation strategy for the 30% MCAR missing data. Missing values were randomly introduced at a rate of 30% across all time steps and all vital signs simultaneously (MCAR). Imputation was performed independently for each vital sign channel and each episode. Boundary values were handled by forward- and backward-filling any remaining NaN values after spline fitting.</w:t>
      </w:r>
    </w:p>
    <w:p w14:paraId="06736B27">
      <w:pPr>
        <w:keepNext w:val="0"/>
        <w:keepLines w:val="0"/>
        <w:pageBreakBefore w:val="0"/>
        <w:widowControl/>
        <w:kinsoku/>
        <w:overflowPunct/>
        <w:topLinePunct w:val="0"/>
        <w:autoSpaceDE/>
        <w:autoSpaceDN/>
        <w:bidi w:val="0"/>
        <w:adjustRightInd/>
        <w:spacing w:after="120" w:line="480" w:lineRule="auto"/>
        <w:ind w:left="283"/>
        <w:textAlignment w:val="auto"/>
        <w:rPr>
          <w:i w:val="0"/>
          <w:iCs w:val="0"/>
          <w:sz w:val="22"/>
          <w:szCs w:val="22"/>
        </w:rPr>
      </w:pPr>
      <w:r>
        <w:rPr>
          <w:rFonts w:ascii="Times New Roman" w:hAnsi="Times New Roman"/>
          <w:b/>
          <w:i w:val="0"/>
          <w:iCs w:val="0"/>
          <w:sz w:val="22"/>
          <w:szCs w:val="22"/>
        </w:rPr>
        <w:t xml:space="preserve">⚠ </w:t>
      </w:r>
      <w:r>
        <w:rPr>
          <w:rFonts w:ascii="Times New Roman" w:hAnsi="Times New Roman"/>
          <w:i w:val="0"/>
          <w:iCs w:val="0"/>
          <w:sz w:val="22"/>
          <w:szCs w:val="22"/>
        </w:rPr>
        <w:t>Cubic spline interpolation may introduce spurious smooth oscillations (Runge’s phenomenon) when applied over long gaps, potentially creating artificial ‘signal’ that aids or confounds model discrimination. This is a known limitation of spline imputation in irregular time series.</w:t>
      </w:r>
    </w:p>
    <w:p w14:paraId="2A9042D5">
      <w:pPr>
        <w:keepNext w:val="0"/>
        <w:keepLines w:val="0"/>
        <w:pageBreakBefore w:val="0"/>
        <w:widowControl/>
        <w:kinsoku/>
        <w:overflowPunct/>
        <w:topLinePunct w:val="0"/>
        <w:autoSpaceDE/>
        <w:autoSpaceDN/>
        <w:bidi w:val="0"/>
        <w:adjustRightInd/>
        <w:spacing w:before="240" w:after="120" w:line="480" w:lineRule="auto"/>
        <w:jc w:val="left"/>
        <w:textAlignment w:val="auto"/>
        <w:rPr>
          <w:sz w:val="22"/>
          <w:szCs w:val="22"/>
        </w:rPr>
      </w:pPr>
      <w:r>
        <w:rPr>
          <w:rFonts w:ascii="Times New Roman" w:hAnsi="Times New Roman"/>
          <w:b/>
          <w:i w:val="0"/>
          <w:sz w:val="22"/>
          <w:szCs w:val="22"/>
        </w:rPr>
        <w:t>S3.4 Experiment Protocol</w:t>
      </w:r>
    </w:p>
    <w:p w14:paraId="04F9DFC3">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This experiment was conducted separately from the primary analysis. A new, independent dataset of 1,000 episodes (500 TIC-positive, 500 control; balanced prevalence) was generated using the non-linear generator described in Section S3.2. No data from the primary analysis development or test cohorts were reused.</w:t>
      </w:r>
    </w:p>
    <w:p w14:paraId="2857188E">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Data splitting: 80% training / 20% validation (random stratified split, random state = 42). Note that this differs from the patient-level 5-fold cross-validation used in the primary analysis.</w:t>
      </w:r>
    </w:p>
    <w:p w14:paraId="1FF82557">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Models evaluated: Trauma-Former (frozen architecture from primary analysis, re-trained from scratch on the non-linear dataset), 1D-CNN, and GRU. The LR-trend baseline was not re-evaluated because its performance is expected to degrade substantially on non-linear data and was already shown to achieve near-Trauma-Former performance on the linear data.</w:t>
      </w:r>
    </w:p>
    <w:p w14:paraId="71A1A9AB">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Training settings: Identical to the primary analysis (AdamW, LR = 1×10⁻⁴, batch size 32, early stopping patience 15 epochs</w:t>
      </w:r>
      <w:r>
        <w:rPr>
          <w:rFonts w:hint="eastAsia" w:ascii="Times New Roman" w:hAnsi="Times New Roman"/>
          <w:b w:val="0"/>
          <w:i w:val="0"/>
          <w:sz w:val="22"/>
          <w:szCs w:val="22"/>
        </w:rPr>
        <w:t>(extended from 10 epochs in the primary analysis to account for increased training instability on the high</w:t>
      </w:r>
      <w:r>
        <w:rPr>
          <w:rFonts w:hint="eastAsia" w:eastAsia="宋体"/>
          <w:b w:val="0"/>
          <w:i w:val="0"/>
          <w:sz w:val="22"/>
          <w:szCs w:val="22"/>
          <w:lang w:val="en-US" w:eastAsia="zh-CN"/>
        </w:rPr>
        <w:t>-</w:t>
      </w:r>
      <w:r>
        <w:rPr>
          <w:rFonts w:hint="eastAsia" w:ascii="Times New Roman" w:hAnsi="Times New Roman"/>
          <w:b w:val="0"/>
          <w:i w:val="0"/>
          <w:sz w:val="22"/>
          <w:szCs w:val="22"/>
        </w:rPr>
        <w:t>noise non</w:t>
      </w:r>
      <w:r>
        <w:rPr>
          <w:rFonts w:hint="eastAsia" w:eastAsia="宋体"/>
          <w:b w:val="0"/>
          <w:i w:val="0"/>
          <w:sz w:val="22"/>
          <w:szCs w:val="22"/>
          <w:lang w:val="en-US" w:eastAsia="zh-CN"/>
        </w:rPr>
        <w:t>-</w:t>
      </w:r>
      <w:r>
        <w:rPr>
          <w:rFonts w:hint="eastAsia" w:ascii="Times New Roman" w:hAnsi="Times New Roman"/>
          <w:b w:val="0"/>
          <w:i w:val="0"/>
          <w:sz w:val="22"/>
          <w:szCs w:val="22"/>
        </w:rPr>
        <w:t>linear dataset)</w:t>
      </w:r>
      <w:r>
        <w:rPr>
          <w:rFonts w:ascii="Times New Roman" w:hAnsi="Times New Roman"/>
          <w:b w:val="0"/>
          <w:i w:val="0"/>
          <w:sz w:val="22"/>
          <w:szCs w:val="22"/>
        </w:rPr>
        <w:t>, maximum 200 epochs). The smaller batch size (32 vs. 64 in the primary analysis) was used to ensure stable gradient estimation with the more complex non-linear signal.</w:t>
      </w:r>
    </w:p>
    <w:p w14:paraId="0BB2F1C7">
      <w:pPr>
        <w:keepNext w:val="0"/>
        <w:keepLines w:val="0"/>
        <w:pageBreakBefore w:val="0"/>
        <w:widowControl/>
        <w:kinsoku/>
        <w:overflowPunct/>
        <w:topLinePunct w:val="0"/>
        <w:autoSpaceDE/>
        <w:autoSpaceDN/>
        <w:bidi w:val="0"/>
        <w:adjustRightInd/>
        <w:spacing w:before="240" w:after="120" w:line="480" w:lineRule="auto"/>
        <w:jc w:val="left"/>
        <w:textAlignment w:val="auto"/>
        <w:rPr>
          <w:sz w:val="22"/>
          <w:szCs w:val="22"/>
        </w:rPr>
      </w:pPr>
      <w:r>
        <w:rPr>
          <w:rFonts w:ascii="Times New Roman" w:hAnsi="Times New Roman"/>
          <w:b/>
          <w:i w:val="0"/>
          <w:sz w:val="22"/>
          <w:szCs w:val="22"/>
        </w:rPr>
        <w:t>S3.5 Results</w:t>
      </w:r>
    </w:p>
    <w:p w14:paraId="44D6B484">
      <w:pPr>
        <w:keepNext w:val="0"/>
        <w:keepLines w:val="0"/>
        <w:pageBreakBefore w:val="0"/>
        <w:widowControl/>
        <w:kinsoku/>
        <w:overflowPunct/>
        <w:topLinePunct w:val="0"/>
        <w:autoSpaceDE/>
        <w:autoSpaceDN/>
        <w:bidi w:val="0"/>
        <w:adjustRightInd/>
        <w:spacing w:before="240" w:after="120" w:line="480" w:lineRule="auto"/>
        <w:jc w:val="left"/>
        <w:textAlignment w:val="auto"/>
        <w:rPr>
          <w:sz w:val="22"/>
          <w:szCs w:val="22"/>
        </w:rPr>
      </w:pPr>
      <w:r>
        <w:rPr>
          <w:rFonts w:ascii="Times New Roman" w:hAnsi="Times New Roman"/>
          <w:b/>
          <w:i w:val="0"/>
          <w:sz w:val="22"/>
          <w:szCs w:val="22"/>
        </w:rPr>
        <w:t>S3.5.1 Summary of Performance</w:t>
      </w:r>
    </w:p>
    <w:p w14:paraId="721185BE">
      <w:pPr>
        <w:keepNext w:val="0"/>
        <w:keepLines w:val="0"/>
        <w:pageBreakBefore w:val="0"/>
        <w:widowControl/>
        <w:kinsoku/>
        <w:wordWrap/>
        <w:overflowPunct/>
        <w:topLinePunct w:val="0"/>
        <w:autoSpaceDE/>
        <w:autoSpaceDN/>
        <w:bidi w:val="0"/>
        <w:adjustRightInd/>
        <w:spacing w:before="240" w:after="80" w:line="240" w:lineRule="auto"/>
        <w:jc w:val="center"/>
        <w:textAlignment w:val="auto"/>
        <w:rPr>
          <w:b/>
          <w:bCs w:val="0"/>
          <w:i w:val="0"/>
          <w:iCs w:val="0"/>
          <w:sz w:val="22"/>
          <w:szCs w:val="22"/>
        </w:rPr>
      </w:pPr>
      <w:r>
        <w:rPr>
          <w:rFonts w:ascii="Times New Roman" w:hAnsi="Times New Roman"/>
          <w:b/>
          <w:bCs w:val="0"/>
          <w:i w:val="0"/>
          <w:iCs w:val="0"/>
          <w:sz w:val="22"/>
          <w:szCs w:val="22"/>
        </w:rPr>
        <w:t>Table S3.2. Model performance on the non-linear stress-test dataset (single 80/20 train-validation split; 30% MCAR missing data with cubic spline imputation). Primary analysis results (linear dataset, 5-fold CV) are shown for reference only.</w:t>
      </w:r>
    </w:p>
    <w:tbl>
      <w:tblPr>
        <w:tblStyle w:val="34"/>
        <w:tblW w:w="9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1"/>
        <w:gridCol w:w="1723"/>
        <w:gridCol w:w="1352"/>
        <w:gridCol w:w="1196"/>
        <w:gridCol w:w="1194"/>
        <w:gridCol w:w="1194"/>
        <w:gridCol w:w="1234"/>
      </w:tblGrid>
      <w:tr w14:paraId="31D78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732" w:type="dxa"/>
            <w:tcBorders>
              <w:top w:val="single" w:color="000000" w:sz="12" w:space="0"/>
              <w:left w:val="nil"/>
              <w:bottom w:val="single" w:color="000000" w:sz="4" w:space="0"/>
              <w:right w:val="nil"/>
              <w:tl2br w:val="nil"/>
            </w:tcBorders>
            <w:shd w:val="clear" w:color="auto" w:fill="FFFFFF"/>
            <w:vAlign w:val="center"/>
          </w:tcPr>
          <w:p w14:paraId="3D95CA2B">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bCs w:val="0"/>
                <w:i w:val="0"/>
                <w:iCs w:val="0"/>
                <w:color w:val="000000"/>
                <w:sz w:val="22"/>
                <w:szCs w:val="22"/>
              </w:rPr>
            </w:pPr>
            <w:r>
              <w:rPr>
                <w:rFonts w:ascii="Times New Roman" w:hAnsi="Times New Roman" w:eastAsia="ＭＳ 明朝"/>
                <w:b/>
                <w:bCs w:val="0"/>
                <w:i w:val="0"/>
                <w:iCs w:val="0"/>
                <w:color w:val="000000"/>
                <w:sz w:val="22"/>
                <w:szCs w:val="22"/>
              </w:rPr>
              <w:t>Model</w:t>
            </w:r>
          </w:p>
        </w:tc>
        <w:tc>
          <w:tcPr>
            <w:tcW w:w="1732" w:type="dxa"/>
            <w:tcBorders>
              <w:top w:val="single" w:color="000000" w:sz="12" w:space="0"/>
              <w:left w:val="nil"/>
              <w:bottom w:val="single" w:color="000000" w:sz="4" w:space="0"/>
              <w:right w:val="nil"/>
            </w:tcBorders>
            <w:shd w:val="clear" w:color="auto" w:fill="FFFFFF"/>
            <w:vAlign w:val="center"/>
          </w:tcPr>
          <w:p w14:paraId="5AA786FE">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hAnsi="Times New Roman" w:eastAsia="ＭＳ 明朝"/>
                <w:b/>
                <w:bCs w:val="0"/>
                <w:i w:val="0"/>
                <w:iCs w:val="0"/>
                <w:color w:val="000000"/>
                <w:sz w:val="22"/>
                <w:szCs w:val="22"/>
              </w:rPr>
            </w:pPr>
            <w:r>
              <w:rPr>
                <w:rFonts w:ascii="Times New Roman" w:hAnsi="Times New Roman" w:eastAsia="ＭＳ 明朝"/>
                <w:b/>
                <w:bCs w:val="0"/>
                <w:i w:val="0"/>
                <w:iCs w:val="0"/>
                <w:color w:val="000000"/>
                <w:sz w:val="22"/>
                <w:szCs w:val="22"/>
              </w:rPr>
              <w:t>AUROC</w:t>
            </w:r>
            <w:r>
              <w:rPr>
                <w:rFonts w:ascii="Times New Roman" w:hAnsi="Times New Roman" w:eastAsia="ＭＳ 明朝"/>
                <w:b/>
                <w:bCs w:val="0"/>
                <w:i w:val="0"/>
                <w:iCs w:val="0"/>
                <w:color w:val="000000"/>
                <w:sz w:val="22"/>
                <w:szCs w:val="22"/>
              </w:rPr>
              <w:br w:type="textWrapping"/>
            </w:r>
          </w:p>
          <w:p w14:paraId="42EB9398">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bCs w:val="0"/>
                <w:i w:val="0"/>
                <w:iCs w:val="0"/>
                <w:color w:val="000000"/>
                <w:sz w:val="22"/>
                <w:szCs w:val="22"/>
              </w:rPr>
            </w:pPr>
            <w:r>
              <w:rPr>
                <w:rFonts w:ascii="Times New Roman" w:hAnsi="Times New Roman" w:eastAsia="ＭＳ 明朝"/>
                <w:b/>
                <w:bCs w:val="0"/>
                <w:i w:val="0"/>
                <w:iCs w:val="0"/>
                <w:color w:val="000000"/>
                <w:sz w:val="22"/>
                <w:szCs w:val="22"/>
              </w:rPr>
              <w:t>(linear, primary)</w:t>
            </w:r>
          </w:p>
        </w:tc>
        <w:tc>
          <w:tcPr>
            <w:tcW w:w="1356" w:type="dxa"/>
            <w:tcBorders>
              <w:top w:val="single" w:color="000000" w:sz="12" w:space="0"/>
              <w:left w:val="nil"/>
              <w:bottom w:val="single" w:color="000000" w:sz="4" w:space="0"/>
              <w:right w:val="nil"/>
            </w:tcBorders>
            <w:shd w:val="clear" w:color="auto" w:fill="FFFFFF"/>
            <w:vAlign w:val="center"/>
          </w:tcPr>
          <w:p w14:paraId="1907371B">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hAnsi="Times New Roman" w:eastAsia="ＭＳ 明朝"/>
                <w:b/>
                <w:bCs w:val="0"/>
                <w:i w:val="0"/>
                <w:iCs w:val="0"/>
                <w:color w:val="000000"/>
                <w:sz w:val="22"/>
                <w:szCs w:val="22"/>
              </w:rPr>
            </w:pPr>
            <w:r>
              <w:rPr>
                <w:rFonts w:ascii="Times New Roman" w:hAnsi="Times New Roman" w:eastAsia="ＭＳ 明朝"/>
                <w:b/>
                <w:bCs w:val="0"/>
                <w:i w:val="0"/>
                <w:iCs w:val="0"/>
                <w:color w:val="000000"/>
                <w:sz w:val="22"/>
                <w:szCs w:val="22"/>
              </w:rPr>
              <w:t>AUROC</w:t>
            </w:r>
            <w:r>
              <w:rPr>
                <w:rFonts w:ascii="Times New Roman" w:hAnsi="Times New Roman" w:eastAsia="ＭＳ 明朝"/>
                <w:b/>
                <w:bCs w:val="0"/>
                <w:i w:val="0"/>
                <w:iCs w:val="0"/>
                <w:color w:val="000000"/>
                <w:sz w:val="22"/>
                <w:szCs w:val="22"/>
              </w:rPr>
              <w:br w:type="textWrapping"/>
            </w:r>
          </w:p>
          <w:p w14:paraId="4CA6D81E">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bCs w:val="0"/>
                <w:i w:val="0"/>
                <w:iCs w:val="0"/>
                <w:color w:val="000000"/>
                <w:sz w:val="22"/>
                <w:szCs w:val="22"/>
              </w:rPr>
            </w:pPr>
            <w:r>
              <w:rPr>
                <w:rFonts w:ascii="Times New Roman" w:hAnsi="Times New Roman" w:eastAsia="ＭＳ 明朝"/>
                <w:b/>
                <w:bCs w:val="0"/>
                <w:i w:val="0"/>
                <w:iCs w:val="0"/>
                <w:color w:val="000000"/>
                <w:sz w:val="22"/>
                <w:szCs w:val="22"/>
              </w:rPr>
              <w:t>(non-linear)</w:t>
            </w:r>
          </w:p>
        </w:tc>
        <w:tc>
          <w:tcPr>
            <w:tcW w:w="1198" w:type="dxa"/>
            <w:tcBorders>
              <w:top w:val="single" w:color="000000" w:sz="12" w:space="0"/>
              <w:left w:val="nil"/>
              <w:bottom w:val="single" w:color="000000" w:sz="4" w:space="0"/>
              <w:right w:val="nil"/>
            </w:tcBorders>
            <w:shd w:val="clear" w:color="auto" w:fill="FFFFFF"/>
            <w:vAlign w:val="center"/>
          </w:tcPr>
          <w:p w14:paraId="32931C5D">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bCs w:val="0"/>
                <w:i w:val="0"/>
                <w:iCs w:val="0"/>
                <w:color w:val="000000"/>
                <w:sz w:val="22"/>
                <w:szCs w:val="22"/>
              </w:rPr>
            </w:pPr>
            <w:r>
              <w:rPr>
                <w:rFonts w:ascii="Times New Roman" w:hAnsi="Times New Roman" w:eastAsia="ＭＳ 明朝"/>
                <w:b/>
                <w:bCs w:val="0"/>
                <w:i w:val="0"/>
                <w:iCs w:val="0"/>
                <w:color w:val="000000"/>
                <w:sz w:val="22"/>
                <w:szCs w:val="22"/>
              </w:rPr>
              <w:t>Δ AUROC</w:t>
            </w:r>
          </w:p>
        </w:tc>
        <w:tc>
          <w:tcPr>
            <w:tcW w:w="1179" w:type="dxa"/>
            <w:tcBorders>
              <w:top w:val="single" w:color="000000" w:sz="12" w:space="0"/>
              <w:left w:val="nil"/>
              <w:bottom w:val="single" w:color="000000" w:sz="4" w:space="0"/>
              <w:right w:val="nil"/>
            </w:tcBorders>
            <w:shd w:val="clear" w:color="auto" w:fill="FFFFFF"/>
            <w:vAlign w:val="center"/>
          </w:tcPr>
          <w:p w14:paraId="5B57A410">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bCs w:val="0"/>
                <w:i w:val="0"/>
                <w:iCs w:val="0"/>
                <w:color w:val="000000"/>
                <w:sz w:val="22"/>
                <w:szCs w:val="22"/>
              </w:rPr>
            </w:pPr>
            <w:r>
              <w:rPr>
                <w:rFonts w:ascii="Times New Roman" w:hAnsi="Times New Roman" w:eastAsia="ＭＳ 明朝"/>
                <w:b/>
                <w:bCs w:val="0"/>
                <w:i w:val="0"/>
                <w:iCs w:val="0"/>
                <w:color w:val="000000"/>
                <w:sz w:val="22"/>
                <w:szCs w:val="22"/>
              </w:rPr>
              <w:t>Sensitivity</w:t>
            </w:r>
          </w:p>
        </w:tc>
        <w:tc>
          <w:tcPr>
            <w:tcW w:w="1177" w:type="dxa"/>
            <w:tcBorders>
              <w:top w:val="single" w:color="000000" w:sz="12" w:space="0"/>
              <w:left w:val="nil"/>
              <w:bottom w:val="single" w:color="000000" w:sz="4" w:space="0"/>
              <w:right w:val="nil"/>
            </w:tcBorders>
            <w:shd w:val="clear" w:color="auto" w:fill="FFFFFF"/>
            <w:vAlign w:val="center"/>
          </w:tcPr>
          <w:p w14:paraId="074C5A2B">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bCs w:val="0"/>
                <w:i w:val="0"/>
                <w:iCs w:val="0"/>
                <w:color w:val="000000"/>
                <w:sz w:val="22"/>
                <w:szCs w:val="22"/>
              </w:rPr>
            </w:pPr>
            <w:r>
              <w:rPr>
                <w:rFonts w:ascii="Times New Roman" w:hAnsi="Times New Roman" w:eastAsia="ＭＳ 明朝"/>
                <w:b/>
                <w:bCs w:val="0"/>
                <w:i w:val="0"/>
                <w:iCs w:val="0"/>
                <w:color w:val="000000"/>
                <w:sz w:val="22"/>
                <w:szCs w:val="22"/>
              </w:rPr>
              <w:t>Specificity</w:t>
            </w:r>
          </w:p>
        </w:tc>
        <w:tc>
          <w:tcPr>
            <w:tcW w:w="1241" w:type="dxa"/>
            <w:tcBorders>
              <w:top w:val="single" w:color="000000" w:sz="12" w:space="0"/>
              <w:left w:val="nil"/>
              <w:bottom w:val="single" w:color="000000" w:sz="4" w:space="0"/>
              <w:right w:val="nil"/>
            </w:tcBorders>
            <w:shd w:val="clear" w:color="auto" w:fill="FFFFFF"/>
            <w:vAlign w:val="center"/>
          </w:tcPr>
          <w:p w14:paraId="2AB17A0A">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bCs w:val="0"/>
                <w:i w:val="0"/>
                <w:iCs w:val="0"/>
                <w:color w:val="000000"/>
                <w:sz w:val="22"/>
                <w:szCs w:val="22"/>
              </w:rPr>
            </w:pPr>
            <w:r>
              <w:rPr>
                <w:rFonts w:ascii="Times New Roman" w:hAnsi="Times New Roman" w:eastAsia="ＭＳ 明朝"/>
                <w:b/>
                <w:bCs w:val="0"/>
                <w:i w:val="0"/>
                <w:iCs w:val="0"/>
                <w:color w:val="000000"/>
                <w:sz w:val="22"/>
                <w:szCs w:val="22"/>
              </w:rPr>
              <w:t>Brier score</w:t>
            </w:r>
          </w:p>
        </w:tc>
      </w:tr>
      <w:tr w14:paraId="46CE8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32" w:type="dxa"/>
            <w:tcBorders>
              <w:top w:val="single" w:color="000000" w:sz="4" w:space="0"/>
              <w:left w:val="nil"/>
              <w:bottom w:val="nil"/>
              <w:right w:val="nil"/>
            </w:tcBorders>
            <w:shd w:val="clear" w:color="auto" w:fill="FFFFFF"/>
            <w:vAlign w:val="center"/>
          </w:tcPr>
          <w:p w14:paraId="24C13DA2">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Trauma-Former</w:t>
            </w:r>
          </w:p>
        </w:tc>
        <w:tc>
          <w:tcPr>
            <w:tcW w:w="1732" w:type="dxa"/>
            <w:tcBorders>
              <w:top w:val="single" w:color="000000" w:sz="4" w:space="0"/>
              <w:left w:val="nil"/>
              <w:bottom w:val="nil"/>
              <w:right w:val="nil"/>
            </w:tcBorders>
            <w:shd w:val="clear" w:color="auto" w:fill="FFFFFF"/>
            <w:vAlign w:val="center"/>
          </w:tcPr>
          <w:p w14:paraId="52EDBC53">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0.939</w:t>
            </w:r>
          </w:p>
        </w:tc>
        <w:tc>
          <w:tcPr>
            <w:tcW w:w="1356" w:type="dxa"/>
            <w:tcBorders>
              <w:top w:val="single" w:color="000000" w:sz="4" w:space="0"/>
              <w:left w:val="nil"/>
              <w:bottom w:val="nil"/>
              <w:right w:val="nil"/>
            </w:tcBorders>
            <w:shd w:val="clear" w:color="auto" w:fill="FFFFFF"/>
            <w:vAlign w:val="center"/>
          </w:tcPr>
          <w:p w14:paraId="09D0273E">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0.815</w:t>
            </w:r>
          </w:p>
        </w:tc>
        <w:tc>
          <w:tcPr>
            <w:tcW w:w="1198" w:type="dxa"/>
            <w:tcBorders>
              <w:top w:val="single" w:color="000000" w:sz="4" w:space="0"/>
              <w:left w:val="nil"/>
              <w:bottom w:val="nil"/>
              <w:right w:val="nil"/>
            </w:tcBorders>
            <w:shd w:val="clear" w:color="auto" w:fill="FFFFFF"/>
            <w:vAlign w:val="center"/>
          </w:tcPr>
          <w:p w14:paraId="2F38F4FA">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−0.124</w:t>
            </w:r>
          </w:p>
        </w:tc>
        <w:tc>
          <w:tcPr>
            <w:tcW w:w="1179" w:type="dxa"/>
            <w:tcBorders>
              <w:top w:val="single" w:color="000000" w:sz="4" w:space="0"/>
              <w:left w:val="nil"/>
              <w:bottom w:val="nil"/>
              <w:right w:val="nil"/>
            </w:tcBorders>
            <w:shd w:val="clear" w:color="auto" w:fill="FFFFFF"/>
            <w:vAlign w:val="center"/>
          </w:tcPr>
          <w:p w14:paraId="7F8D0D11">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0.78</w:t>
            </w:r>
          </w:p>
        </w:tc>
        <w:tc>
          <w:tcPr>
            <w:tcW w:w="1177" w:type="dxa"/>
            <w:tcBorders>
              <w:top w:val="single" w:color="000000" w:sz="4" w:space="0"/>
              <w:left w:val="nil"/>
              <w:bottom w:val="nil"/>
              <w:right w:val="nil"/>
            </w:tcBorders>
            <w:shd w:val="clear" w:color="auto" w:fill="FFFFFF"/>
            <w:vAlign w:val="center"/>
          </w:tcPr>
          <w:p w14:paraId="63AB1C2C">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0.74</w:t>
            </w:r>
          </w:p>
        </w:tc>
        <w:tc>
          <w:tcPr>
            <w:tcW w:w="1241" w:type="dxa"/>
            <w:tcBorders>
              <w:top w:val="single" w:color="000000" w:sz="4" w:space="0"/>
              <w:left w:val="nil"/>
              <w:bottom w:val="nil"/>
              <w:right w:val="nil"/>
            </w:tcBorders>
            <w:shd w:val="clear" w:color="auto" w:fill="FFFFFF"/>
            <w:vAlign w:val="center"/>
          </w:tcPr>
          <w:p w14:paraId="3F5258E5">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0.19</w:t>
            </w:r>
          </w:p>
        </w:tc>
      </w:tr>
      <w:tr w14:paraId="16FE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32" w:type="dxa"/>
            <w:tcBorders>
              <w:top w:val="nil"/>
              <w:left w:val="nil"/>
              <w:bottom w:val="nil"/>
              <w:right w:val="nil"/>
            </w:tcBorders>
            <w:shd w:val="clear" w:color="auto" w:fill="FFFFFF"/>
            <w:vAlign w:val="center"/>
          </w:tcPr>
          <w:p w14:paraId="50C47BDC">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1D-CNN</w:t>
            </w:r>
          </w:p>
        </w:tc>
        <w:tc>
          <w:tcPr>
            <w:tcW w:w="1732" w:type="dxa"/>
            <w:tcBorders>
              <w:top w:val="nil"/>
              <w:left w:val="nil"/>
              <w:bottom w:val="nil"/>
              <w:right w:val="nil"/>
            </w:tcBorders>
            <w:shd w:val="clear" w:color="auto" w:fill="FFFFFF"/>
            <w:vAlign w:val="center"/>
          </w:tcPr>
          <w:p w14:paraId="1D917171">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0.868</w:t>
            </w:r>
          </w:p>
        </w:tc>
        <w:tc>
          <w:tcPr>
            <w:tcW w:w="1356" w:type="dxa"/>
            <w:tcBorders>
              <w:top w:val="nil"/>
              <w:left w:val="nil"/>
              <w:bottom w:val="nil"/>
              <w:right w:val="nil"/>
            </w:tcBorders>
            <w:shd w:val="clear" w:color="auto" w:fill="FFFFFF"/>
            <w:vAlign w:val="center"/>
          </w:tcPr>
          <w:p w14:paraId="6D13CAE0">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0.790</w:t>
            </w:r>
          </w:p>
        </w:tc>
        <w:tc>
          <w:tcPr>
            <w:tcW w:w="1198" w:type="dxa"/>
            <w:tcBorders>
              <w:top w:val="nil"/>
              <w:left w:val="nil"/>
              <w:bottom w:val="nil"/>
              <w:right w:val="nil"/>
            </w:tcBorders>
            <w:shd w:val="clear" w:color="auto" w:fill="FFFFFF"/>
            <w:vAlign w:val="center"/>
          </w:tcPr>
          <w:p w14:paraId="44CAF55A">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−0.078</w:t>
            </w:r>
          </w:p>
        </w:tc>
        <w:tc>
          <w:tcPr>
            <w:tcW w:w="1179" w:type="dxa"/>
            <w:tcBorders>
              <w:top w:val="nil"/>
              <w:left w:val="nil"/>
              <w:bottom w:val="nil"/>
              <w:right w:val="nil"/>
            </w:tcBorders>
            <w:shd w:val="clear" w:color="auto" w:fill="FFFFFF"/>
            <w:vAlign w:val="center"/>
          </w:tcPr>
          <w:p w14:paraId="40360344">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0.74</w:t>
            </w:r>
          </w:p>
        </w:tc>
        <w:tc>
          <w:tcPr>
            <w:tcW w:w="1177" w:type="dxa"/>
            <w:tcBorders>
              <w:top w:val="nil"/>
              <w:left w:val="nil"/>
              <w:bottom w:val="nil"/>
              <w:right w:val="nil"/>
            </w:tcBorders>
            <w:shd w:val="clear" w:color="auto" w:fill="FFFFFF"/>
            <w:vAlign w:val="center"/>
          </w:tcPr>
          <w:p w14:paraId="68446F5D">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0.71</w:t>
            </w:r>
          </w:p>
        </w:tc>
        <w:tc>
          <w:tcPr>
            <w:tcW w:w="1241" w:type="dxa"/>
            <w:tcBorders>
              <w:top w:val="nil"/>
              <w:left w:val="nil"/>
              <w:bottom w:val="nil"/>
              <w:right w:val="nil"/>
            </w:tcBorders>
            <w:shd w:val="clear" w:color="auto" w:fill="FFFFFF"/>
            <w:vAlign w:val="center"/>
          </w:tcPr>
          <w:p w14:paraId="6376FD2D">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0.22</w:t>
            </w:r>
          </w:p>
        </w:tc>
      </w:tr>
      <w:tr w14:paraId="56348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32" w:type="dxa"/>
            <w:tcBorders>
              <w:top w:val="nil"/>
              <w:left w:val="nil"/>
              <w:bottom w:val="single" w:color="000000" w:sz="12" w:space="0"/>
              <w:right w:val="nil"/>
            </w:tcBorders>
            <w:shd w:val="clear" w:color="auto" w:fill="FFFFFF"/>
            <w:vAlign w:val="center"/>
          </w:tcPr>
          <w:p w14:paraId="75F7BF7E">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GRU</w:t>
            </w:r>
          </w:p>
        </w:tc>
        <w:tc>
          <w:tcPr>
            <w:tcW w:w="1732" w:type="dxa"/>
            <w:tcBorders>
              <w:top w:val="nil"/>
              <w:left w:val="nil"/>
              <w:bottom w:val="single" w:color="000000" w:sz="12" w:space="0"/>
              <w:right w:val="nil"/>
            </w:tcBorders>
            <w:shd w:val="clear" w:color="auto" w:fill="FFFFFF"/>
            <w:vAlign w:val="center"/>
          </w:tcPr>
          <w:p w14:paraId="777BE995">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0.854</w:t>
            </w:r>
          </w:p>
        </w:tc>
        <w:tc>
          <w:tcPr>
            <w:tcW w:w="1356" w:type="dxa"/>
            <w:tcBorders>
              <w:top w:val="nil"/>
              <w:left w:val="nil"/>
              <w:bottom w:val="single" w:color="000000" w:sz="12" w:space="0"/>
              <w:right w:val="nil"/>
            </w:tcBorders>
            <w:shd w:val="clear" w:color="auto" w:fill="FFFFFF"/>
            <w:vAlign w:val="center"/>
          </w:tcPr>
          <w:p w14:paraId="339BD97B">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0.703</w:t>
            </w:r>
          </w:p>
        </w:tc>
        <w:tc>
          <w:tcPr>
            <w:tcW w:w="1198" w:type="dxa"/>
            <w:tcBorders>
              <w:top w:val="nil"/>
              <w:left w:val="nil"/>
              <w:bottom w:val="single" w:color="000000" w:sz="12" w:space="0"/>
              <w:right w:val="nil"/>
            </w:tcBorders>
            <w:shd w:val="clear" w:color="auto" w:fill="FFFFFF"/>
            <w:vAlign w:val="center"/>
          </w:tcPr>
          <w:p w14:paraId="7A326470">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−0.151</w:t>
            </w:r>
          </w:p>
        </w:tc>
        <w:tc>
          <w:tcPr>
            <w:tcW w:w="1179" w:type="dxa"/>
            <w:tcBorders>
              <w:top w:val="nil"/>
              <w:left w:val="nil"/>
              <w:bottom w:val="single" w:color="000000" w:sz="12" w:space="0"/>
              <w:right w:val="nil"/>
            </w:tcBorders>
            <w:shd w:val="clear" w:color="auto" w:fill="FFFFFF"/>
            <w:vAlign w:val="center"/>
          </w:tcPr>
          <w:p w14:paraId="6158BCF6">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0.68</w:t>
            </w:r>
          </w:p>
        </w:tc>
        <w:tc>
          <w:tcPr>
            <w:tcW w:w="1177" w:type="dxa"/>
            <w:tcBorders>
              <w:top w:val="nil"/>
              <w:left w:val="nil"/>
              <w:bottom w:val="single" w:color="000000" w:sz="12" w:space="0"/>
              <w:right w:val="nil"/>
            </w:tcBorders>
            <w:shd w:val="clear" w:color="auto" w:fill="FFFFFF"/>
            <w:vAlign w:val="center"/>
          </w:tcPr>
          <w:p w14:paraId="12EA12AE">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0.65</w:t>
            </w:r>
          </w:p>
        </w:tc>
        <w:tc>
          <w:tcPr>
            <w:tcW w:w="1241" w:type="dxa"/>
            <w:tcBorders>
              <w:top w:val="nil"/>
              <w:left w:val="nil"/>
              <w:bottom w:val="single" w:color="000000" w:sz="12" w:space="0"/>
              <w:right w:val="nil"/>
            </w:tcBorders>
            <w:shd w:val="clear" w:color="auto" w:fill="FFFFFF"/>
            <w:vAlign w:val="center"/>
          </w:tcPr>
          <w:p w14:paraId="1E38CE06">
            <w:pPr>
              <w:keepNext w:val="0"/>
              <w:keepLines w:val="0"/>
              <w:pageBreakBefore w:val="0"/>
              <w:widowControl/>
              <w:kinsoku/>
              <w:wordWrap/>
              <w:overflowPunct/>
              <w:topLinePunct w:val="0"/>
              <w:autoSpaceDE/>
              <w:autoSpaceDN/>
              <w:bidi w:val="0"/>
              <w:adjustRightInd/>
              <w:snapToGrid w:val="0"/>
              <w:spacing w:before="40" w:after="40" w:line="240" w:lineRule="auto"/>
              <w:ind w:left="0" w:leftChars="0" w:right="0" w:rightChars="0" w:firstLine="0" w:firstLineChars="0"/>
              <w:jc w:val="center"/>
              <w:textAlignment w:val="auto"/>
              <w:rPr>
                <w:rFonts w:ascii="Times New Roman" w:eastAsia="ＭＳ 明朝"/>
                <w:b w:val="0"/>
                <w:color w:val="000000"/>
                <w:sz w:val="22"/>
                <w:szCs w:val="22"/>
              </w:rPr>
            </w:pPr>
            <w:r>
              <w:rPr>
                <w:rFonts w:ascii="Times New Roman" w:hAnsi="Times New Roman" w:eastAsia="ＭＳ 明朝"/>
                <w:b w:val="0"/>
                <w:color w:val="000000"/>
                <w:sz w:val="22"/>
                <w:szCs w:val="22"/>
              </w:rPr>
              <w:t>0.24</w:t>
            </w:r>
          </w:p>
        </w:tc>
      </w:tr>
    </w:tbl>
    <w:p w14:paraId="27C86B36">
      <w:pPr>
        <w:keepNext w:val="0"/>
        <w:keepLines w:val="0"/>
        <w:pageBreakBefore w:val="0"/>
        <w:widowControl/>
        <w:kinsoku/>
        <w:wordWrap/>
        <w:overflowPunct/>
        <w:topLinePunct w:val="0"/>
        <w:autoSpaceDE/>
        <w:autoSpaceDN/>
        <w:bidi w:val="0"/>
        <w:adjustRightInd/>
        <w:spacing w:before="40" w:after="200" w:line="240" w:lineRule="auto"/>
        <w:jc w:val="center"/>
        <w:textAlignment w:val="auto"/>
        <w:rPr>
          <w:i w:val="0"/>
          <w:iCs/>
          <w:sz w:val="22"/>
          <w:szCs w:val="22"/>
        </w:rPr>
      </w:pPr>
      <w:r>
        <w:rPr>
          <w:rFonts w:ascii="Times New Roman" w:hAnsi="Times New Roman"/>
          <w:i w:val="0"/>
          <w:iCs/>
          <w:sz w:val="22"/>
          <w:szCs w:val="22"/>
        </w:rPr>
        <w:t>Primary analysis results are from 5-fold cross-validation; non-linear results are from a single 80/20 split. These values are not directly comparable due to methodological differences (see caveats above).</w:t>
      </w:r>
    </w:p>
    <w:p w14:paraId="034C5F4B">
      <w:pPr>
        <w:keepNext w:val="0"/>
        <w:keepLines w:val="0"/>
        <w:pageBreakBefore w:val="0"/>
        <w:widowControl/>
        <w:kinsoku/>
        <w:overflowPunct/>
        <w:topLinePunct w:val="0"/>
        <w:autoSpaceDE/>
        <w:autoSpaceDN/>
        <w:bidi w:val="0"/>
        <w:adjustRightInd/>
        <w:spacing w:before="240" w:after="120" w:line="480" w:lineRule="auto"/>
        <w:jc w:val="left"/>
        <w:textAlignment w:val="auto"/>
        <w:rPr>
          <w:sz w:val="22"/>
          <w:szCs w:val="22"/>
        </w:rPr>
      </w:pPr>
      <w:r>
        <w:rPr>
          <w:rFonts w:ascii="Times New Roman" w:hAnsi="Times New Roman"/>
          <w:b/>
          <w:i w:val="0"/>
          <w:sz w:val="22"/>
          <w:szCs w:val="22"/>
        </w:rPr>
        <w:t>S3.5.2 Interpretation</w:t>
      </w:r>
    </w:p>
    <w:p w14:paraId="0681E5B3">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All three models show substantial performance degradation on the non-linear dataset relative to their primary analysis results. This finding is consistent with the hypothesis that the high AUROCs reported in the primary analysis are substantially attributable to the simplicity of the linear generative model.</w:t>
      </w:r>
    </w:p>
    <w:p w14:paraId="79482099">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Trauma-Former achieves an AUROC of 0.815 on the non-linear dataset, which still exceeds the performance of GRU (0.703) and 1D-CNN (0.790). The GRU shows the largest absolute degradation (−0.151 AUROC), consistent with known limitations of recurrent architectures under high noise and long-range dependency conditions.</w:t>
      </w:r>
    </w:p>
    <w:p w14:paraId="59DB5098">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However, due to the methodological confounding described in the opening caveats (simultaneous changes to dynamics, imputation, and validation protocol), the observed performance differences cannot be uniquely attributed to non-linear dynamics alone. Future work employing a full factorial design would be required to isolate the contribution of each factor.</w:t>
      </w:r>
    </w:p>
    <w:p w14:paraId="72300FCE">
      <w:pPr>
        <w:keepNext w:val="0"/>
        <w:keepLines w:val="0"/>
        <w:pageBreakBefore w:val="0"/>
        <w:widowControl/>
        <w:kinsoku/>
        <w:overflowPunct/>
        <w:topLinePunct w:val="0"/>
        <w:autoSpaceDE/>
        <w:autoSpaceDN/>
        <w:bidi w:val="0"/>
        <w:adjustRightInd/>
        <w:spacing w:before="240" w:after="120" w:line="480" w:lineRule="auto"/>
        <w:jc w:val="left"/>
        <w:textAlignment w:val="auto"/>
        <w:rPr>
          <w:sz w:val="22"/>
          <w:szCs w:val="22"/>
        </w:rPr>
      </w:pPr>
      <w:r>
        <w:rPr>
          <w:rFonts w:ascii="Times New Roman" w:hAnsi="Times New Roman"/>
          <w:b/>
          <w:i w:val="0"/>
          <w:sz w:val="22"/>
          <w:szCs w:val="22"/>
        </w:rPr>
        <w:t>S3.6 Limitations</w:t>
      </w:r>
    </w:p>
    <w:p w14:paraId="1C68CBB6">
      <w:pPr>
        <w:pStyle w:val="16"/>
        <w:keepNext w:val="0"/>
        <w:keepLines w:val="0"/>
        <w:pageBreakBefore w:val="0"/>
        <w:widowControl/>
        <w:kinsoku/>
        <w:overflowPunct/>
        <w:topLinePunct w:val="0"/>
        <w:autoSpaceDE/>
        <w:autoSpaceDN/>
        <w:bidi w:val="0"/>
        <w:adjustRightInd/>
        <w:spacing w:after="80" w:line="480" w:lineRule="auto"/>
        <w:textAlignment w:val="auto"/>
        <w:rPr>
          <w:sz w:val="22"/>
          <w:szCs w:val="22"/>
        </w:rPr>
      </w:pPr>
      <w:r>
        <w:rPr>
          <w:rFonts w:ascii="Times New Roman" w:hAnsi="Times New Roman"/>
          <w:b/>
          <w:sz w:val="22"/>
          <w:szCs w:val="22"/>
        </w:rPr>
        <w:t xml:space="preserve">Post-hoc design: </w:t>
      </w:r>
      <w:r>
        <w:rPr>
          <w:rFonts w:ascii="Times New Roman" w:hAnsi="Times New Roman"/>
          <w:sz w:val="22"/>
          <w:szCs w:val="22"/>
        </w:rPr>
        <w:t>Not pre-registered; parameters selected after linear analysis, creating risk of selective reporting.</w:t>
      </w:r>
    </w:p>
    <w:p w14:paraId="0B4DD4D4">
      <w:pPr>
        <w:pStyle w:val="16"/>
        <w:keepNext w:val="0"/>
        <w:keepLines w:val="0"/>
        <w:pageBreakBefore w:val="0"/>
        <w:widowControl/>
        <w:kinsoku/>
        <w:overflowPunct/>
        <w:topLinePunct w:val="0"/>
        <w:autoSpaceDE/>
        <w:autoSpaceDN/>
        <w:bidi w:val="0"/>
        <w:adjustRightInd/>
        <w:spacing w:after="80" w:line="480" w:lineRule="auto"/>
        <w:textAlignment w:val="auto"/>
        <w:rPr>
          <w:sz w:val="22"/>
          <w:szCs w:val="22"/>
        </w:rPr>
      </w:pPr>
      <w:r>
        <w:rPr>
          <w:rFonts w:ascii="Times New Roman" w:hAnsi="Times New Roman"/>
          <w:b/>
          <w:sz w:val="22"/>
          <w:szCs w:val="22"/>
        </w:rPr>
        <w:t xml:space="preserve">Non-calibrated parameters: </w:t>
      </w:r>
      <w:r>
        <w:rPr>
          <w:rFonts w:ascii="Times New Roman" w:hAnsi="Times New Roman"/>
          <w:sz w:val="22"/>
          <w:szCs w:val="22"/>
        </w:rPr>
        <w:t>Not derived from real clinical data; ‘true’ difficulty of TIC detection cannot be inferred.</w:t>
      </w:r>
    </w:p>
    <w:p w14:paraId="43DC9FE5">
      <w:pPr>
        <w:pStyle w:val="16"/>
        <w:keepNext w:val="0"/>
        <w:keepLines w:val="0"/>
        <w:pageBreakBefore w:val="0"/>
        <w:widowControl/>
        <w:kinsoku/>
        <w:overflowPunct/>
        <w:topLinePunct w:val="0"/>
        <w:autoSpaceDE/>
        <w:autoSpaceDN/>
        <w:bidi w:val="0"/>
        <w:adjustRightInd/>
        <w:spacing w:after="80" w:line="480" w:lineRule="auto"/>
        <w:textAlignment w:val="auto"/>
        <w:rPr>
          <w:sz w:val="22"/>
          <w:szCs w:val="22"/>
        </w:rPr>
      </w:pPr>
      <w:r>
        <w:rPr>
          <w:rFonts w:ascii="Times New Roman" w:hAnsi="Times New Roman"/>
          <w:b/>
          <w:sz w:val="22"/>
          <w:szCs w:val="22"/>
        </w:rPr>
        <w:t xml:space="preserve">Single train-test split: </w:t>
      </w:r>
      <w:r>
        <w:rPr>
          <w:rFonts w:ascii="Times New Roman" w:hAnsi="Times New Roman"/>
          <w:sz w:val="22"/>
          <w:szCs w:val="22"/>
        </w:rPr>
        <w:t>Absence of cross-validation reduces statistical reliability (wide confidence intervals).</w:t>
      </w:r>
    </w:p>
    <w:p w14:paraId="56773DCD">
      <w:pPr>
        <w:pStyle w:val="16"/>
        <w:keepNext w:val="0"/>
        <w:keepLines w:val="0"/>
        <w:pageBreakBefore w:val="0"/>
        <w:widowControl/>
        <w:kinsoku/>
        <w:overflowPunct/>
        <w:topLinePunct w:val="0"/>
        <w:autoSpaceDE/>
        <w:autoSpaceDN/>
        <w:bidi w:val="0"/>
        <w:adjustRightInd/>
        <w:spacing w:after="80" w:line="480" w:lineRule="auto"/>
        <w:textAlignment w:val="auto"/>
        <w:rPr>
          <w:sz w:val="22"/>
          <w:szCs w:val="22"/>
        </w:rPr>
      </w:pPr>
      <w:r>
        <w:rPr>
          <w:rFonts w:ascii="Times New Roman" w:hAnsi="Times New Roman"/>
          <w:b/>
          <w:sz w:val="22"/>
          <w:szCs w:val="22"/>
        </w:rPr>
        <w:t xml:space="preserve">Methodological confounding: </w:t>
      </w:r>
      <w:r>
        <w:rPr>
          <w:rFonts w:ascii="Times New Roman" w:hAnsi="Times New Roman"/>
          <w:sz w:val="22"/>
          <w:szCs w:val="22"/>
        </w:rPr>
        <w:t>Simultaneous changes to dynamics, imputation (cubic spline, prone to Runge’s phenomenon), and validation protocol prevent causal attribution.</w:t>
      </w:r>
    </w:p>
    <w:p w14:paraId="72ABE494">
      <w:pPr>
        <w:pStyle w:val="16"/>
        <w:keepNext w:val="0"/>
        <w:keepLines w:val="0"/>
        <w:pageBreakBefore w:val="0"/>
        <w:widowControl/>
        <w:kinsoku/>
        <w:overflowPunct/>
        <w:topLinePunct w:val="0"/>
        <w:autoSpaceDE/>
        <w:autoSpaceDN/>
        <w:bidi w:val="0"/>
        <w:adjustRightInd/>
        <w:spacing w:after="80" w:line="480" w:lineRule="auto"/>
        <w:textAlignment w:val="auto"/>
        <w:rPr>
          <w:sz w:val="22"/>
          <w:szCs w:val="22"/>
        </w:rPr>
      </w:pPr>
      <w:r>
        <w:rPr>
          <w:rFonts w:ascii="Times New Roman" w:hAnsi="Times New Roman"/>
          <w:b/>
          <w:sz w:val="22"/>
          <w:szCs w:val="22"/>
        </w:rPr>
        <w:t xml:space="preserve">No prevalence adjustment: </w:t>
      </w:r>
      <w:r>
        <w:rPr>
          <w:rFonts w:ascii="Times New Roman" w:hAnsi="Times New Roman"/>
          <w:sz w:val="22"/>
          <w:szCs w:val="22"/>
        </w:rPr>
        <w:t>Balanced 50% prevalence used; PPV collapse at 25% would likely be more severe.</w:t>
      </w:r>
    </w:p>
    <w:p w14:paraId="49D710E8">
      <w:pPr>
        <w:pStyle w:val="16"/>
        <w:keepNext w:val="0"/>
        <w:keepLines w:val="0"/>
        <w:pageBreakBefore w:val="0"/>
        <w:widowControl/>
        <w:kinsoku/>
        <w:overflowPunct/>
        <w:topLinePunct w:val="0"/>
        <w:autoSpaceDE/>
        <w:autoSpaceDN/>
        <w:bidi w:val="0"/>
        <w:adjustRightInd/>
        <w:spacing w:after="80" w:line="480" w:lineRule="auto"/>
        <w:textAlignment w:val="auto"/>
        <w:rPr>
          <w:sz w:val="22"/>
          <w:szCs w:val="22"/>
        </w:rPr>
      </w:pPr>
      <w:r>
        <w:rPr>
          <w:rFonts w:ascii="Times New Roman" w:hAnsi="Times New Roman"/>
          <w:b/>
          <w:sz w:val="22"/>
          <w:szCs w:val="22"/>
        </w:rPr>
        <w:t xml:space="preserve">Incomplete model comparison: </w:t>
      </w:r>
      <w:r>
        <w:rPr>
          <w:rFonts w:ascii="Times New Roman" w:hAnsi="Times New Roman"/>
          <w:sz w:val="22"/>
          <w:szCs w:val="22"/>
        </w:rPr>
        <w:t>LR-trend, XGBoost, PatchTST, Informer, and shock index not evaluated.</w:t>
      </w:r>
    </w:p>
    <w:p w14:paraId="05CEFD95">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In summary, the results of this supplementary stress test are best interpreted as a lower-bound sensitivity indicator rather than a rigorous performance evaluation. They confirm that performance on the linear dataset is optimistic, that all models degrade under more complex conditions, and that external validation on real-world prehospital data remains essential.</w:t>
      </w:r>
    </w:p>
    <w:p w14:paraId="5B018776">
      <w:pPr>
        <w:keepNext w:val="0"/>
        <w:keepLines w:val="0"/>
        <w:pageBreakBefore w:val="0"/>
        <w:widowControl/>
        <w:kinsoku/>
        <w:overflowPunct/>
        <w:topLinePunct w:val="0"/>
        <w:autoSpaceDE/>
        <w:autoSpaceDN/>
        <w:bidi w:val="0"/>
        <w:adjustRightInd/>
        <w:spacing w:before="240" w:after="120" w:line="480" w:lineRule="auto"/>
        <w:jc w:val="left"/>
        <w:textAlignment w:val="auto"/>
        <w:rPr>
          <w:sz w:val="22"/>
          <w:szCs w:val="22"/>
        </w:rPr>
      </w:pPr>
      <w:r>
        <w:rPr>
          <w:rFonts w:ascii="Times New Roman" w:hAnsi="Times New Roman"/>
          <w:b/>
          <w:i w:val="0"/>
          <w:sz w:val="22"/>
          <w:szCs w:val="22"/>
        </w:rPr>
        <w:t>S3.7 Source Code</w:t>
      </w:r>
    </w:p>
    <w:p w14:paraId="7BC12AE9">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The complete source code is available at: https://github.com/DoctorLin1990/trauma-former/tree/main/supplementary/S</w:t>
      </w:r>
      <w:r>
        <w:rPr>
          <w:rFonts w:hint="eastAsia" w:eastAsia="宋体"/>
          <w:b w:val="0"/>
          <w:i w:val="0"/>
          <w:sz w:val="22"/>
          <w:szCs w:val="22"/>
          <w:lang w:val="en-US" w:eastAsia="zh-CN"/>
        </w:rPr>
        <w:t>6</w:t>
      </w:r>
      <w:r>
        <w:rPr>
          <w:rFonts w:ascii="Times New Roman" w:hAnsi="Times New Roman"/>
          <w:b w:val="0"/>
          <w:i w:val="0"/>
          <w:sz w:val="22"/>
          <w:szCs w:val="22"/>
        </w:rPr>
        <w:t>/</w:t>
      </w:r>
    </w:p>
    <w:p w14:paraId="5510C6A1">
      <w:pPr>
        <w:keepNext w:val="0"/>
        <w:keepLines w:val="0"/>
        <w:pageBreakBefore w:val="0"/>
        <w:widowControl/>
        <w:kinsoku/>
        <w:overflowPunct/>
        <w:topLinePunct w:val="0"/>
        <w:autoSpaceDE/>
        <w:autoSpaceDN/>
        <w:bidi w:val="0"/>
        <w:adjustRightInd/>
        <w:spacing w:before="0" w:after="120" w:line="480" w:lineRule="auto"/>
        <w:jc w:val="both"/>
        <w:textAlignment w:val="auto"/>
        <w:rPr>
          <w:sz w:val="22"/>
          <w:szCs w:val="22"/>
        </w:rPr>
      </w:pPr>
      <w:r>
        <w:rPr>
          <w:rFonts w:ascii="Times New Roman" w:hAnsi="Times New Roman"/>
          <w:b w:val="0"/>
          <w:i w:val="0"/>
          <w:sz w:val="22"/>
          <w:szCs w:val="22"/>
        </w:rPr>
        <w:t>Reproduction command:</w:t>
      </w:r>
    </w:p>
    <w:p w14:paraId="39B07D59">
      <w:pPr>
        <w:keepNext w:val="0"/>
        <w:keepLines w:val="0"/>
        <w:pageBreakBefore w:val="0"/>
        <w:widowControl/>
        <w:kinsoku/>
        <w:overflowPunct/>
        <w:topLinePunct w:val="0"/>
        <w:autoSpaceDE/>
        <w:autoSpaceDN/>
        <w:bidi w:val="0"/>
        <w:adjustRightInd/>
        <w:spacing w:before="80" w:after="200" w:line="480" w:lineRule="auto"/>
        <w:ind w:left="567"/>
        <w:textAlignment w:val="auto"/>
        <w:rPr>
          <w:sz w:val="22"/>
          <w:szCs w:val="22"/>
        </w:rPr>
      </w:pPr>
      <w:r>
        <w:rPr>
          <w:rFonts w:ascii="Courier New" w:hAnsi="Courier New"/>
          <w:sz w:val="22"/>
          <w:szCs w:val="22"/>
        </w:rPr>
        <w:t>python supplementary/S</w:t>
      </w:r>
      <w:r>
        <w:rPr>
          <w:rFonts w:hint="eastAsia" w:ascii="Courier New" w:hAnsi="Courier New" w:eastAsia="宋体"/>
          <w:sz w:val="22"/>
          <w:szCs w:val="22"/>
          <w:lang w:val="en-US" w:eastAsia="zh-CN"/>
        </w:rPr>
        <w:t>6</w:t>
      </w:r>
      <w:bookmarkStart w:id="0" w:name="_GoBack"/>
      <w:bookmarkEnd w:id="0"/>
      <w:r>
        <w:rPr>
          <w:rFonts w:ascii="Courier New" w:hAnsi="Courier New"/>
          <w:sz w:val="22"/>
          <w:szCs w:val="22"/>
        </w:rPr>
        <w:t>/run_stress_test.py --seed 42 --missing_rate 0.30 --n_episodes 1000</w:t>
      </w:r>
    </w:p>
    <w:sectPr>
      <w:footerReference r:id="rId5" w:type="default"/>
      <w:pgSz w:w="12240" w:h="15840"/>
      <w:pgMar w:top="1417" w:right="1417" w:bottom="1417" w:left="1417" w:header="720" w:footer="720" w:gutter="0"/>
      <w:lnNumType w:countBy="1" w:restart="continuou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var(--ds-font-family-cod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Math">
    <w:panose1 w:val="02040503050406030204"/>
    <w:charset w:val="00"/>
    <w:family w:val="auto"/>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UI Emoji">
    <w:panose1 w:val="020B0502040204020203"/>
    <w:charset w:val="00"/>
    <w:family w:val="auto"/>
    <w:pitch w:val="default"/>
    <w:sig w:usb0="00000001" w:usb1="02000000" w:usb2="08000000" w:usb3="00000000" w:csb0="00000001" w:csb1="00000000"/>
  </w:font>
  <w:font w:name="MS Mincho">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C8265">
    <w:pPr>
      <w:pStyle w:val="24"/>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04ECCD">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904ECCD">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E9F4849"/>
    <w:rsid w:val="1AAB26E2"/>
    <w:rsid w:val="1F85748B"/>
    <w:rsid w:val="2A816FBC"/>
    <w:rsid w:val="2D3430A6"/>
    <w:rsid w:val="2DEC0BF0"/>
    <w:rsid w:val="30420F9B"/>
    <w:rsid w:val="37CB1876"/>
    <w:rsid w:val="3894610C"/>
    <w:rsid w:val="3C123F18"/>
    <w:rsid w:val="3CF1267B"/>
    <w:rsid w:val="417C49FE"/>
    <w:rsid w:val="45036AF3"/>
    <w:rsid w:val="46EB45E4"/>
    <w:rsid w:val="49902920"/>
    <w:rsid w:val="54D25B89"/>
    <w:rsid w:val="55AA6B17"/>
    <w:rsid w:val="5BCE032C"/>
    <w:rsid w:val="6C9854C4"/>
    <w:rsid w:val="6D1F3990"/>
    <w:rsid w:val="70497201"/>
    <w:rsid w:val="72973197"/>
    <w:rsid w:val="77F739E6"/>
    <w:rsid w:val="78880AE2"/>
    <w:rsid w:val="79AE54A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4"/>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1367</Words>
  <Characters>8520</Characters>
  <Lines>0</Lines>
  <Paragraphs>0</Paragraphs>
  <TotalTime>50</TotalTime>
  <ScaleCrop>false</ScaleCrop>
  <LinksUpToDate>false</LinksUpToDate>
  <CharactersWithSpaces>9758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日行一善</cp:lastModifiedBy>
  <dcterms:modified xsi:type="dcterms:W3CDTF">2026-05-17T16:28:28Z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eyJoZGlkIjoiYmU4MTc0MjQ3ZGU5Mzk5MmJmNjMzMzIwOWMwNjU4NzkiLCJ1c2VySWQiOiI2MTAyOTI3MjYifQ==</vt:lpwstr>
  </property>
  <property fmtid="{D5CDD505-2E9C-101B-9397-08002B2CF9AE}" pid="3" name="KSOProductBuildVer">
    <vt:lpwstr>2052-12.1.0.25865</vt:lpwstr>
  </property>
  <property fmtid="{D5CDD505-2E9C-101B-9397-08002B2CF9AE}" pid="4" name="ICV">
    <vt:lpwstr>FC5646E9359A4A65AE6418E50AB98ECF_12</vt:lpwstr>
  </property>
</Properties>
</file>