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789489">
      <w:pPr>
        <w:keepNext w:val="0"/>
        <w:keepLines w:val="0"/>
        <w:pageBreakBefore w:val="0"/>
        <w:widowControl/>
        <w:kinsoku/>
        <w:wordWrap/>
        <w:overflowPunct/>
        <w:topLinePunct w:val="0"/>
        <w:autoSpaceDE/>
        <w:autoSpaceDN/>
        <w:bidi w:val="0"/>
        <w:adjustRightInd/>
        <w:snapToGrid/>
        <w:spacing w:before="0" w:after="240" w:line="480" w:lineRule="auto"/>
        <w:jc w:val="center"/>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Additional file 1</w:t>
      </w:r>
    </w:p>
    <w:p w14:paraId="4E1B58FA">
      <w:pPr>
        <w:keepNext w:val="0"/>
        <w:keepLines w:val="0"/>
        <w:pageBreakBefore w:val="0"/>
        <w:widowControl/>
        <w:kinsoku/>
        <w:wordWrap/>
        <w:overflowPunct/>
        <w:topLinePunct w:val="0"/>
        <w:autoSpaceDE/>
        <w:autoSpaceDN/>
        <w:bidi w:val="0"/>
        <w:adjustRightInd/>
        <w:snapToGrid/>
        <w:spacing w:after="120" w:line="480" w:lineRule="auto"/>
        <w:jc w:val="center"/>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Detailed Description of the Ornstein–Uhlenbeck Physiological Simulator: Parameter Tables, Equations, and Fidelity Validation</w:t>
      </w:r>
    </w:p>
    <w:p w14:paraId="2BD4AD52">
      <w:pPr>
        <w:keepNext w:val="0"/>
        <w:keepLines w:val="0"/>
        <w:pageBreakBefore w:val="0"/>
        <w:widowControl/>
        <w:kinsoku/>
        <w:wordWrap/>
        <w:overflowPunct/>
        <w:topLinePunct w:val="0"/>
        <w:autoSpaceDE/>
        <w:autoSpaceDN/>
        <w:bidi w:val="0"/>
        <w:adjustRightInd/>
        <w:snapToGrid/>
        <w:spacing w:after="360" w:line="480" w:lineRule="auto"/>
        <w:jc w:val="center"/>
        <w:textAlignment w:val="auto"/>
        <w:rPr>
          <w:rFonts w:hint="default" w:ascii="Times New Roman" w:hAnsi="Times New Roman" w:cs="Times New Roman"/>
          <w:i w:val="0"/>
          <w:iCs w:val="0"/>
          <w:sz w:val="22"/>
          <w:szCs w:val="22"/>
        </w:rPr>
      </w:pPr>
      <w:r>
        <w:rPr>
          <w:rFonts w:hint="default" w:ascii="Times New Roman" w:hAnsi="Times New Roman" w:cs="Times New Roman"/>
          <w:i w:val="0"/>
          <w:iCs w:val="0"/>
          <w:sz w:val="22"/>
          <w:szCs w:val="22"/>
        </w:rPr>
        <w:t>Manuscript: Real-time prediction of trauma-induced coagulopathy using an inverted transformer (Trauma-Former): a methodological feasibility and simulation study based on the ADEMP framework</w:t>
      </w:r>
    </w:p>
    <w:p w14:paraId="468535AE">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S1.1 Overview and Rationale</w:t>
      </w:r>
    </w:p>
    <w:p w14:paraId="62AED8FF">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This supplementary document provides the complete technical specification of the synthetic physiological data generator used to produce all training, validation, and test data in the present study. The generator is based on the Ornstein–Uhlenbeck (OU) stochastic process, a mean-reverting stochastic differential equation widely applied to model bounded physiological dynamics. Because the study uses exclusively synthetic data, full transparency regarding the generative model is essential both for reproducibility and for interpreting the reported performance metrics in the appropriate context.</w:t>
      </w:r>
    </w:p>
    <w:p w14:paraId="2CCD23DE">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It is critical to acknowledge at the outset that this generator is a deliberate and substantial simplification of real trauma physiology. Compensated hemorrhagic shock in clinical practice is characterised by non-linear, heterogeneous, and often abrupt hemodynamic deterioration, influenced by injury severity, age, comorbidities, prehospital interventions, and individual compensatory reserve. The linear drift model employed here approximates only the broad directional trends of early compensated shock and is explicitly designed to yield an upper-bound estimate of model discrimination under controlled, idealised conditions. The performance metrics reported in the main manuscript should therefore not be extrapolated to real-world clinical performance.</w:t>
      </w:r>
    </w:p>
    <w:p w14:paraId="16C4688F">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S1.2 Mathematical Formulation</w:t>
      </w:r>
    </w:p>
    <w:p w14:paraId="0360F051">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S1.2.1 Baseline OU Process</w:t>
      </w:r>
    </w:p>
    <w:p w14:paraId="5D98BCE6">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For each vital sign i ∈ {HR, SBP, DBP, SpO₂}, the underlying continuous-time stochastic process is governed by the OU stochastic differential equation:</w:t>
      </w:r>
    </w:p>
    <w:p w14:paraId="3421FCB0">
      <w:pPr>
        <w:keepNext w:val="0"/>
        <w:keepLines w:val="0"/>
        <w:pageBreakBefore w:val="0"/>
        <w:widowControl/>
        <w:kinsoku/>
        <w:wordWrap/>
        <w:overflowPunct/>
        <w:topLinePunct w:val="0"/>
        <w:autoSpaceDE/>
        <w:autoSpaceDN/>
        <w:bidi w:val="0"/>
        <w:adjustRightInd/>
        <w:snapToGrid/>
        <w:spacing w:before="80" w:after="80" w:line="480" w:lineRule="auto"/>
        <w:jc w:val="center"/>
        <w:textAlignment w:val="auto"/>
        <w:rPr>
          <w:rFonts w:hint="default" w:ascii="Times New Roman" w:hAnsi="Times New Roman" w:cs="Times New Roman"/>
          <w:i w:val="0"/>
          <w:iCs w:val="0"/>
          <w:sz w:val="22"/>
          <w:szCs w:val="22"/>
        </w:rPr>
      </w:pPr>
      <m:oMath>
        <m:r>
          <m:rPr>
            <m:sty m:val="p"/>
          </m:rPr>
          <w:rPr>
            <w:rFonts w:hint="default" w:ascii="Cambria Math" w:hAnsi="Cambria Math" w:eastAsiaTheme="minorEastAsia"/>
            <w:sz w:val="22"/>
          </w:rPr>
          <m:t>d</m:t>
        </m:r>
        <m:sSub>
          <m:sSubPr>
            <m:ctrlPr>
              <w:rPr>
                <w:rFonts w:hint="default" w:ascii="Cambria Math" w:hAnsi="Cambria Math" w:eastAsiaTheme="minorEastAsia"/>
                <w:sz w:val="22"/>
              </w:rPr>
            </m:ctrlPr>
          </m:sSubPr>
          <m:e>
            <m:r>
              <m:rPr/>
              <w:rPr>
                <w:rFonts w:hint="default" w:ascii="Cambria Math" w:hAnsi="Cambria Math" w:eastAsiaTheme="minorEastAsia"/>
                <w:sz w:val="22"/>
              </w:rPr>
              <m:t>X</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(t)=</m:t>
        </m:r>
        <m:sSub>
          <m:sSubPr>
            <m:ctrlPr>
              <w:rPr>
                <w:rFonts w:hint="default" w:ascii="Cambria Math" w:hAnsi="Cambria Math" w:eastAsiaTheme="minorEastAsia"/>
                <w:sz w:val="22"/>
              </w:rPr>
            </m:ctrlPr>
          </m:sSubPr>
          <m:e>
            <m:r>
              <m:rPr/>
              <w:rPr>
                <w:rFonts w:hint="default" w:ascii="Cambria Math" w:hAnsi="Cambria Math" w:eastAsiaTheme="minorEastAsia"/>
                <w:sz w:val="22"/>
              </w:rPr>
              <m:t>θ</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m:t>
        </m:r>
        <m:sSub>
          <m:sSubPr>
            <m:ctrlPr>
              <w:rPr>
                <w:rFonts w:hint="default" w:ascii="Cambria Math" w:hAnsi="Cambria Math" w:eastAsiaTheme="minorEastAsia"/>
                <w:sz w:val="22"/>
              </w:rPr>
            </m:ctrlPr>
          </m:sSubPr>
          <m:e>
            <m:r>
              <m:rPr/>
              <w:rPr>
                <w:rFonts w:hint="default" w:ascii="Cambria Math" w:hAnsi="Cambria Math" w:eastAsiaTheme="minorEastAsia"/>
                <w:sz w:val="22"/>
              </w:rPr>
              <m:t>μ</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(t)−</m:t>
        </m:r>
        <m:sSub>
          <m:sSubPr>
            <m:ctrlPr>
              <w:rPr>
                <w:rFonts w:hint="default" w:ascii="Cambria Math" w:hAnsi="Cambria Math" w:eastAsiaTheme="minorEastAsia"/>
                <w:sz w:val="22"/>
              </w:rPr>
            </m:ctrlPr>
          </m:sSubPr>
          <m:e>
            <m:r>
              <m:rPr/>
              <w:rPr>
                <w:rFonts w:hint="default" w:ascii="Cambria Math" w:hAnsi="Cambria Math" w:eastAsiaTheme="minorEastAsia"/>
                <w:sz w:val="22"/>
              </w:rPr>
              <m:t>X</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(t)]</m:t>
        </m:r>
        <m:r>
          <m:rPr>
            <m:sty m:val="p"/>
          </m:rPr>
          <w:rPr>
            <w:rFonts w:hint="default" w:ascii="Cambria Math" w:hAnsi="Cambria Math" w:eastAsiaTheme="minorEastAsia"/>
            <w:sz w:val="22"/>
          </w:rPr>
          <m:t>d</m:t>
        </m:r>
        <m:r>
          <m:rPr/>
          <w:rPr>
            <w:rFonts w:hint="default" w:ascii="Cambria Math" w:hAnsi="Cambria Math" w:eastAsiaTheme="minorEastAsia"/>
            <w:sz w:val="22"/>
          </w:rPr>
          <m:t>t+</m:t>
        </m:r>
        <m:sSub>
          <m:sSubPr>
            <m:ctrlPr>
              <w:rPr>
                <w:rFonts w:hint="default" w:ascii="Cambria Math" w:hAnsi="Cambria Math" w:eastAsiaTheme="minorEastAsia"/>
                <w:sz w:val="22"/>
              </w:rPr>
            </m:ctrlPr>
          </m:sSubPr>
          <m:e>
            <m:r>
              <m:rPr/>
              <w:rPr>
                <w:rFonts w:hint="default" w:ascii="Cambria Math" w:hAnsi="Cambria Math" w:eastAsiaTheme="minorEastAsia"/>
                <w:sz w:val="22"/>
              </w:rPr>
              <m:t>σ</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m:sty m:val="p"/>
          </m:rPr>
          <w:rPr>
            <w:rFonts w:hint="default" w:ascii="Cambria Math" w:hAnsi="Cambria Math" w:eastAsiaTheme="minorEastAsia"/>
            <w:sz w:val="22"/>
          </w:rPr>
          <m:t>d</m:t>
        </m:r>
        <m:sSub>
          <m:sSubPr>
            <m:ctrlPr>
              <w:rPr>
                <w:rFonts w:hint="default" w:ascii="Cambria Math" w:hAnsi="Cambria Math" w:eastAsiaTheme="minorEastAsia"/>
                <w:sz w:val="22"/>
              </w:rPr>
            </m:ctrlPr>
          </m:sSubPr>
          <m:e>
            <m:r>
              <m:rPr/>
              <w:rPr>
                <w:rFonts w:hint="default" w:ascii="Cambria Math" w:hAnsi="Cambria Math" w:eastAsiaTheme="minorEastAsia"/>
                <w:sz w:val="22"/>
              </w:rPr>
              <m:t>W</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(t)</m:t>
        </m:r>
      </m:oMath>
      <w:r>
        <w:rPr>
          <w:rFonts w:hint="eastAsia" w:hAnsi="Cambria Math" w:eastAsia="宋体"/>
          <w:i w:val="0"/>
          <w:sz w:val="22"/>
          <w:lang w:val="en-US" w:eastAsia="zh-CN"/>
        </w:rPr>
        <w:t xml:space="preserve"> </w:t>
      </w:r>
      <w:r>
        <w:rPr>
          <w:rFonts w:hint="default" w:ascii="Times New Roman" w:hAnsi="Times New Roman" w:cs="Times New Roman"/>
          <w:i w:val="0"/>
          <w:iCs w:val="0"/>
          <w:sz w:val="22"/>
          <w:szCs w:val="22"/>
        </w:rPr>
        <w:t>(Eq. 1)</w:t>
      </w:r>
    </w:p>
    <w:p w14:paraId="6033B96E">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where:</w:t>
      </w:r>
    </w:p>
    <w:p w14:paraId="79965978">
      <w:pPr>
        <w:pStyle w:val="16"/>
        <w:keepNext w:val="0"/>
        <w:keepLines w:val="0"/>
        <w:pageBreakBefore w:val="0"/>
        <w:widowControl/>
        <w:kinsoku/>
        <w:wordWrap/>
        <w:overflowPunct/>
        <w:topLinePunct w:val="0"/>
        <w:autoSpaceDE/>
        <w:autoSpaceDN/>
        <w:bidi w:val="0"/>
        <w:adjustRightInd/>
        <w:snapToGrid/>
        <w:spacing w:after="60" w:line="480" w:lineRule="auto"/>
        <w:textAlignment w:val="auto"/>
        <w:rPr>
          <w:rFonts w:hint="default" w:ascii="Times New Roman" w:hAnsi="Times New Roman" w:cs="Times New Roman"/>
          <w:i w:val="0"/>
          <w:iCs w:val="0"/>
          <w:sz w:val="22"/>
          <w:szCs w:val="22"/>
        </w:rPr>
      </w:pPr>
      <m:oMath>
        <m:sSub>
          <m:sSubPr>
            <m:ctrlPr>
              <w:rPr>
                <w:rFonts w:hint="default" w:ascii="Cambria Math" w:hAnsi="Cambria Math" w:eastAsiaTheme="minorEastAsia"/>
                <w:sz w:val="22"/>
              </w:rPr>
            </m:ctrlPr>
          </m:sSubPr>
          <m:e>
            <m:r>
              <m:rPr/>
              <w:rPr>
                <w:rFonts w:hint="default" w:ascii="Cambria Math" w:hAnsi="Cambria Math" w:eastAsiaTheme="minorEastAsia"/>
                <w:sz w:val="22"/>
              </w:rPr>
              <m:t>X</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(t)</m:t>
        </m:r>
      </m:oMath>
      <w:r>
        <w:rPr>
          <w:rFonts w:hint="default" w:ascii="Times New Roman" w:hAnsi="Times New Roman" w:cs="Times New Roman"/>
          <w:i w:val="0"/>
          <w:iCs w:val="0"/>
          <w:sz w:val="22"/>
          <w:szCs w:val="22"/>
        </w:rPr>
        <w:t xml:space="preserve"> is the value of vital sign i at time t (seconds);</w:t>
      </w:r>
    </w:p>
    <w:p w14:paraId="03111988">
      <w:pPr>
        <w:pStyle w:val="16"/>
        <w:keepNext w:val="0"/>
        <w:keepLines w:val="0"/>
        <w:pageBreakBefore w:val="0"/>
        <w:widowControl/>
        <w:kinsoku/>
        <w:wordWrap/>
        <w:overflowPunct/>
        <w:topLinePunct w:val="0"/>
        <w:autoSpaceDE/>
        <w:autoSpaceDN/>
        <w:bidi w:val="0"/>
        <w:adjustRightInd/>
        <w:snapToGrid/>
        <w:spacing w:after="60" w:line="480" w:lineRule="auto"/>
        <w:textAlignment w:val="auto"/>
        <w:rPr>
          <w:rFonts w:hint="default" w:ascii="Times New Roman" w:hAnsi="Times New Roman" w:cs="Times New Roman"/>
          <w:i w:val="0"/>
          <w:iCs w:val="0"/>
          <w:sz w:val="22"/>
          <w:szCs w:val="22"/>
        </w:rPr>
      </w:pPr>
      <m:oMath>
        <m:sSub>
          <m:sSubPr>
            <m:ctrlPr>
              <w:rPr>
                <w:rFonts w:hint="default" w:ascii="Cambria Math" w:hAnsi="Cambria Math" w:eastAsiaTheme="minorEastAsia"/>
                <w:sz w:val="22"/>
              </w:rPr>
            </m:ctrlPr>
          </m:sSubPr>
          <m:e>
            <m:r>
              <m:rPr/>
              <w:rPr>
                <w:rFonts w:hint="default" w:ascii="Cambria Math" w:hAnsi="Cambria Math" w:eastAsiaTheme="minorEastAsia"/>
                <w:sz w:val="22"/>
              </w:rPr>
              <m:t>θ</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oMath>
      <w:r>
        <w:rPr>
          <w:rFonts w:hint="default" w:ascii="Times New Roman" w:hAnsi="Times New Roman" w:cs="Times New Roman"/>
          <w:i w:val="0"/>
          <w:iCs w:val="0"/>
          <w:sz w:val="22"/>
          <w:szCs w:val="22"/>
        </w:rPr>
        <w:t xml:space="preserve"> &gt; 0 is the mean-reversion (drift) coefficient controlling the speed of return to the mean;</w:t>
      </w:r>
    </w:p>
    <w:p w14:paraId="02EF7868">
      <w:pPr>
        <w:pStyle w:val="16"/>
        <w:keepNext w:val="0"/>
        <w:keepLines w:val="0"/>
        <w:pageBreakBefore w:val="0"/>
        <w:widowControl/>
        <w:kinsoku/>
        <w:wordWrap/>
        <w:overflowPunct/>
        <w:topLinePunct w:val="0"/>
        <w:autoSpaceDE/>
        <w:autoSpaceDN/>
        <w:bidi w:val="0"/>
        <w:adjustRightInd/>
        <w:snapToGrid/>
        <w:spacing w:after="60" w:line="480" w:lineRule="auto"/>
        <w:textAlignment w:val="auto"/>
        <w:rPr>
          <w:rFonts w:hint="default" w:ascii="Times New Roman" w:hAnsi="Times New Roman" w:cs="Times New Roman"/>
          <w:i w:val="0"/>
          <w:iCs w:val="0"/>
          <w:sz w:val="22"/>
          <w:szCs w:val="22"/>
        </w:rPr>
      </w:pPr>
      <m:oMath>
        <m:sSub>
          <m:sSubPr>
            <m:ctrlPr>
              <w:rPr>
                <w:rFonts w:hint="default" w:ascii="Cambria Math" w:hAnsi="Cambria Math" w:eastAsiaTheme="minorEastAsia"/>
                <w:sz w:val="22"/>
              </w:rPr>
            </m:ctrlPr>
          </m:sSubPr>
          <m:e>
            <m:r>
              <m:rPr/>
              <w:rPr>
                <w:rFonts w:hint="default" w:ascii="Cambria Math" w:hAnsi="Cambria Math" w:eastAsiaTheme="minorEastAsia"/>
                <w:sz w:val="22"/>
              </w:rPr>
              <m:t>μ</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(t)</m:t>
        </m:r>
      </m:oMath>
      <w:r>
        <w:rPr>
          <w:rFonts w:hint="default" w:ascii="Times New Roman" w:hAnsi="Times New Roman" w:cs="Times New Roman"/>
          <w:i w:val="0"/>
          <w:iCs w:val="0"/>
          <w:sz w:val="22"/>
          <w:szCs w:val="22"/>
        </w:rPr>
        <w:t xml:space="preserve"> is the time-varying mean (defined below);</w:t>
      </w:r>
    </w:p>
    <w:p w14:paraId="1C159F66">
      <w:pPr>
        <w:pStyle w:val="16"/>
        <w:keepNext w:val="0"/>
        <w:keepLines w:val="0"/>
        <w:pageBreakBefore w:val="0"/>
        <w:widowControl/>
        <w:kinsoku/>
        <w:wordWrap/>
        <w:overflowPunct/>
        <w:topLinePunct w:val="0"/>
        <w:autoSpaceDE/>
        <w:autoSpaceDN/>
        <w:bidi w:val="0"/>
        <w:adjustRightInd/>
        <w:snapToGrid/>
        <w:spacing w:after="60" w:line="480" w:lineRule="auto"/>
        <w:textAlignment w:val="auto"/>
        <w:rPr>
          <w:rFonts w:hint="default" w:ascii="Times New Roman" w:hAnsi="Times New Roman" w:cs="Times New Roman"/>
          <w:i w:val="0"/>
          <w:iCs w:val="0"/>
          <w:sz w:val="22"/>
          <w:szCs w:val="22"/>
        </w:rPr>
      </w:pPr>
      <m:oMath>
        <m:sSub>
          <m:sSubPr>
            <m:ctrlPr>
              <w:rPr>
                <w:rFonts w:hint="default" w:ascii="Cambria Math" w:hAnsi="Cambria Math" w:eastAsiaTheme="minorEastAsia"/>
                <w:sz w:val="22"/>
              </w:rPr>
            </m:ctrlPr>
          </m:sSubPr>
          <m:e>
            <m:r>
              <m:rPr/>
              <w:rPr>
                <w:rFonts w:hint="default" w:ascii="Cambria Math" w:hAnsi="Cambria Math" w:eastAsiaTheme="minorEastAsia"/>
                <w:sz w:val="22"/>
              </w:rPr>
              <m:t>σ</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oMath>
      <w:r>
        <w:rPr>
          <w:rFonts w:hint="default" w:ascii="Times New Roman" w:hAnsi="Times New Roman" w:cs="Times New Roman"/>
          <w:i w:val="0"/>
          <w:iCs w:val="0"/>
          <w:sz w:val="22"/>
          <w:szCs w:val="22"/>
        </w:rPr>
        <w:t xml:space="preserve"> &gt; 0 is the volatility (noise) coefficient;</w:t>
      </w:r>
    </w:p>
    <w:p w14:paraId="4F27922D">
      <w:pPr>
        <w:pStyle w:val="16"/>
        <w:keepNext w:val="0"/>
        <w:keepLines w:val="0"/>
        <w:pageBreakBefore w:val="0"/>
        <w:widowControl/>
        <w:kinsoku/>
        <w:wordWrap/>
        <w:overflowPunct/>
        <w:topLinePunct w:val="0"/>
        <w:autoSpaceDE/>
        <w:autoSpaceDN/>
        <w:bidi w:val="0"/>
        <w:adjustRightInd/>
        <w:snapToGrid/>
        <w:spacing w:after="60" w:line="480" w:lineRule="auto"/>
        <w:textAlignment w:val="auto"/>
        <w:rPr>
          <w:rFonts w:hint="default" w:ascii="Times New Roman" w:hAnsi="Times New Roman" w:cs="Times New Roman"/>
          <w:i w:val="0"/>
          <w:iCs w:val="0"/>
          <w:sz w:val="22"/>
          <w:szCs w:val="22"/>
        </w:rPr>
      </w:pPr>
      <m:oMath>
        <m:sSub>
          <m:sSubPr>
            <m:ctrlPr>
              <w:rPr>
                <w:rFonts w:hint="default" w:ascii="Cambria Math" w:hAnsi="Cambria Math" w:eastAsiaTheme="minorEastAsia"/>
                <w:sz w:val="22"/>
              </w:rPr>
            </m:ctrlPr>
          </m:sSubPr>
          <m:e>
            <m:r>
              <m:rPr/>
              <w:rPr>
                <w:rFonts w:hint="default" w:ascii="Cambria Math" w:hAnsi="Cambria Math" w:eastAsiaTheme="minorEastAsia"/>
                <w:sz w:val="22"/>
              </w:rPr>
              <m:t>W</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(t)</m:t>
        </m:r>
      </m:oMath>
      <w:r>
        <w:rPr>
          <w:rFonts w:hint="default" w:ascii="Times New Roman" w:hAnsi="Times New Roman" w:cs="Times New Roman"/>
          <w:i w:val="0"/>
          <w:iCs w:val="0"/>
          <w:sz w:val="22"/>
          <w:szCs w:val="22"/>
        </w:rPr>
        <w:t xml:space="preserve"> is an independent standard Wiener process.</w:t>
      </w:r>
    </w:p>
    <w:p w14:paraId="4DE27C28">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auto"/>
        <w:ind w:left="0" w:right="0" w:firstLine="0"/>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 xml:space="preserve">The stationary distribution of the OU process is Gaussian with mean μᵢ and standard deviation </w:t>
      </w:r>
      <m:oMath>
        <m:sSub>
          <m:sSubPr>
            <m:ctrlPr>
              <w:rPr>
                <w:rFonts w:hint="default" w:ascii="Cambria Math" w:hAnsi="Cambria Math" w:eastAsiaTheme="minorEastAsia"/>
                <w:sz w:val="22"/>
              </w:rPr>
            </m:ctrlPr>
          </m:sSubPr>
          <m:e>
            <m:r>
              <m:rPr/>
              <w:rPr>
                <w:rFonts w:hint="default" w:ascii="Cambria Math" w:hAnsi="Cambria Math" w:eastAsiaTheme="minorEastAsia"/>
                <w:sz w:val="22"/>
              </w:rPr>
              <m:t>σ</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m:t>
        </m:r>
        <m:rad>
          <m:radPr>
            <m:degHide m:val="1"/>
            <m:ctrlPr>
              <w:rPr>
                <w:rFonts w:hint="default" w:ascii="Cambria Math" w:hAnsi="Cambria Math" w:eastAsiaTheme="minorEastAsia"/>
                <w:sz w:val="22"/>
              </w:rPr>
            </m:ctrlPr>
          </m:radPr>
          <m:deg>
            <m:ctrlPr>
              <w:rPr>
                <w:rFonts w:ascii="Cambria Math" w:hAnsi="Cambria Math" w:eastAsiaTheme="minorEastAsia"/>
                <w:sz w:val="22"/>
              </w:rPr>
            </m:ctrlPr>
          </m:deg>
          <m:e>
            <m:r>
              <m:rPr/>
              <w:rPr>
                <w:rFonts w:hint="default" w:ascii="Cambria Math" w:hAnsi="Cambria Math" w:eastAsiaTheme="minorEastAsia"/>
                <w:sz w:val="22"/>
              </w:rPr>
              <m:t>2</m:t>
            </m:r>
            <m:sSub>
              <m:sSubPr>
                <m:ctrlPr>
                  <w:rPr>
                    <w:rFonts w:hint="default" w:ascii="Cambria Math" w:hAnsi="Cambria Math" w:eastAsiaTheme="minorEastAsia"/>
                    <w:sz w:val="22"/>
                  </w:rPr>
                </m:ctrlPr>
              </m:sSubPr>
              <m:e>
                <m:r>
                  <m:rPr/>
                  <w:rPr>
                    <w:rFonts w:hint="default" w:ascii="Cambria Math" w:hAnsi="Cambria Math" w:eastAsiaTheme="minorEastAsia"/>
                    <w:sz w:val="22"/>
                  </w:rPr>
                  <m:t>θ</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ctrlPr>
              <w:rPr>
                <w:rFonts w:hint="default" w:ascii="Cambria Math" w:hAnsi="Cambria Math" w:eastAsiaTheme="minorEastAsia"/>
                <w:sz w:val="22"/>
              </w:rPr>
            </m:ctrlPr>
          </m:e>
        </m:rad>
      </m:oMath>
      <w:r>
        <w:rPr>
          <w:rFonts w:hint="default" w:ascii="Times New Roman" w:hAnsi="Times New Roman" w:cs="Times New Roman"/>
          <w:b w:val="0"/>
          <w:i w:val="0"/>
          <w:iCs w:val="0"/>
          <w:sz w:val="22"/>
          <w:szCs w:val="22"/>
        </w:rPr>
        <w:t xml:space="preserve">. For the control (non-TIC) group, </w:t>
      </w:r>
      <m:oMath>
        <m:sSub>
          <m:sSubPr>
            <m:ctrlPr>
              <w:rPr>
                <w:rFonts w:hint="default" w:ascii="Cambria Math" w:hAnsi="Cambria Math" w:eastAsia="var(--ds-font-family-code)"/>
              </w:rPr>
            </m:ctrlPr>
          </m:sSubPr>
          <m:e>
            <m:r>
              <m:rPr/>
              <w:rPr>
                <w:rFonts w:hint="default" w:ascii="Cambria Math" w:hAnsi="Cambria Math" w:eastAsia="var(--ds-font-family-code)"/>
              </w:rPr>
              <m:t>μ</m:t>
            </m:r>
            <m:ctrlPr>
              <w:rPr>
                <w:rFonts w:ascii="Cambria Math" w:hAnsi="Cambria Math" w:eastAsia="var(--ds-font-family-code)"/>
              </w:rPr>
            </m:ctrlPr>
          </m:e>
          <m:sub>
            <m:r>
              <m:rPr/>
              <w:rPr>
                <w:rFonts w:hint="default" w:ascii="Cambria Math" w:hAnsi="Cambria Math" w:eastAsia="var(--ds-font-family-code)"/>
              </w:rPr>
              <m:t>i</m:t>
            </m:r>
            <m:ctrlPr>
              <w:rPr>
                <w:rFonts w:ascii="Cambria Math" w:hAnsi="Cambria Math" w:eastAsia="var(--ds-font-family-code)"/>
              </w:rPr>
            </m:ctrlPr>
          </m:sub>
        </m:sSub>
        <m:r>
          <m:rPr/>
          <w:rPr>
            <w:rFonts w:hint="default" w:ascii="Cambria Math" w:hAnsi="Cambria Math" w:eastAsia="var(--ds-font-family-code)"/>
          </w:rPr>
          <m:t>(t)≡</m:t>
        </m:r>
        <m:sSub>
          <m:sSubPr>
            <m:ctrlPr>
              <w:rPr>
                <w:rFonts w:hint="default" w:ascii="Cambria Math" w:hAnsi="Cambria Math" w:eastAsia="var(--ds-font-family-code)"/>
              </w:rPr>
            </m:ctrlPr>
          </m:sSubPr>
          <m:e>
            <m:r>
              <m:rPr/>
              <w:rPr>
                <w:rFonts w:hint="default" w:ascii="Cambria Math" w:hAnsi="Cambria Math" w:eastAsia="var(--ds-font-family-code)"/>
              </w:rPr>
              <m:t>μ</m:t>
            </m:r>
            <m:ctrlPr>
              <w:rPr>
                <w:rFonts w:ascii="Cambria Math" w:hAnsi="Cambria Math" w:eastAsia="var(--ds-font-family-code)"/>
              </w:rPr>
            </m:ctrlPr>
          </m:e>
          <m:sub>
            <m:r>
              <m:rPr/>
              <w:rPr>
                <w:rFonts w:hint="default" w:ascii="Cambria Math" w:hAnsi="Cambria Math" w:eastAsia="var(--ds-font-family-code)"/>
              </w:rPr>
              <m:t>i,</m:t>
            </m:r>
            <m:r>
              <m:rPr>
                <m:sty m:val="p"/>
              </m:rPr>
              <w:rPr>
                <w:rFonts w:hint="default" w:ascii="Cambria Math" w:hAnsi="Cambria Math" w:eastAsia="var(--ds-font-family-code)"/>
              </w:rPr>
              <m:t>baseline</m:t>
            </m:r>
            <m:ctrlPr>
              <w:rPr>
                <w:rFonts w:ascii="Cambria Math" w:hAnsi="Cambria Math" w:eastAsia="var(--ds-font-family-code)"/>
              </w:rPr>
            </m:ctrlPr>
          </m:sub>
        </m:sSub>
      </m:oMath>
      <w:r>
        <w:rPr>
          <w:rFonts w:hint="default" w:ascii="Times New Roman" w:hAnsi="Times New Roman" w:cs="Times New Roman"/>
          <w:b w:val="0"/>
          <w:i w:val="0"/>
          <w:iCs w:val="0"/>
          <w:sz w:val="22"/>
          <w:szCs w:val="22"/>
        </w:rPr>
        <w:t xml:space="preserve"> (constant), and the process fluctuates stochastically around the baseline mean.</w:t>
      </w:r>
    </w:p>
    <w:p w14:paraId="6C5F708F">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S1.2.2 Euler–Maruyama Discretisation</w:t>
      </w:r>
    </w:p>
    <w:p w14:paraId="2071E3A5">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For numerical simulation at a sampling rate of 1 Hz (</w:t>
      </w:r>
      <m:oMath>
        <m:r>
          <m:rPr>
            <m:sty m:val="p"/>
          </m:rPr>
          <w:rPr>
            <w:rFonts w:hint="default" w:ascii="Cambria Math" w:hAnsi="Cambria Math" w:eastAsiaTheme="minorEastAsia"/>
            <w:sz w:val="22"/>
          </w:rPr>
          <m:t>d</m:t>
        </m:r>
        <m:r>
          <m:rPr/>
          <w:rPr>
            <w:rFonts w:hint="default" w:ascii="Cambria Math" w:hAnsi="Cambria Math" w:eastAsiaTheme="minorEastAsia"/>
            <w:sz w:val="22"/>
          </w:rPr>
          <m:t>t</m:t>
        </m:r>
      </m:oMath>
      <w:r>
        <w:rPr>
          <w:rFonts w:hint="default" w:ascii="Times New Roman" w:hAnsi="Times New Roman" w:cs="Times New Roman"/>
          <w:b w:val="0"/>
          <w:i w:val="0"/>
          <w:iCs w:val="0"/>
          <w:sz w:val="22"/>
          <w:szCs w:val="22"/>
        </w:rPr>
        <w:t xml:space="preserve"> = 1 s), the Euler–Maruyama discretisation scheme is employed:</w:t>
      </w:r>
    </w:p>
    <w:p w14:paraId="790086AB">
      <w:pPr>
        <w:keepNext w:val="0"/>
        <w:keepLines w:val="0"/>
        <w:pageBreakBefore w:val="0"/>
        <w:widowControl/>
        <w:kinsoku/>
        <w:wordWrap/>
        <w:overflowPunct/>
        <w:topLinePunct w:val="0"/>
        <w:autoSpaceDE/>
        <w:autoSpaceDN/>
        <w:bidi w:val="0"/>
        <w:adjustRightInd/>
        <w:snapToGrid/>
        <w:spacing w:after="80" w:line="480" w:lineRule="auto"/>
        <w:jc w:val="center"/>
        <w:textAlignment w:val="auto"/>
        <w:rPr>
          <w:rFonts w:hint="default" w:ascii="Times New Roman" w:hAnsi="Times New Roman" w:cs="Times New Roman"/>
          <w:i w:val="0"/>
          <w:iCs w:val="0"/>
          <w:sz w:val="22"/>
          <w:szCs w:val="22"/>
        </w:rPr>
      </w:pPr>
      <m:oMath>
        <m:sSub>
          <m:sSubPr>
            <m:ctrlPr>
              <w:rPr>
                <w:rFonts w:hint="default" w:ascii="Cambria Math" w:hAnsi="Cambria Math" w:eastAsiaTheme="minorEastAsia"/>
                <w:sz w:val="22"/>
              </w:rPr>
            </m:ctrlPr>
          </m:sSubPr>
          <m:e>
            <m:r>
              <m:rPr/>
              <w:rPr>
                <w:rFonts w:hint="default" w:ascii="Cambria Math" w:hAnsi="Cambria Math" w:eastAsiaTheme="minorEastAsia"/>
                <w:sz w:val="22"/>
              </w:rPr>
              <m:t>X</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(t+1)=</m:t>
        </m:r>
        <m:sSub>
          <m:sSubPr>
            <m:ctrlPr>
              <w:rPr>
                <w:rFonts w:hint="default" w:ascii="Cambria Math" w:hAnsi="Cambria Math" w:eastAsiaTheme="minorEastAsia"/>
                <w:sz w:val="22"/>
              </w:rPr>
            </m:ctrlPr>
          </m:sSubPr>
          <m:e>
            <m:r>
              <m:rPr/>
              <w:rPr>
                <w:rFonts w:hint="default" w:ascii="Cambria Math" w:hAnsi="Cambria Math" w:eastAsiaTheme="minorEastAsia"/>
                <w:sz w:val="22"/>
              </w:rPr>
              <m:t>X</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(t)+</m:t>
        </m:r>
        <m:sSub>
          <m:sSubPr>
            <m:ctrlPr>
              <w:rPr>
                <w:rFonts w:hint="default" w:ascii="Cambria Math" w:hAnsi="Cambria Math" w:eastAsiaTheme="minorEastAsia"/>
                <w:sz w:val="22"/>
              </w:rPr>
            </m:ctrlPr>
          </m:sSubPr>
          <m:e>
            <m:r>
              <m:rPr/>
              <w:rPr>
                <w:rFonts w:hint="default" w:ascii="Cambria Math" w:hAnsi="Cambria Math" w:eastAsiaTheme="minorEastAsia"/>
                <w:sz w:val="22"/>
              </w:rPr>
              <m:t>θ</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m:t>
        </m:r>
        <m:sSub>
          <m:sSubPr>
            <m:ctrlPr>
              <w:rPr>
                <w:rFonts w:hint="default" w:ascii="Cambria Math" w:hAnsi="Cambria Math" w:eastAsiaTheme="minorEastAsia"/>
                <w:sz w:val="22"/>
              </w:rPr>
            </m:ctrlPr>
          </m:sSubPr>
          <m:e>
            <m:r>
              <m:rPr/>
              <w:rPr>
                <w:rFonts w:hint="default" w:ascii="Cambria Math" w:hAnsi="Cambria Math" w:eastAsiaTheme="minorEastAsia"/>
                <w:sz w:val="22"/>
              </w:rPr>
              <m:t>μ</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(t)−</m:t>
        </m:r>
        <m:sSub>
          <m:sSubPr>
            <m:ctrlPr>
              <w:rPr>
                <w:rFonts w:hint="default" w:ascii="Cambria Math" w:hAnsi="Cambria Math" w:eastAsiaTheme="minorEastAsia"/>
                <w:sz w:val="22"/>
              </w:rPr>
            </m:ctrlPr>
          </m:sSubPr>
          <m:e>
            <m:r>
              <m:rPr/>
              <w:rPr>
                <w:rFonts w:hint="default" w:ascii="Cambria Math" w:hAnsi="Cambria Math" w:eastAsiaTheme="minorEastAsia"/>
                <w:sz w:val="22"/>
              </w:rPr>
              <m:t>X</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(t)]</m:t>
        </m:r>
        <m:r>
          <m:rPr>
            <m:sty m:val="p"/>
          </m:rPr>
          <w:rPr>
            <w:rFonts w:hint="default" w:ascii="Cambria Math" w:hAnsi="Cambria Math" w:eastAsiaTheme="minorEastAsia"/>
            <w:sz w:val="22"/>
          </w:rPr>
          <m:t>d</m:t>
        </m:r>
        <m:r>
          <m:rPr/>
          <w:rPr>
            <w:rFonts w:hint="default" w:ascii="Cambria Math" w:hAnsi="Cambria Math" w:eastAsiaTheme="minorEastAsia"/>
            <w:sz w:val="22"/>
          </w:rPr>
          <m:t>t+</m:t>
        </m:r>
        <m:sSub>
          <m:sSubPr>
            <m:ctrlPr>
              <w:rPr>
                <w:rFonts w:hint="default" w:ascii="Cambria Math" w:hAnsi="Cambria Math" w:eastAsiaTheme="minorEastAsia"/>
                <w:sz w:val="22"/>
              </w:rPr>
            </m:ctrlPr>
          </m:sSubPr>
          <m:e>
            <m:r>
              <m:rPr/>
              <w:rPr>
                <w:rFonts w:hint="default" w:ascii="Cambria Math" w:hAnsi="Cambria Math" w:eastAsiaTheme="minorEastAsia"/>
                <w:sz w:val="22"/>
              </w:rPr>
              <m:t>σ</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ad>
          <m:radPr>
            <m:degHide m:val="1"/>
            <m:ctrlPr>
              <w:rPr>
                <w:rFonts w:hint="default" w:ascii="Cambria Math" w:hAnsi="Cambria Math" w:eastAsiaTheme="minorEastAsia"/>
                <w:sz w:val="22"/>
              </w:rPr>
            </m:ctrlPr>
          </m:radPr>
          <m:deg>
            <m:ctrlPr>
              <w:rPr>
                <w:rFonts w:ascii="Cambria Math" w:hAnsi="Cambria Math" w:eastAsiaTheme="minorEastAsia"/>
                <w:sz w:val="22"/>
              </w:rPr>
            </m:ctrlPr>
          </m:deg>
          <m:e>
            <m:r>
              <m:rPr>
                <m:sty m:val="p"/>
              </m:rPr>
              <w:rPr>
                <w:rFonts w:hint="default" w:ascii="Cambria Math" w:hAnsi="Cambria Math" w:eastAsiaTheme="minorEastAsia"/>
                <w:sz w:val="22"/>
              </w:rPr>
              <m:t>d</m:t>
            </m:r>
            <m:r>
              <m:rPr/>
              <w:rPr>
                <w:rFonts w:hint="default" w:ascii="Cambria Math" w:hAnsi="Cambria Math" w:eastAsiaTheme="minorEastAsia"/>
                <w:sz w:val="22"/>
              </w:rPr>
              <m:t>t</m:t>
            </m:r>
            <m:ctrlPr>
              <w:rPr>
                <w:rFonts w:ascii="Cambria Math" w:hAnsi="Cambria Math" w:eastAsiaTheme="minorEastAsia"/>
                <w:sz w:val="22"/>
              </w:rPr>
            </m:ctrlPr>
          </m:e>
        </m:rad>
        <m:r>
          <m:rPr/>
          <w:rPr>
            <w:rFonts w:hint="default" w:ascii="Cambria Math" w:hAnsi="Cambria Math" w:eastAsiaTheme="minorEastAsia"/>
            <w:sz w:val="22"/>
          </w:rPr>
          <m:t>⋅</m:t>
        </m:r>
        <m:sSub>
          <m:sSubPr>
            <m:ctrlPr>
              <w:rPr>
                <w:rFonts w:hint="default" w:ascii="Cambria Math" w:hAnsi="Cambria Math" w:eastAsiaTheme="minorEastAsia"/>
                <w:sz w:val="22"/>
              </w:rPr>
            </m:ctrlPr>
          </m:sSubPr>
          <m:e>
            <m:r>
              <m:rPr/>
              <w:rPr>
                <w:rFonts w:hint="default" w:ascii="Cambria Math" w:hAnsi="Cambria Math" w:eastAsiaTheme="minorEastAsia"/>
                <w:sz w:val="22"/>
              </w:rPr>
              <m:t>ε</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(t)</m:t>
        </m:r>
      </m:oMath>
      <w:r>
        <w:rPr>
          <w:rFonts w:hint="eastAsia" w:ascii="Times New Roman" w:hAnsi="Times New Roman" w:eastAsia="宋体" w:cs="Times New Roman"/>
          <w:i w:val="0"/>
          <w:iCs w:val="0"/>
          <w:sz w:val="22"/>
          <w:szCs w:val="22"/>
          <w:lang w:val="en-US" w:eastAsia="zh-CN"/>
        </w:rPr>
        <w:t xml:space="preserve"> </w:t>
      </w:r>
      <w:r>
        <w:rPr>
          <w:rFonts w:hint="default" w:ascii="Times New Roman" w:hAnsi="Times New Roman" w:cs="Times New Roman"/>
          <w:i w:val="0"/>
          <w:iCs w:val="0"/>
          <w:sz w:val="22"/>
          <w:szCs w:val="22"/>
        </w:rPr>
        <w:t>(Eq. 2)</w:t>
      </w:r>
    </w:p>
    <w:p w14:paraId="7BF0675E">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auto"/>
        <w:ind w:left="0" w:right="0" w:firstLine="0"/>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 xml:space="preserve">where </w:t>
      </w:r>
      <m:oMath>
        <m:sSub>
          <m:sSubPr>
            <m:ctrlPr>
              <w:rPr>
                <w:rFonts w:hint="default" w:ascii="Cambria Math" w:hAnsi="Cambria Math" w:eastAsia="var(--ds-font-family-code)"/>
              </w:rPr>
            </m:ctrlPr>
          </m:sSubPr>
          <m:e>
            <m:r>
              <m:rPr/>
              <w:rPr>
                <w:rFonts w:hint="default" w:ascii="Cambria Math" w:hAnsi="Cambria Math" w:eastAsia="var(--ds-font-family-code)"/>
              </w:rPr>
              <m:t>ε</m:t>
            </m:r>
            <m:ctrlPr>
              <w:rPr>
                <w:rFonts w:ascii="Cambria Math" w:hAnsi="Cambria Math" w:eastAsia="var(--ds-font-family-code)"/>
              </w:rPr>
            </m:ctrlPr>
          </m:e>
          <m:sub>
            <m:r>
              <m:rPr/>
              <w:rPr>
                <w:rFonts w:hint="default" w:ascii="Cambria Math" w:hAnsi="Cambria Math" w:eastAsia="var(--ds-font-family-code)"/>
              </w:rPr>
              <m:t>i</m:t>
            </m:r>
            <m:ctrlPr>
              <w:rPr>
                <w:rFonts w:ascii="Cambria Math" w:hAnsi="Cambria Math" w:eastAsia="var(--ds-font-family-code)"/>
              </w:rPr>
            </m:ctrlPr>
          </m:sub>
        </m:sSub>
        <m:r>
          <m:rPr/>
          <w:rPr>
            <w:rFonts w:hint="default" w:ascii="Cambria Math" w:hAnsi="Cambria Math" w:eastAsia="var(--ds-font-family-code)"/>
          </w:rPr>
          <m:t>(t)∼</m:t>
        </m:r>
        <m:r>
          <m:rPr>
            <m:scr m:val="script"/>
          </m:rPr>
          <w:rPr>
            <w:rFonts w:hint="default" w:ascii="Cambria Math" w:hAnsi="Cambria Math" w:eastAsia="MS Mincho"/>
          </w:rPr>
          <m:t>N</m:t>
        </m:r>
        <m:r>
          <m:rPr/>
          <w:rPr>
            <w:rFonts w:hint="default" w:ascii="Cambria Math" w:hAnsi="Cambria Math" w:eastAsia="var(--ds-font-family-code)"/>
          </w:rPr>
          <m:t>(0,1)</m:t>
        </m:r>
      </m:oMath>
      <w:r>
        <w:rPr>
          <w:rFonts w:hint="eastAsia" w:hAnsi="var(--ds-font-family-code)" w:cs="var(--ds-font-family-code)"/>
          <w:i w:val="0"/>
          <w:iCs w:val="0"/>
          <w:caps w:val="0"/>
          <w:color w:val="50A14F"/>
          <w:spacing w:val="0"/>
          <w:lang w:val="en-US" w:eastAsia="zh-CN"/>
        </w:rPr>
        <w:t xml:space="preserve"> </w:t>
      </w:r>
      <w:r>
        <w:rPr>
          <w:rFonts w:hint="default" w:ascii="Times New Roman" w:hAnsi="Times New Roman" w:cs="Times New Roman"/>
          <w:b w:val="0"/>
          <w:i w:val="0"/>
          <w:iCs w:val="0"/>
          <w:sz w:val="22"/>
          <w:szCs w:val="22"/>
        </w:rPr>
        <w:t xml:space="preserve">is an independent standard normal random variable at each time step. The Euler–Maruyama scheme introduces a discretisation error of order </w:t>
      </w:r>
      <m:oMath>
        <m:r>
          <m:rPr/>
          <w:rPr>
            <w:rFonts w:hint="default" w:ascii="Cambria Math" w:hAnsi="Cambria Math" w:eastAsia="var(--ds-font-family-code)"/>
          </w:rPr>
          <m:t>O(</m:t>
        </m:r>
        <m:rad>
          <m:radPr>
            <m:degHide m:val="1"/>
            <m:ctrlPr>
              <w:rPr>
                <w:rFonts w:hint="default" w:ascii="Cambria Math" w:hAnsi="Cambria Math" w:eastAsia="var(--ds-font-family-code)"/>
              </w:rPr>
            </m:ctrlPr>
          </m:radPr>
          <m:deg>
            <m:ctrlPr>
              <w:rPr>
                <w:rFonts w:ascii="Cambria Math" w:hAnsi="Cambria Math" w:eastAsia="var(--ds-font-family-code)"/>
              </w:rPr>
            </m:ctrlPr>
          </m:deg>
          <m:e>
            <m:r>
              <m:rPr>
                <m:sty m:val="p"/>
              </m:rPr>
              <w:rPr>
                <w:rFonts w:hint="default" w:ascii="Cambria Math" w:hAnsi="Cambria Math" w:eastAsia="var(--ds-font-family-code)"/>
              </w:rPr>
              <m:t>d</m:t>
            </m:r>
            <m:r>
              <m:rPr/>
              <w:rPr>
                <w:rFonts w:hint="default" w:ascii="Cambria Math" w:hAnsi="Cambria Math" w:eastAsia="var(--ds-font-family-code)"/>
              </w:rPr>
              <m:t>t</m:t>
            </m:r>
            <m:ctrlPr>
              <w:rPr>
                <w:rFonts w:ascii="Cambria Math" w:hAnsi="Cambria Math" w:eastAsia="var(--ds-font-family-code)"/>
              </w:rPr>
            </m:ctrlPr>
          </m:e>
        </m:rad>
        <m:r>
          <m:rPr/>
          <w:rPr>
            <w:rFonts w:hint="default" w:ascii="Cambria Math" w:hAnsi="Cambria Math" w:eastAsia="var(--ds-font-family-code)"/>
          </w:rPr>
          <m:t>)</m:t>
        </m:r>
      </m:oMath>
      <w:r>
        <w:rPr>
          <w:rFonts w:hint="eastAsia" w:hAnsi="var(--ds-font-family-code)" w:cs="var(--ds-font-family-code)"/>
          <w:i w:val="0"/>
          <w:iCs w:val="0"/>
          <w:caps w:val="0"/>
          <w:color w:val="50A14F"/>
          <w:spacing w:val="0"/>
          <w:lang w:val="en-US" w:eastAsia="zh-CN"/>
        </w:rPr>
        <w:t xml:space="preserve"> </w:t>
      </w:r>
      <w:r>
        <w:rPr>
          <w:rFonts w:hint="default" w:ascii="Times New Roman" w:hAnsi="Times New Roman" w:cs="Times New Roman"/>
          <w:b w:val="0"/>
          <w:i w:val="0"/>
          <w:iCs w:val="0"/>
          <w:sz w:val="22"/>
          <w:szCs w:val="22"/>
        </w:rPr>
        <w:t xml:space="preserve">relative to the continuous solution. Given </w:t>
      </w:r>
      <m:oMath>
        <m:r>
          <m:rPr>
            <m:sty m:val="p"/>
          </m:rPr>
          <w:rPr>
            <w:rFonts w:hint="default" w:ascii="Cambria Math" w:hAnsi="Cambria Math" w:eastAsiaTheme="minorEastAsia"/>
            <w:sz w:val="22"/>
          </w:rPr>
          <m:t>d</m:t>
        </m:r>
        <m:r>
          <m:rPr/>
          <w:rPr>
            <w:rFonts w:hint="default" w:ascii="Cambria Math" w:hAnsi="Cambria Math" w:eastAsiaTheme="minorEastAsia"/>
            <w:sz w:val="22"/>
          </w:rPr>
          <m:t>t</m:t>
        </m:r>
        <m:r>
          <m:rPr/>
          <w:rPr>
            <w:rFonts w:hint="default" w:ascii="Cambria Math" w:hAnsi="Cambria Math" w:eastAsia="var(--ds-font-family-code)"/>
          </w:rPr>
          <m:t>=1</m:t>
        </m:r>
      </m:oMath>
      <w:r>
        <w:rPr>
          <w:rFonts w:hint="default" w:ascii="Times New Roman" w:hAnsi="Times New Roman" w:cs="Times New Roman"/>
          <w:b w:val="0"/>
          <w:i w:val="0"/>
          <w:iCs w:val="0"/>
          <w:sz w:val="22"/>
          <w:szCs w:val="22"/>
        </w:rPr>
        <w:t>s and the parameter ranges used (Table S1.1), this error is negligible for the purposes of generating physiologically plausible trends.</w:t>
      </w:r>
    </w:p>
    <w:p w14:paraId="58DB2743">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S1.2.3 TIC Drift Superimposition</w:t>
      </w:r>
    </w:p>
    <w:p w14:paraId="36942674">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auto"/>
        <w:ind w:left="0" w:right="0" w:firstLine="0"/>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 xml:space="preserve">For TIC-positive trajectories, a deterministic linear drift is added to the mean function </w:t>
      </w:r>
      <m:oMath>
        <m:sSub>
          <m:sSubPr>
            <m:ctrlPr>
              <w:rPr>
                <w:rFonts w:hint="default" w:ascii="Cambria Math" w:hAnsi="Cambria Math" w:eastAsia="var(--ds-font-family-code)"/>
              </w:rPr>
            </m:ctrlPr>
          </m:sSubPr>
          <m:e>
            <m:r>
              <m:rPr/>
              <w:rPr>
                <w:rFonts w:hint="default" w:ascii="Cambria Math" w:hAnsi="Cambria Math" w:eastAsia="var(--ds-font-family-code)"/>
              </w:rPr>
              <m:t>μ</m:t>
            </m:r>
            <m:ctrlPr>
              <w:rPr>
                <w:rFonts w:ascii="Cambria Math" w:hAnsi="Cambria Math" w:eastAsia="var(--ds-font-family-code)"/>
              </w:rPr>
            </m:ctrlPr>
          </m:e>
          <m:sub>
            <m:r>
              <m:rPr/>
              <w:rPr>
                <w:rFonts w:hint="default" w:ascii="Cambria Math" w:hAnsi="Cambria Math" w:eastAsia="var(--ds-font-family-code)"/>
              </w:rPr>
              <m:t>i</m:t>
            </m:r>
            <m:ctrlPr>
              <w:rPr>
                <w:rFonts w:ascii="Cambria Math" w:hAnsi="Cambria Math" w:eastAsia="var(--ds-font-family-code)"/>
              </w:rPr>
            </m:ctrlPr>
          </m:sub>
        </m:sSub>
        <m:r>
          <m:rPr/>
          <w:rPr>
            <w:rFonts w:hint="default" w:ascii="Cambria Math" w:hAnsi="Cambria Math" w:eastAsia="var(--ds-font-family-code)"/>
          </w:rPr>
          <m:t>(t)</m:t>
        </m:r>
      </m:oMath>
      <w:r>
        <w:rPr>
          <w:rFonts w:hint="default" w:ascii="Times New Roman" w:hAnsi="Times New Roman" w:cs="Times New Roman"/>
          <w:b w:val="0"/>
          <w:i w:val="0"/>
          <w:iCs w:val="0"/>
          <w:sz w:val="22"/>
          <w:szCs w:val="22"/>
        </w:rPr>
        <w:t xml:space="preserve"> after a fixed onset time </w:t>
      </w:r>
      <m:oMath>
        <m:sSub>
          <m:sSubPr>
            <m:ctrlPr>
              <w:rPr>
                <w:rFonts w:hint="default" w:ascii="Cambria Math" w:hAnsi="Cambria Math" w:eastAsia="var(--ds-font-family-code)"/>
              </w:rPr>
            </m:ctrlPr>
          </m:sSubPr>
          <m:e>
            <m:r>
              <m:rPr/>
              <w:rPr>
                <w:rFonts w:hint="default" w:ascii="Cambria Math" w:hAnsi="Cambria Math" w:eastAsia="var(--ds-font-family-code)"/>
              </w:rPr>
              <m:t>T</m:t>
            </m:r>
            <m:ctrlPr>
              <w:rPr>
                <w:rFonts w:ascii="Cambria Math" w:hAnsi="Cambria Math" w:eastAsia="var(--ds-font-family-code)"/>
              </w:rPr>
            </m:ctrlPr>
          </m:e>
          <m:sub>
            <m:r>
              <m:rPr>
                <m:sty m:val="p"/>
              </m:rPr>
              <w:rPr>
                <w:rFonts w:hint="default" w:ascii="Cambria Math" w:hAnsi="Cambria Math" w:eastAsia="var(--ds-font-family-code)"/>
              </w:rPr>
              <m:t>onset</m:t>
            </m:r>
            <m:ctrlPr>
              <w:rPr>
                <w:rFonts w:ascii="Cambria Math" w:hAnsi="Cambria Math" w:eastAsia="var(--ds-font-family-code)"/>
              </w:rPr>
            </m:ctrlPr>
          </m:sub>
        </m:sSub>
        <m:r>
          <m:rPr/>
          <w:rPr>
            <w:rFonts w:hint="default" w:ascii="Cambria Math" w:hAnsi="Cambria Math" w:eastAsia="var(--ds-font-family-code)"/>
          </w:rPr>
          <m:t>=5</m:t>
        </m:r>
      </m:oMath>
      <w:r>
        <w:rPr>
          <w:rFonts w:hint="eastAsia" w:hAnsi="Cambria Math"/>
          <w:i w:val="0"/>
          <w:lang w:val="en-US" w:eastAsia="zh-CN"/>
        </w:rPr>
        <w:t xml:space="preserve"> </w:t>
      </w:r>
      <w:r>
        <w:rPr>
          <w:rFonts w:hint="default" w:ascii="Times New Roman" w:hAnsi="Times New Roman" w:cs="Times New Roman"/>
          <w:b w:val="0"/>
          <w:i w:val="0"/>
          <w:iCs w:val="0"/>
          <w:sz w:val="22"/>
          <w:szCs w:val="22"/>
        </w:rPr>
        <w:t>min (300 s):</w:t>
      </w:r>
    </w:p>
    <w:p w14:paraId="5B89366C">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auto"/>
        <w:ind w:left="0" w:right="0" w:firstLine="0"/>
        <w:jc w:val="center"/>
        <w:textAlignment w:val="auto"/>
        <w:rPr>
          <w:rFonts w:hint="default" w:ascii="Times New Roman" w:hAnsi="Times New Roman" w:cs="Times New Roman"/>
          <w:i w:val="0"/>
          <w:iCs w:val="0"/>
          <w:sz w:val="22"/>
          <w:szCs w:val="22"/>
        </w:rPr>
      </w:pPr>
      <m:oMath>
        <m:sSub>
          <m:sSubPr>
            <m:ctrlPr>
              <w:rPr>
                <w:rFonts w:hint="default" w:ascii="Cambria Math" w:hAnsi="Cambria Math" w:eastAsia="var(--ds-font-family-code)"/>
              </w:rPr>
            </m:ctrlPr>
          </m:sSubPr>
          <m:e>
            <m:r>
              <m:rPr/>
              <w:rPr>
                <w:rFonts w:hint="default" w:ascii="Cambria Math" w:hAnsi="Cambria Math" w:eastAsia="var(--ds-font-family-code)"/>
              </w:rPr>
              <m:t>μ</m:t>
            </m:r>
            <m:ctrlPr>
              <w:rPr>
                <w:rFonts w:ascii="Cambria Math" w:hAnsi="Cambria Math" w:eastAsia="var(--ds-font-family-code)"/>
              </w:rPr>
            </m:ctrlPr>
          </m:e>
          <m:sub>
            <m:r>
              <m:rPr/>
              <w:rPr>
                <w:rFonts w:hint="default" w:ascii="Cambria Math" w:hAnsi="Cambria Math" w:eastAsia="var(--ds-font-family-code)"/>
              </w:rPr>
              <m:t>i</m:t>
            </m:r>
            <m:ctrlPr>
              <w:rPr>
                <w:rFonts w:ascii="Cambria Math" w:hAnsi="Cambria Math" w:eastAsia="var(--ds-font-family-code)"/>
              </w:rPr>
            </m:ctrlPr>
          </m:sub>
        </m:sSub>
        <m:r>
          <m:rPr/>
          <w:rPr>
            <w:rFonts w:hint="default" w:ascii="Cambria Math" w:hAnsi="Cambria Math" w:eastAsia="var(--ds-font-family-code)"/>
          </w:rPr>
          <m:t>(t)=</m:t>
        </m:r>
        <m:sSub>
          <m:sSubPr>
            <m:ctrlPr>
              <w:rPr>
                <w:rFonts w:hint="default" w:ascii="Cambria Math" w:hAnsi="Cambria Math" w:eastAsia="var(--ds-font-family-code)"/>
              </w:rPr>
            </m:ctrlPr>
          </m:sSubPr>
          <m:e>
            <m:r>
              <m:rPr/>
              <w:rPr>
                <w:rFonts w:hint="default" w:ascii="Cambria Math" w:hAnsi="Cambria Math" w:eastAsia="var(--ds-font-family-code)"/>
              </w:rPr>
              <m:t>μ</m:t>
            </m:r>
            <m:ctrlPr>
              <w:rPr>
                <w:rFonts w:ascii="Cambria Math" w:hAnsi="Cambria Math" w:eastAsia="var(--ds-font-family-code)"/>
              </w:rPr>
            </m:ctrlPr>
          </m:e>
          <m:sub>
            <m:r>
              <m:rPr/>
              <w:rPr>
                <w:rFonts w:hint="default" w:ascii="Cambria Math" w:hAnsi="Cambria Math" w:eastAsia="var(--ds-font-family-code)"/>
              </w:rPr>
              <m:t>i,</m:t>
            </m:r>
            <m:r>
              <m:rPr>
                <m:sty m:val="p"/>
              </m:rPr>
              <w:rPr>
                <w:rFonts w:hint="default" w:ascii="Cambria Math" w:hAnsi="Cambria Math" w:eastAsia="var(--ds-font-family-code)"/>
              </w:rPr>
              <m:t>baseline</m:t>
            </m:r>
            <m:ctrlPr>
              <w:rPr>
                <w:rFonts w:ascii="Cambria Math" w:hAnsi="Cambria Math" w:eastAsia="var(--ds-font-family-code)"/>
              </w:rPr>
            </m:ctrlPr>
          </m:sub>
        </m:sSub>
        <m:r>
          <m:rPr/>
          <w:rPr>
            <w:rFonts w:hint="default" w:ascii="Cambria Math" w:hAnsi="Cambria Math" w:eastAsia="var(--ds-font-family-code)"/>
          </w:rPr>
          <m:t>+</m:t>
        </m:r>
        <m:sSub>
          <m:sSubPr>
            <m:ctrlPr>
              <w:rPr>
                <w:rFonts w:hint="default" w:ascii="Cambria Math" w:hAnsi="Cambria Math" w:eastAsia="var(--ds-font-family-code)"/>
              </w:rPr>
            </m:ctrlPr>
          </m:sSubPr>
          <m:e>
            <m:r>
              <m:rPr/>
              <w:rPr>
                <w:rFonts w:hint="default" w:ascii="Cambria Math" w:hAnsi="Cambria Math" w:eastAsia="var(--ds-font-family-code)"/>
              </w:rPr>
              <m:t>α</m:t>
            </m:r>
            <m:ctrlPr>
              <w:rPr>
                <w:rFonts w:ascii="Cambria Math" w:hAnsi="Cambria Math" w:eastAsia="var(--ds-font-family-code)"/>
              </w:rPr>
            </m:ctrlPr>
          </m:e>
          <m:sub>
            <m:r>
              <m:rPr/>
              <w:rPr>
                <w:rFonts w:hint="default" w:ascii="Cambria Math" w:hAnsi="Cambria Math" w:eastAsia="var(--ds-font-family-code)"/>
              </w:rPr>
              <m:t>i</m:t>
            </m:r>
            <m:ctrlPr>
              <w:rPr>
                <w:rFonts w:ascii="Cambria Math" w:hAnsi="Cambria Math" w:eastAsia="var(--ds-font-family-code)"/>
              </w:rPr>
            </m:ctrlPr>
          </m:sub>
        </m:sSub>
        <m:r>
          <m:rPr/>
          <w:rPr>
            <w:rFonts w:hint="default" w:ascii="Cambria Math" w:hAnsi="Cambria Math" w:eastAsia="var(--ds-font-family-code)"/>
          </w:rPr>
          <m:t>⋅</m:t>
        </m:r>
        <m:func>
          <m:funcPr>
            <m:ctrlPr>
              <w:rPr>
                <w:rFonts w:hint="default" w:ascii="Cambria Math" w:hAnsi="Cambria Math" w:eastAsia="var(--ds-font-family-code)"/>
              </w:rPr>
            </m:ctrlPr>
          </m:funcPr>
          <m:fName>
            <m:limLow>
              <m:limLowPr>
                <m:ctrlPr>
                  <w:rPr>
                    <w:rFonts w:hint="default" w:ascii="Cambria Math" w:hAnsi="Cambria Math" w:eastAsia="var(--ds-font-family-code)"/>
                  </w:rPr>
                </m:ctrlPr>
              </m:limLowPr>
              <m:e>
                <m:r>
                  <m:rPr>
                    <m:sty m:val="p"/>
                  </m:rPr>
                  <w:rPr>
                    <w:rFonts w:hint="default" w:ascii="Cambria Math" w:hAnsi="Cambria Math" w:eastAsia="var(--ds-font-family-code)"/>
                  </w:rPr>
                  <m:t>max</m:t>
                </m:r>
                <m:ctrlPr>
                  <w:rPr>
                    <w:rFonts w:ascii="Cambria Math" w:hAnsi="Cambria Math" w:eastAsia="var(--ds-font-family-code)"/>
                  </w:rPr>
                </m:ctrlPr>
              </m:e>
              <m:lim>
                <m:ctrlPr>
                  <w:rPr>
                    <w:rFonts w:ascii="Cambria Math" w:hAnsi="Cambria Math" w:eastAsia="var(--ds-font-family-code)"/>
                  </w:rPr>
                </m:ctrlPr>
              </m:lim>
            </m:limLow>
            <m:ctrlPr>
              <w:rPr>
                <w:rFonts w:hint="default" w:ascii="Cambria Math" w:hAnsi="Cambria Math" w:eastAsia="var(--ds-font-family-code)"/>
              </w:rPr>
            </m:ctrlPr>
          </m:fName>
          <m:e>
            <m:r>
              <m:rPr/>
              <w:rPr>
                <w:rFonts w:hint="default" w:ascii="Cambria Math" w:hAnsi="Cambria Math" w:eastAsia="var(--ds-font-family-code)"/>
              </w:rPr>
              <m:t>(</m:t>
            </m:r>
            <m:ctrlPr>
              <w:rPr>
                <w:rFonts w:hint="default" w:ascii="Cambria Math" w:hAnsi="Cambria Math" w:eastAsia="var(--ds-font-family-code)"/>
              </w:rPr>
            </m:ctrlPr>
          </m:e>
        </m:func>
        <m:r>
          <m:rPr/>
          <w:rPr>
            <w:rFonts w:hint="default" w:ascii="Cambria Math" w:hAnsi="Cambria Math" w:eastAsia="var(--ds-font-family-code)"/>
          </w:rPr>
          <m:t>t−</m:t>
        </m:r>
        <m:sSub>
          <m:sSubPr>
            <m:ctrlPr>
              <w:rPr>
                <w:rFonts w:hint="default" w:ascii="Cambria Math" w:hAnsi="Cambria Math" w:eastAsia="var(--ds-font-family-code)"/>
              </w:rPr>
            </m:ctrlPr>
          </m:sSubPr>
          <m:e>
            <m:r>
              <m:rPr/>
              <w:rPr>
                <w:rFonts w:hint="default" w:ascii="Cambria Math" w:hAnsi="Cambria Math" w:eastAsia="var(--ds-font-family-code)"/>
              </w:rPr>
              <m:t>T</m:t>
            </m:r>
            <m:ctrlPr>
              <w:rPr>
                <w:rFonts w:hint="default" w:ascii="Cambria Math" w:hAnsi="Cambria Math" w:eastAsia="var(--ds-font-family-code)"/>
              </w:rPr>
            </m:ctrlPr>
          </m:e>
          <m:sub>
            <m:r>
              <m:rPr>
                <m:sty m:val="p"/>
              </m:rPr>
              <w:rPr>
                <w:rFonts w:hint="default" w:ascii="Cambria Math" w:hAnsi="Cambria Math" w:eastAsia="var(--ds-font-family-code)"/>
              </w:rPr>
              <m:t>onset</m:t>
            </m:r>
            <m:ctrlPr>
              <w:rPr>
                <w:rFonts w:hint="default" w:ascii="Cambria Math" w:hAnsi="Cambria Math" w:eastAsia="var(--ds-font-family-code)"/>
              </w:rPr>
            </m:ctrlPr>
          </m:sub>
        </m:sSub>
        <m:r>
          <m:rPr/>
          <w:rPr>
            <w:rFonts w:hint="default" w:ascii="Cambria Math" w:hAnsi="Cambria Math" w:eastAsia="var(--ds-font-family-code)"/>
          </w:rPr>
          <m:t>,0) fort∈[0,1800</m:t>
        </m:r>
        <m:r>
          <m:rPr>
            <m:sty m:val="p"/>
          </m:rPr>
          <w:rPr>
            <w:rFonts w:hint="default" w:ascii="Times New Roman" w:hAnsi="Times New Roman" w:cs="Times New Roman"/>
            <w:sz w:val="22"/>
            <w:szCs w:val="22"/>
          </w:rPr>
          <m:t>s</m:t>
        </m:r>
        <m:r>
          <m:rPr/>
          <w:rPr>
            <w:rFonts w:hint="default" w:ascii="Cambria Math" w:hAnsi="Cambria Math" w:eastAsia="var(--ds-font-family-code)"/>
          </w:rPr>
          <m:t>]</m:t>
        </m:r>
      </m:oMath>
      <w:r>
        <w:rPr>
          <w:rFonts w:hint="eastAsia" w:ascii="Times New Roman" w:hAnsi="Times New Roman" w:cs="Times New Roman"/>
          <w:i w:val="0"/>
          <w:iCs w:val="0"/>
          <w:sz w:val="22"/>
          <w:szCs w:val="22"/>
          <w:lang w:val="en-US" w:eastAsia="zh-CN"/>
        </w:rPr>
        <w:t xml:space="preserve"> </w:t>
      </w:r>
      <w:r>
        <w:rPr>
          <w:rFonts w:hint="default" w:ascii="Times New Roman" w:hAnsi="Times New Roman" w:cs="Times New Roman"/>
          <w:i w:val="0"/>
          <w:iCs w:val="0"/>
          <w:sz w:val="22"/>
          <w:szCs w:val="22"/>
        </w:rPr>
        <w:t>(Eq. 3)</w:t>
      </w:r>
    </w:p>
    <w:p w14:paraId="46282F01">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 xml:space="preserve">where </w:t>
      </w:r>
      <m:oMath>
        <m:sSub>
          <m:sSubPr>
            <m:ctrlPr>
              <w:rPr>
                <w:rFonts w:hint="default" w:ascii="Cambria Math" w:hAnsi="Cambria Math" w:eastAsia="var(--ds-font-family-code)"/>
              </w:rPr>
            </m:ctrlPr>
          </m:sSubPr>
          <m:e>
            <m:r>
              <m:rPr/>
              <w:rPr>
                <w:rFonts w:hint="default" w:ascii="Cambria Math" w:hAnsi="Cambria Math" w:eastAsia="var(--ds-font-family-code)"/>
              </w:rPr>
              <m:t>α</m:t>
            </m:r>
            <m:ctrlPr>
              <w:rPr>
                <w:rFonts w:ascii="Cambria Math" w:hAnsi="Cambria Math" w:eastAsia="var(--ds-font-family-code)"/>
              </w:rPr>
            </m:ctrlPr>
          </m:e>
          <m:sub>
            <m:r>
              <m:rPr/>
              <w:rPr>
                <w:rFonts w:hint="default" w:ascii="Cambria Math" w:hAnsi="Cambria Math" w:eastAsia="var(--ds-font-family-code)"/>
              </w:rPr>
              <m:t>i</m:t>
            </m:r>
            <m:ctrlPr>
              <w:rPr>
                <w:rFonts w:ascii="Cambria Math" w:hAnsi="Cambria Math" w:eastAsia="var(--ds-font-family-code)"/>
              </w:rPr>
            </m:ctrlPr>
          </m:sub>
        </m:sSub>
      </m:oMath>
      <w:r>
        <w:rPr>
          <w:rFonts w:hint="default" w:ascii="Times New Roman" w:hAnsi="Times New Roman" w:cs="Times New Roman"/>
          <w:b w:val="0"/>
          <w:i w:val="0"/>
          <w:iCs w:val="0"/>
          <w:sz w:val="22"/>
          <w:szCs w:val="22"/>
        </w:rPr>
        <w:t xml:space="preserve"> is the drift rate coefficient (positive for HR; negative for SBP). For DBP, the mean is modelled as a fixed linear function of the SBP mean plus additive noise:</w:t>
      </w:r>
    </w:p>
    <w:p w14:paraId="38791930">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auto"/>
        <w:ind w:left="0" w:right="0" w:firstLine="0"/>
        <w:jc w:val="center"/>
        <w:textAlignment w:val="auto"/>
        <w:rPr>
          <w:rFonts w:hint="default" w:ascii="Times New Roman" w:hAnsi="Times New Roman" w:cs="Times New Roman"/>
          <w:i w:val="0"/>
          <w:iCs w:val="0"/>
          <w:sz w:val="22"/>
          <w:szCs w:val="22"/>
        </w:rPr>
      </w:pPr>
      <m:oMath>
        <m:sSub>
          <m:sSubPr>
            <m:ctrlPr>
              <w:rPr>
                <w:rFonts w:hint="default" w:ascii="Cambria Math" w:hAnsi="Cambria Math" w:eastAsia="var(--ds-font-family-code)"/>
              </w:rPr>
            </m:ctrlPr>
          </m:sSubPr>
          <m:e>
            <m:r>
              <m:rPr/>
              <w:rPr>
                <w:rFonts w:hint="default" w:ascii="Cambria Math" w:hAnsi="Cambria Math" w:eastAsia="var(--ds-font-family-code)"/>
              </w:rPr>
              <m:t>μ</m:t>
            </m:r>
            <m:ctrlPr>
              <w:rPr>
                <w:rFonts w:ascii="Cambria Math" w:hAnsi="Cambria Math" w:eastAsia="var(--ds-font-family-code)"/>
              </w:rPr>
            </m:ctrlPr>
          </m:e>
          <m:sub>
            <m:r>
              <m:rPr>
                <m:sty m:val="p"/>
              </m:rPr>
              <w:rPr>
                <w:rFonts w:hint="default" w:ascii="Cambria Math" w:hAnsi="Cambria Math" w:eastAsia="var(--ds-font-family-code)"/>
              </w:rPr>
              <m:t>DBP</m:t>
            </m:r>
            <m:ctrlPr>
              <w:rPr>
                <w:rFonts w:ascii="Cambria Math" w:hAnsi="Cambria Math" w:eastAsia="var(--ds-font-family-code)"/>
              </w:rPr>
            </m:ctrlPr>
          </m:sub>
        </m:sSub>
        <m:r>
          <m:rPr/>
          <w:rPr>
            <w:rFonts w:hint="default" w:ascii="Cambria Math" w:hAnsi="Cambria Math" w:eastAsia="var(--ds-font-family-code)"/>
          </w:rPr>
          <m:t>(t)=</m:t>
        </m:r>
        <m:sSub>
          <m:sSubPr>
            <m:ctrlPr>
              <w:rPr>
                <w:rFonts w:hint="default" w:ascii="Cambria Math" w:hAnsi="Cambria Math" w:eastAsia="var(--ds-font-family-code)"/>
              </w:rPr>
            </m:ctrlPr>
          </m:sSubPr>
          <m:e>
            <m:r>
              <m:rPr/>
              <w:rPr>
                <w:rFonts w:hint="default" w:ascii="Cambria Math" w:hAnsi="Cambria Math" w:eastAsia="var(--ds-font-family-code)"/>
              </w:rPr>
              <m:t>μ</m:t>
            </m:r>
            <m:ctrlPr>
              <w:rPr>
                <w:rFonts w:ascii="Cambria Math" w:hAnsi="Cambria Math" w:eastAsia="var(--ds-font-family-code)"/>
              </w:rPr>
            </m:ctrlPr>
          </m:e>
          <m:sub>
            <m:r>
              <m:rPr>
                <m:sty m:val="p"/>
              </m:rPr>
              <w:rPr>
                <w:rFonts w:hint="default" w:ascii="Cambria Math" w:hAnsi="Cambria Math" w:eastAsia="var(--ds-font-family-code)"/>
              </w:rPr>
              <m:t>SBP</m:t>
            </m:r>
            <m:ctrlPr>
              <w:rPr>
                <w:rFonts w:ascii="Cambria Math" w:hAnsi="Cambria Math" w:eastAsia="var(--ds-font-family-code)"/>
              </w:rPr>
            </m:ctrlPr>
          </m:sub>
        </m:sSub>
        <m:r>
          <m:rPr/>
          <w:rPr>
            <w:rFonts w:hint="default" w:ascii="Cambria Math" w:hAnsi="Cambria Math" w:eastAsia="var(--ds-font-family-code)"/>
          </w:rPr>
          <m:t>(t)−</m:t>
        </m:r>
        <m:sSub>
          <m:sSubPr>
            <m:ctrlPr>
              <w:rPr>
                <w:rFonts w:hint="default" w:ascii="Cambria Math" w:hAnsi="Cambria Math" w:eastAsia="var(--ds-font-family-code)"/>
              </w:rPr>
            </m:ctrlPr>
          </m:sSubPr>
          <m:e>
            <m:r>
              <m:rPr>
                <m:sty m:val="p"/>
              </m:rPr>
              <w:rPr>
                <w:rFonts w:hint="default" w:ascii="Cambria Math" w:hAnsi="Cambria Math" w:eastAsia="var(--ds-font-family-code)"/>
              </w:rPr>
              <m:t>PP</m:t>
            </m:r>
            <m:ctrlPr>
              <w:rPr>
                <w:rFonts w:ascii="Cambria Math" w:hAnsi="Cambria Math" w:eastAsia="var(--ds-font-family-code)"/>
              </w:rPr>
            </m:ctrlPr>
          </m:e>
          <m:sub>
            <m:r>
              <m:rPr>
                <m:sty m:val="p"/>
              </m:rPr>
              <w:rPr>
                <w:rFonts w:hint="default" w:ascii="Cambria Math" w:hAnsi="Cambria Math" w:eastAsia="var(--ds-font-family-code)"/>
              </w:rPr>
              <m:t>target</m:t>
            </m:r>
            <m:ctrlPr>
              <w:rPr>
                <w:rFonts w:ascii="Cambria Math" w:hAnsi="Cambria Math" w:eastAsia="var(--ds-font-family-code)"/>
              </w:rPr>
            </m:ctrlPr>
          </m:sub>
        </m:sSub>
        <m:r>
          <m:rPr/>
          <w:rPr>
            <w:rFonts w:hint="default" w:ascii="Cambria Math" w:hAnsi="Cambria Math" w:eastAsia="var(--ds-font-family-code)"/>
          </w:rPr>
          <m:t>(t)+η(t), η(t)∼</m:t>
        </m:r>
        <m:r>
          <m:rPr>
            <m:scr m:val="script"/>
          </m:rPr>
          <w:rPr>
            <w:rFonts w:hint="default" w:ascii="Cambria Math" w:hAnsi="Cambria Math" w:eastAsia="MS Mincho"/>
          </w:rPr>
          <m:t>N</m:t>
        </m:r>
        <m:r>
          <m:rPr/>
          <w:rPr>
            <w:rFonts w:hint="default" w:ascii="Cambria Math" w:hAnsi="Cambria Math" w:eastAsia="var(--ds-font-family-code)"/>
          </w:rPr>
          <m:t>(0,</m:t>
        </m:r>
        <m:sSubSup>
          <m:sSubSupPr>
            <m:ctrlPr>
              <w:rPr>
                <w:rFonts w:hint="default" w:ascii="Cambria Math" w:hAnsi="Cambria Math" w:eastAsia="var(--ds-font-family-code)"/>
              </w:rPr>
            </m:ctrlPr>
          </m:sSubSupPr>
          <m:e>
            <m:r>
              <m:rPr/>
              <w:rPr>
                <w:rFonts w:hint="default" w:ascii="Cambria Math" w:hAnsi="Cambria Math" w:eastAsia="var(--ds-font-family-code)"/>
              </w:rPr>
              <m:t>σ</m:t>
            </m:r>
            <m:ctrlPr>
              <w:rPr>
                <w:rFonts w:ascii="Cambria Math" w:hAnsi="Cambria Math" w:eastAsia="var(--ds-font-family-code)"/>
              </w:rPr>
            </m:ctrlPr>
          </m:e>
          <m:sub>
            <m:r>
              <m:rPr/>
              <w:rPr>
                <w:rFonts w:hint="default" w:ascii="Cambria Math" w:hAnsi="Cambria Math" w:eastAsia="var(--ds-font-family-code)"/>
              </w:rPr>
              <m:t>η</m:t>
            </m:r>
            <m:ctrlPr>
              <w:rPr>
                <w:rFonts w:ascii="Cambria Math" w:hAnsi="Cambria Math" w:eastAsia="var(--ds-font-family-code)"/>
              </w:rPr>
            </m:ctrlPr>
          </m:sub>
          <m:sup>
            <m:r>
              <m:rPr/>
              <w:rPr>
                <w:rFonts w:hint="default" w:ascii="Cambria Math" w:hAnsi="Cambria Math" w:eastAsia="var(--ds-font-family-code)"/>
              </w:rPr>
              <m:t>2</m:t>
            </m:r>
            <m:ctrlPr>
              <w:rPr>
                <w:rFonts w:ascii="Cambria Math" w:hAnsi="Cambria Math" w:eastAsia="var(--ds-font-family-code)"/>
              </w:rPr>
            </m:ctrlPr>
          </m:sup>
        </m:sSubSup>
        <m:r>
          <m:rPr/>
          <w:rPr>
            <w:rFonts w:hint="default" w:ascii="Cambria Math" w:hAnsi="Cambria Math" w:eastAsia="var(--ds-font-family-code)"/>
          </w:rPr>
          <m:t>)</m:t>
        </m:r>
      </m:oMath>
      <w:r>
        <w:rPr>
          <w:rFonts w:hint="eastAsia" w:hAnsi="var(--ds-font-family-code)" w:cs="var(--ds-font-family-code)"/>
          <w:i w:val="0"/>
          <w:iCs w:val="0"/>
          <w:caps w:val="0"/>
          <w:color w:val="50A14F"/>
          <w:spacing w:val="0"/>
          <w:lang w:val="en-US" w:eastAsia="zh-CN"/>
        </w:rPr>
        <w:t xml:space="preserve"> </w:t>
      </w:r>
      <w:r>
        <w:rPr>
          <w:rFonts w:hint="default" w:ascii="Times New Roman" w:hAnsi="Times New Roman" w:cs="Times New Roman"/>
          <w:i w:val="0"/>
          <w:iCs w:val="0"/>
          <w:sz w:val="22"/>
          <w:szCs w:val="22"/>
        </w:rPr>
        <w:t>(Eq. 4)</w:t>
      </w:r>
    </w:p>
    <w:p w14:paraId="2D92E691">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auto"/>
        <w:ind w:left="0" w:right="0" w:firstLine="0"/>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 xml:space="preserve">where </w:t>
      </w:r>
      <m:oMath>
        <m:sSub>
          <m:sSubPr>
            <m:ctrlPr>
              <w:rPr>
                <w:rFonts w:hint="default" w:ascii="Cambria Math" w:hAnsi="Cambria Math" w:eastAsia="var(--ds-font-family-code)"/>
              </w:rPr>
            </m:ctrlPr>
          </m:sSubPr>
          <m:e>
            <m:r>
              <m:rPr>
                <m:sty m:val="p"/>
              </m:rPr>
              <w:rPr>
                <w:rFonts w:hint="default" w:ascii="Cambria Math" w:hAnsi="Cambria Math" w:eastAsia="var(--ds-font-family-code)"/>
              </w:rPr>
              <m:t>PP</m:t>
            </m:r>
            <m:ctrlPr>
              <w:rPr>
                <w:rFonts w:ascii="Cambria Math" w:hAnsi="Cambria Math" w:eastAsia="var(--ds-font-family-code)"/>
              </w:rPr>
            </m:ctrlPr>
          </m:e>
          <m:sub>
            <m:r>
              <m:rPr>
                <m:sty m:val="p"/>
              </m:rPr>
              <w:rPr>
                <w:rFonts w:hint="default" w:ascii="Cambria Math" w:hAnsi="Cambria Math" w:eastAsia="var(--ds-font-family-code)"/>
              </w:rPr>
              <m:t>target</m:t>
            </m:r>
            <m:ctrlPr>
              <w:rPr>
                <w:rFonts w:ascii="Cambria Math" w:hAnsi="Cambria Math" w:eastAsia="var(--ds-font-family-code)"/>
              </w:rPr>
            </m:ctrlPr>
          </m:sub>
        </m:sSub>
        <m:r>
          <m:rPr/>
          <w:rPr>
            <w:rFonts w:hint="default" w:ascii="Cambria Math" w:hAnsi="Cambria Math" w:eastAsia="var(--ds-font-family-code)"/>
          </w:rPr>
          <m:t>(t)=</m:t>
        </m:r>
        <m:sSub>
          <m:sSubPr>
            <m:ctrlPr>
              <w:rPr>
                <w:rFonts w:hint="default" w:ascii="Cambria Math" w:hAnsi="Cambria Math" w:eastAsia="var(--ds-font-family-code)"/>
              </w:rPr>
            </m:ctrlPr>
          </m:sSubPr>
          <m:e>
            <m:r>
              <m:rPr>
                <m:sty m:val="p"/>
              </m:rPr>
              <w:rPr>
                <w:rFonts w:hint="default" w:ascii="Cambria Math" w:hAnsi="Cambria Math" w:eastAsia="var(--ds-font-family-code)"/>
              </w:rPr>
              <m:t>PP</m:t>
            </m:r>
            <m:ctrlPr>
              <w:rPr>
                <w:rFonts w:ascii="Cambria Math" w:hAnsi="Cambria Math" w:eastAsia="var(--ds-font-family-code)"/>
              </w:rPr>
            </m:ctrlPr>
          </m:e>
          <m:sub>
            <m:r>
              <m:rPr>
                <m:sty m:val="p"/>
              </m:rPr>
              <w:rPr>
                <w:rFonts w:hint="default" w:ascii="Cambria Math" w:hAnsi="Cambria Math" w:eastAsia="var(--ds-font-family-code)"/>
              </w:rPr>
              <m:t>initial</m:t>
            </m:r>
            <m:ctrlPr>
              <w:rPr>
                <w:rFonts w:ascii="Cambria Math" w:hAnsi="Cambria Math" w:eastAsia="var(--ds-font-family-code)"/>
              </w:rPr>
            </m:ctrlPr>
          </m:sub>
        </m:sSub>
        <m:r>
          <m:rPr/>
          <w:rPr>
            <w:rFonts w:hint="default" w:ascii="Cambria Math" w:hAnsi="Cambria Math" w:eastAsia="var(--ds-font-family-code)"/>
          </w:rPr>
          <m:t>−</m:t>
        </m:r>
        <m:sSub>
          <m:sSubPr>
            <m:ctrlPr>
              <w:rPr>
                <w:rFonts w:hint="default" w:ascii="Cambria Math" w:hAnsi="Cambria Math" w:eastAsia="var(--ds-font-family-code)"/>
              </w:rPr>
            </m:ctrlPr>
          </m:sSubPr>
          <m:e>
            <m:r>
              <m:rPr/>
              <w:rPr>
                <w:rFonts w:hint="default" w:ascii="Cambria Math" w:hAnsi="Cambria Math" w:eastAsia="var(--ds-font-family-code)"/>
              </w:rPr>
              <m:t>k</m:t>
            </m:r>
            <m:ctrlPr>
              <w:rPr>
                <w:rFonts w:ascii="Cambria Math" w:hAnsi="Cambria Math" w:eastAsia="var(--ds-font-family-code)"/>
              </w:rPr>
            </m:ctrlPr>
          </m:e>
          <m:sub>
            <m:r>
              <m:rPr>
                <m:sty m:val="p"/>
              </m:rPr>
              <w:rPr>
                <w:rFonts w:hint="default" w:ascii="Cambria Math" w:hAnsi="Cambria Math" w:eastAsia="var(--ds-font-family-code)"/>
              </w:rPr>
              <m:t>PP</m:t>
            </m:r>
            <m:ctrlPr>
              <w:rPr>
                <w:rFonts w:ascii="Cambria Math" w:hAnsi="Cambria Math" w:eastAsia="var(--ds-font-family-code)"/>
              </w:rPr>
            </m:ctrlPr>
          </m:sub>
        </m:sSub>
        <m:r>
          <m:rPr/>
          <w:rPr>
            <w:rFonts w:hint="default" w:ascii="Cambria Math" w:hAnsi="Cambria Math" w:eastAsia="var(--ds-font-family-code)"/>
          </w:rPr>
          <m:t>⋅</m:t>
        </m:r>
        <m:func>
          <m:funcPr>
            <m:ctrlPr>
              <w:rPr>
                <w:rFonts w:hint="default" w:ascii="Cambria Math" w:hAnsi="Cambria Math" w:eastAsia="var(--ds-font-family-code)"/>
              </w:rPr>
            </m:ctrlPr>
          </m:funcPr>
          <m:fName>
            <m:limLow>
              <m:limLowPr>
                <m:ctrlPr>
                  <w:rPr>
                    <w:rFonts w:hint="default" w:ascii="Cambria Math" w:hAnsi="Cambria Math" w:eastAsia="var(--ds-font-family-code)"/>
                  </w:rPr>
                </m:ctrlPr>
              </m:limLowPr>
              <m:e>
                <m:r>
                  <m:rPr>
                    <m:sty m:val="p"/>
                  </m:rPr>
                  <w:rPr>
                    <w:rFonts w:hint="default" w:ascii="Cambria Math" w:hAnsi="Cambria Math" w:eastAsia="var(--ds-font-family-code)"/>
                  </w:rPr>
                  <m:t>max</m:t>
                </m:r>
                <m:ctrlPr>
                  <w:rPr>
                    <w:rFonts w:ascii="Cambria Math" w:hAnsi="Cambria Math" w:eastAsia="var(--ds-font-family-code)"/>
                  </w:rPr>
                </m:ctrlPr>
              </m:e>
              <m:lim>
                <m:ctrlPr>
                  <w:rPr>
                    <w:rFonts w:ascii="Cambria Math" w:hAnsi="Cambria Math" w:eastAsia="var(--ds-font-family-code)"/>
                  </w:rPr>
                </m:ctrlPr>
              </m:lim>
            </m:limLow>
            <m:ctrlPr>
              <w:rPr>
                <w:rFonts w:hint="default" w:ascii="Cambria Math" w:hAnsi="Cambria Math" w:eastAsia="var(--ds-font-family-code)"/>
              </w:rPr>
            </m:ctrlPr>
          </m:fName>
          <m:e>
            <m:r>
              <m:rPr/>
              <w:rPr>
                <w:rFonts w:hint="default" w:ascii="Cambria Math" w:hAnsi="Cambria Math" w:eastAsia="var(--ds-font-family-code)"/>
              </w:rPr>
              <m:t>(</m:t>
            </m:r>
            <m:ctrlPr>
              <w:rPr>
                <w:rFonts w:hint="default" w:ascii="Cambria Math" w:hAnsi="Cambria Math" w:eastAsia="var(--ds-font-family-code)"/>
              </w:rPr>
            </m:ctrlPr>
          </m:e>
        </m:func>
        <m:r>
          <m:rPr/>
          <w:rPr>
            <w:rFonts w:hint="default" w:ascii="Cambria Math" w:hAnsi="Cambria Math" w:eastAsia="var(--ds-font-family-code)"/>
          </w:rPr>
          <m:t>(t−</m:t>
        </m:r>
        <m:sSub>
          <m:sSubPr>
            <m:ctrlPr>
              <w:rPr>
                <w:rFonts w:hint="default" w:ascii="Cambria Math" w:hAnsi="Cambria Math" w:eastAsia="var(--ds-font-family-code)"/>
              </w:rPr>
            </m:ctrlPr>
          </m:sSubPr>
          <m:e>
            <m:r>
              <m:rPr/>
              <w:rPr>
                <w:rFonts w:hint="default" w:ascii="Cambria Math" w:hAnsi="Cambria Math" w:eastAsia="var(--ds-font-family-code)"/>
              </w:rPr>
              <m:t>T</m:t>
            </m:r>
            <m:ctrlPr>
              <w:rPr>
                <w:rFonts w:hint="default" w:ascii="Cambria Math" w:hAnsi="Cambria Math" w:eastAsia="var(--ds-font-family-code)"/>
              </w:rPr>
            </m:ctrlPr>
          </m:e>
          <m:sub>
            <m:r>
              <m:rPr>
                <m:sty m:val="p"/>
              </m:rPr>
              <w:rPr>
                <w:rFonts w:hint="default" w:ascii="Cambria Math" w:hAnsi="Cambria Math" w:eastAsia="var(--ds-font-family-code)"/>
              </w:rPr>
              <m:t>onset</m:t>
            </m:r>
            <m:ctrlPr>
              <w:rPr>
                <w:rFonts w:hint="default" w:ascii="Cambria Math" w:hAnsi="Cambria Math" w:eastAsia="var(--ds-font-family-code)"/>
              </w:rPr>
            </m:ctrlPr>
          </m:sub>
        </m:sSub>
        <m:r>
          <m:rPr/>
          <w:rPr>
            <w:rFonts w:hint="default" w:ascii="Cambria Math" w:hAnsi="Cambria Math" w:eastAsia="var(--ds-font-family-code)"/>
          </w:rPr>
          <m:t>)/60,0)</m:t>
        </m:r>
      </m:oMath>
      <w:r>
        <w:rPr>
          <w:rFonts w:hint="default" w:ascii="Times New Roman" w:hAnsi="Times New Roman" w:cs="Times New Roman"/>
          <w:b w:val="0"/>
          <w:i w:val="0"/>
          <w:iCs w:val="0"/>
          <w:sz w:val="22"/>
          <w:szCs w:val="22"/>
        </w:rPr>
        <w:t xml:space="preserve"> is a time-decreasing pulse pressure target (</w:t>
      </w:r>
      <m:oMath>
        <m:sSub>
          <m:sSubPr>
            <m:ctrlPr>
              <w:rPr>
                <w:rFonts w:hint="default" w:ascii="Cambria Math" w:hAnsi="Cambria Math" w:eastAsia="var(--ds-font-family-code)"/>
              </w:rPr>
            </m:ctrlPr>
          </m:sSubPr>
          <m:e>
            <m:r>
              <m:rPr>
                <m:sty m:val="p"/>
              </m:rPr>
              <w:rPr>
                <w:rFonts w:hint="default" w:ascii="Cambria Math" w:hAnsi="Cambria Math" w:eastAsia="var(--ds-font-family-code)"/>
              </w:rPr>
              <m:t>PP</m:t>
            </m:r>
            <m:ctrlPr>
              <w:rPr>
                <w:rFonts w:ascii="Cambria Math" w:hAnsi="Cambria Math" w:eastAsia="var(--ds-font-family-code)"/>
              </w:rPr>
            </m:ctrlPr>
          </m:e>
          <m:sub>
            <m:r>
              <m:rPr>
                <m:sty m:val="p"/>
              </m:rPr>
              <w:rPr>
                <w:rFonts w:hint="default" w:ascii="Cambria Math" w:hAnsi="Cambria Math" w:eastAsia="var(--ds-font-family-code)"/>
              </w:rPr>
              <m:t>initial</m:t>
            </m:r>
            <m:ctrlPr>
              <w:rPr>
                <w:rFonts w:ascii="Cambria Math" w:hAnsi="Cambria Math" w:eastAsia="var(--ds-font-family-code)"/>
              </w:rPr>
            </m:ctrlPr>
          </m:sub>
        </m:sSub>
      </m:oMath>
      <w:r>
        <w:rPr>
          <w:rFonts w:hint="default" w:ascii="Times New Roman" w:hAnsi="Times New Roman" w:cs="Times New Roman"/>
          <w:b w:val="0"/>
          <w:i w:val="0"/>
          <w:iCs w:val="0"/>
          <w:sz w:val="22"/>
          <w:szCs w:val="22"/>
        </w:rPr>
        <w:t xml:space="preserve"> = 45 mmHg; </w:t>
      </w:r>
      <m:oMath>
        <m:sSub>
          <m:sSubPr>
            <m:ctrlPr>
              <w:rPr>
                <w:rFonts w:hint="default" w:ascii="Cambria Math" w:hAnsi="Cambria Math" w:eastAsia="var(--ds-font-family-code)"/>
              </w:rPr>
            </m:ctrlPr>
          </m:sSubPr>
          <m:e>
            <m:r>
              <m:rPr/>
              <w:rPr>
                <w:rFonts w:hint="default" w:ascii="Cambria Math" w:hAnsi="Cambria Math" w:eastAsia="var(--ds-font-family-code)"/>
              </w:rPr>
              <m:t>k</m:t>
            </m:r>
            <m:ctrlPr>
              <w:rPr>
                <w:rFonts w:ascii="Cambria Math" w:hAnsi="Cambria Math" w:eastAsia="var(--ds-font-family-code)"/>
              </w:rPr>
            </m:ctrlPr>
          </m:e>
          <m:sub>
            <m:r>
              <m:rPr>
                <m:sty m:val="p"/>
              </m:rPr>
              <w:rPr>
                <w:rFonts w:hint="default" w:ascii="Cambria Math" w:hAnsi="Cambria Math" w:eastAsia="var(--ds-font-family-code)"/>
              </w:rPr>
              <m:t>PP</m:t>
            </m:r>
            <m:ctrlPr>
              <w:rPr>
                <w:rFonts w:ascii="Cambria Math" w:hAnsi="Cambria Math" w:eastAsia="var(--ds-font-family-code)"/>
              </w:rPr>
            </m:ctrlPr>
          </m:sub>
        </m:sSub>
      </m:oMath>
      <w:r>
        <w:rPr>
          <w:rFonts w:hint="default" w:ascii="Times New Roman" w:hAnsi="Times New Roman" w:cs="Times New Roman"/>
          <w:b w:val="0"/>
          <w:i w:val="0"/>
          <w:iCs w:val="0"/>
          <w:sz w:val="22"/>
          <w:szCs w:val="22"/>
        </w:rPr>
        <w:t xml:space="preserve"> = 0.5 mmHg/min), and </w:t>
      </w:r>
      <m:oMath>
        <m:sSub>
          <m:sSubPr>
            <m:ctrlPr>
              <w:rPr>
                <w:rFonts w:hint="default" w:ascii="Cambria Math" w:hAnsi="Cambria Math" w:eastAsia="var(--ds-font-family-code)"/>
              </w:rPr>
            </m:ctrlPr>
          </m:sSubPr>
          <m:e>
            <m:r>
              <m:rPr/>
              <w:rPr>
                <w:rFonts w:hint="default" w:ascii="Cambria Math" w:hAnsi="Cambria Math" w:eastAsia="var(--ds-font-family-code)"/>
              </w:rPr>
              <m:t>σ</m:t>
            </m:r>
            <m:ctrlPr>
              <w:rPr>
                <w:rFonts w:ascii="Cambria Math" w:hAnsi="Cambria Math" w:eastAsia="var(--ds-font-family-code)"/>
              </w:rPr>
            </m:ctrlPr>
          </m:e>
          <m:sub>
            <m:r>
              <m:rPr/>
              <w:rPr>
                <w:rFonts w:hint="default" w:ascii="Cambria Math" w:hAnsi="Cambria Math" w:eastAsia="var(--ds-font-family-code)"/>
              </w:rPr>
              <m:t>η</m:t>
            </m:r>
            <m:ctrlPr>
              <w:rPr>
                <w:rFonts w:ascii="Cambria Math" w:hAnsi="Cambria Math" w:eastAsia="var(--ds-font-family-code)"/>
              </w:rPr>
            </m:ctrlPr>
          </m:sub>
        </m:sSub>
      </m:oMath>
      <w:r>
        <w:rPr>
          <w:rFonts w:hint="eastAsia" w:ascii="Times New Roman" w:hAnsi="Times New Roman" w:cs="Times New Roman"/>
          <w:b w:val="0"/>
          <w:i w:val="0"/>
          <w:iCs w:val="0"/>
          <w:sz w:val="22"/>
          <w:szCs w:val="22"/>
          <w:lang w:val="en-US" w:eastAsia="zh-CN"/>
        </w:rPr>
        <w:t xml:space="preserve"> </w:t>
      </w:r>
      <w:r>
        <w:rPr>
          <w:rFonts w:hint="default" w:ascii="Times New Roman" w:hAnsi="Times New Roman" w:cs="Times New Roman"/>
          <w:b w:val="0"/>
          <w:i w:val="0"/>
          <w:iCs w:val="0"/>
          <w:sz w:val="22"/>
          <w:szCs w:val="22"/>
        </w:rPr>
        <w:t xml:space="preserve">= 2 mmHg is an additional noise term for DBP. This formulation ensures that pulse pressure (PP = SBP − DBP) narrows progressively at 0.5 mmHg/min after </w:t>
      </w:r>
      <m:oMath>
        <m:sSub>
          <m:sSubPr>
            <m:ctrlPr>
              <w:rPr>
                <w:rFonts w:hint="default" w:ascii="Cambria Math" w:hAnsi="Cambria Math" w:eastAsia="var(--ds-font-family-code)"/>
              </w:rPr>
            </m:ctrlPr>
          </m:sSubPr>
          <m:e>
            <m:r>
              <m:rPr/>
              <w:rPr>
                <w:rFonts w:hint="default" w:ascii="Cambria Math" w:hAnsi="Cambria Math" w:eastAsia="var(--ds-font-family-code)"/>
              </w:rPr>
              <m:t>T</m:t>
            </m:r>
            <m:ctrlPr>
              <w:rPr>
                <w:rFonts w:hint="default" w:ascii="Cambria Math" w:hAnsi="Cambria Math" w:eastAsia="var(--ds-font-family-code)"/>
              </w:rPr>
            </m:ctrlPr>
          </m:e>
          <m:sub>
            <m:r>
              <m:rPr>
                <m:sty m:val="p"/>
              </m:rPr>
              <w:rPr>
                <w:rFonts w:hint="default" w:ascii="Cambria Math" w:hAnsi="Cambria Math" w:eastAsia="var(--ds-font-family-code)"/>
              </w:rPr>
              <m:t>onset</m:t>
            </m:r>
            <m:ctrlPr>
              <w:rPr>
                <w:rFonts w:hint="default" w:ascii="Cambria Math" w:hAnsi="Cambria Math" w:eastAsia="var(--ds-font-family-code)"/>
              </w:rPr>
            </m:ctrlPr>
          </m:sub>
        </m:sSub>
      </m:oMath>
      <w:r>
        <w:rPr>
          <w:rFonts w:hint="default" w:ascii="Times New Roman" w:hAnsi="Times New Roman" w:cs="Times New Roman"/>
          <w:b w:val="0"/>
          <w:i w:val="0"/>
          <w:iCs w:val="0"/>
          <w:sz w:val="22"/>
          <w:szCs w:val="22"/>
        </w:rPr>
        <w:t xml:space="preserve"> in TIC-positive trajectories, falling from 45 mmHg at onset to approximately 32.5 mmHg at simulated hospital arrival, consistent with the haemodynamic signature of compensated haemorrhagic shock. For control (non-TIC) trajectories, </w:t>
      </w:r>
      <m:oMath>
        <m:sSub>
          <m:sSubPr>
            <m:ctrlPr>
              <w:rPr>
                <w:rFonts w:hint="default" w:ascii="Cambria Math" w:hAnsi="Cambria Math" w:eastAsia="var(--ds-font-family-code)"/>
              </w:rPr>
            </m:ctrlPr>
          </m:sSubPr>
          <m:e>
            <m:r>
              <m:rPr>
                <m:sty m:val="p"/>
              </m:rPr>
              <w:rPr>
                <w:rFonts w:hint="default" w:ascii="Cambria Math" w:hAnsi="Cambria Math" w:eastAsia="var(--ds-font-family-code)"/>
              </w:rPr>
              <m:t>PP</m:t>
            </m:r>
            <m:ctrlPr>
              <w:rPr>
                <w:rFonts w:ascii="Cambria Math" w:hAnsi="Cambria Math" w:eastAsia="var(--ds-font-family-code)"/>
              </w:rPr>
            </m:ctrlPr>
          </m:e>
          <m:sub>
            <m:r>
              <m:rPr>
                <m:sty m:val="p"/>
              </m:rPr>
              <w:rPr>
                <w:rFonts w:hint="default" w:ascii="Cambria Math" w:hAnsi="Cambria Math" w:eastAsia="var(--ds-font-family-code)"/>
              </w:rPr>
              <m:t>target</m:t>
            </m:r>
            <m:ctrlPr>
              <w:rPr>
                <w:rFonts w:ascii="Cambria Math" w:hAnsi="Cambria Math" w:eastAsia="var(--ds-font-family-code)"/>
              </w:rPr>
            </m:ctrlPr>
          </m:sub>
        </m:sSub>
      </m:oMath>
      <w:r>
        <w:rPr>
          <w:rFonts w:hint="default" w:ascii="Times New Roman" w:hAnsi="Times New Roman" w:cs="Times New Roman"/>
          <w:b w:val="0"/>
          <w:i w:val="0"/>
          <w:iCs w:val="0"/>
          <w:sz w:val="22"/>
          <w:szCs w:val="22"/>
        </w:rPr>
        <w:t xml:space="preserve"> is held constant at </w:t>
      </w:r>
      <m:oMath>
        <m:sSub>
          <m:sSubPr>
            <m:ctrlPr>
              <w:rPr>
                <w:rFonts w:hint="default" w:ascii="Cambria Math" w:hAnsi="Cambria Math" w:eastAsia="var(--ds-font-family-code)"/>
              </w:rPr>
            </m:ctrlPr>
          </m:sSubPr>
          <m:e>
            <m:r>
              <m:rPr>
                <m:sty m:val="p"/>
              </m:rPr>
              <w:rPr>
                <w:rFonts w:hint="default" w:ascii="Cambria Math" w:hAnsi="Cambria Math" w:eastAsia="var(--ds-font-family-code)"/>
              </w:rPr>
              <m:t>PP</m:t>
            </m:r>
            <m:ctrlPr>
              <w:rPr>
                <w:rFonts w:ascii="Cambria Math" w:hAnsi="Cambria Math" w:eastAsia="var(--ds-font-family-code)"/>
              </w:rPr>
            </m:ctrlPr>
          </m:e>
          <m:sub>
            <m:r>
              <m:rPr>
                <m:sty m:val="p"/>
              </m:rPr>
              <w:rPr>
                <w:rFonts w:hint="default" w:ascii="Cambria Math" w:hAnsi="Cambria Math" w:eastAsia="var(--ds-font-family-code)"/>
              </w:rPr>
              <m:t>initial</m:t>
            </m:r>
            <m:ctrlPr>
              <w:rPr>
                <w:rFonts w:ascii="Cambria Math" w:hAnsi="Cambria Math" w:eastAsia="var(--ds-font-family-code)"/>
              </w:rPr>
            </m:ctrlPr>
          </m:sub>
        </m:sSub>
      </m:oMath>
      <w:r>
        <w:rPr>
          <w:rFonts w:hint="default" w:ascii="Times New Roman" w:hAnsi="Times New Roman" w:cs="Times New Roman"/>
          <w:b w:val="0"/>
          <w:i w:val="0"/>
          <w:iCs w:val="0"/>
          <w:sz w:val="22"/>
          <w:szCs w:val="22"/>
        </w:rPr>
        <w:t xml:space="preserve"> = 45 mmHg.</w:t>
      </w:r>
    </w:p>
    <w:p w14:paraId="61358D29">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For SpO₂, the drift is minimal (αSpO₂ ≈ 0) and the signal fluctuates around its baseline. This design choice reflects the clinical observation that oxygen saturation is relatively preserved during early compensated shock and is therefore a weak discriminator for TIC at early stages.</w:t>
      </w:r>
    </w:p>
    <w:p w14:paraId="3CFBBBA3">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S1.2.4 Sensor Noise and Motion Artefacts</w:t>
      </w:r>
    </w:p>
    <w:p w14:paraId="776076D3">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To increase realism, two additional perturbations are applied after the OU simulation:</w:t>
      </w:r>
    </w:p>
    <w:p w14:paraId="01D05F82">
      <w:pPr>
        <w:keepNext w:val="0"/>
        <w:keepLines w:val="0"/>
        <w:pageBreakBefore w:val="0"/>
        <w:widowControl/>
        <w:kinsoku/>
        <w:wordWrap/>
        <w:overflowPunct/>
        <w:topLinePunct w:val="0"/>
        <w:autoSpaceDE/>
        <w:autoSpaceDN/>
        <w:bidi w:val="0"/>
        <w:adjustRightInd/>
        <w:snapToGrid/>
        <w:spacing w:after="80" w:line="480" w:lineRule="auto"/>
        <w:ind w:left="283"/>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 xml:space="preserve">(1) Gaussian sensor noise: </w:t>
      </w:r>
      <w:r>
        <w:rPr>
          <w:rFonts w:hint="default" w:ascii="Times New Roman" w:hAnsi="Times New Roman" w:cs="Times New Roman"/>
          <w:i w:val="0"/>
          <w:iCs w:val="0"/>
          <w:sz w:val="22"/>
          <w:szCs w:val="22"/>
        </w:rPr>
        <w:t>Independent zero-mean Gaussian noise with standard deviation σ_sensor (Table S1.1) is added to each simulated sample, representing typical sensor measurement uncertainty.</w:t>
      </w:r>
    </w:p>
    <w:p w14:paraId="04E42700">
      <w:pPr>
        <w:keepNext w:val="0"/>
        <w:keepLines w:val="0"/>
        <w:pageBreakBefore w:val="0"/>
        <w:widowControl/>
        <w:kinsoku/>
        <w:wordWrap/>
        <w:overflowPunct/>
        <w:topLinePunct w:val="0"/>
        <w:autoSpaceDE/>
        <w:autoSpaceDN/>
        <w:bidi w:val="0"/>
        <w:adjustRightInd/>
        <w:snapToGrid/>
        <w:spacing w:after="80" w:line="480" w:lineRule="auto"/>
        <w:ind w:left="283"/>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 xml:space="preserve">(2) Motion artefacts: </w:t>
      </w:r>
      <w:r>
        <w:rPr>
          <w:rFonts w:hint="default" w:ascii="Times New Roman" w:hAnsi="Times New Roman" w:cs="Times New Roman"/>
          <w:i w:val="0"/>
          <w:iCs w:val="0"/>
          <w:sz w:val="22"/>
          <w:szCs w:val="22"/>
        </w:rPr>
        <w:t>Brief (2–10 s) transient spikes are randomly inserted into the HR signal with probability p_artifact per episode. Spike amplitude is drawn from a uniform distribution U(5, 20) bpm, and spike duration follows a uniform distribution U(2, 10) s. These artefacts simulate movement-related signal corruption during ambulance transport.</w:t>
      </w:r>
    </w:p>
    <w:p w14:paraId="794132F8">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S1.3 Simulator Parameter Tables</w:t>
      </w:r>
    </w:p>
    <w:p w14:paraId="49B4E865">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All parameter values were set a priori based on published physiological reference ranges and trauma literature. No empirical optimisation was performed to maximise model discrimination. Tables S1.1 and S1.2 provide the complete parameterisation for baseline and TIC trajectories, respectively.</w:t>
      </w:r>
    </w:p>
    <w:p w14:paraId="24CA4761">
      <w:pPr>
        <w:keepNext w:val="0"/>
        <w:keepLines w:val="0"/>
        <w:pageBreakBefore w:val="0"/>
        <w:widowControl/>
        <w:kinsoku/>
        <w:wordWrap/>
        <w:overflowPunct/>
        <w:topLinePunct w:val="0"/>
        <w:autoSpaceDE/>
        <w:autoSpaceDN/>
        <w:bidi w:val="0"/>
        <w:adjustRightInd/>
        <w:snapToGrid/>
        <w:spacing w:before="240" w:after="80" w:line="240" w:lineRule="auto"/>
        <w:jc w:val="center"/>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 xml:space="preserve">Table S1.1. </w:t>
      </w:r>
      <w:r>
        <w:rPr>
          <w:rFonts w:hint="default" w:ascii="Times New Roman" w:hAnsi="Times New Roman" w:cs="Times New Roman"/>
          <w:i w:val="0"/>
          <w:iCs w:val="0"/>
          <w:sz w:val="22"/>
          <w:szCs w:val="22"/>
        </w:rPr>
        <w:t>Ornstein–Uhlenbeck process parameters for all vital signs (control/baseline trajectories).</w:t>
      </w:r>
    </w:p>
    <w:tbl>
      <w:tblPr>
        <w:tblStyle w:val="34"/>
        <w:tblW w:w="9622" w:type="dxa"/>
        <w:tblInd w:w="-109" w:type="dxa"/>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821"/>
        <w:gridCol w:w="1372"/>
        <w:gridCol w:w="1366"/>
        <w:gridCol w:w="1358"/>
        <w:gridCol w:w="1368"/>
        <w:gridCol w:w="1349"/>
        <w:gridCol w:w="988"/>
      </w:tblGrid>
      <w:tr w14:paraId="10E70E9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821" w:type="dxa"/>
            <w:tcBorders>
              <w:top w:val="single" w:color="000000" w:sz="12" w:space="0"/>
              <w:left w:val="nil"/>
              <w:bottom w:val="single" w:color="000000" w:sz="4" w:space="0"/>
              <w:right w:val="nil"/>
              <w:tl2br w:val="nil"/>
            </w:tcBorders>
            <w:shd w:val="clear" w:color="auto" w:fill="FFFFFF"/>
            <w:noWrap w:val="0"/>
            <w:tcMar>
              <w:top w:w="-1" w:type="dxa"/>
              <w:left w:w="-1" w:type="dxa"/>
              <w:bottom w:w="-1" w:type="dxa"/>
              <w:right w:w="-1" w:type="dxa"/>
            </w:tcMar>
            <w:vAlign w:val="top"/>
          </w:tcPr>
          <w:p w14:paraId="08AF7DC3">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Vital sign</w:t>
            </w:r>
          </w:p>
        </w:tc>
        <w:tc>
          <w:tcPr>
            <w:tcW w:w="1372"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top"/>
          </w:tcPr>
          <w:p w14:paraId="37B92C94">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Baseline mean</w:t>
            </w:r>
            <w:r>
              <w:rPr>
                <w:rFonts w:hint="default" w:ascii="Times New Roman" w:hAnsi="Times New Roman" w:cs="Times New Roman"/>
                <w:b w:val="0"/>
                <w:i w:val="0"/>
                <w:iCs w:val="0"/>
                <w:color w:val="000000"/>
                <w:sz w:val="22"/>
                <w:szCs w:val="22"/>
              </w:rPr>
              <w:br w:type="textWrapping"/>
            </w:r>
            <m:oMathPara>
              <m:oMath>
                <m:sSub>
                  <m:sSubPr>
                    <m:ctrlPr>
                      <w:rPr>
                        <w:rFonts w:hint="default" w:ascii="Cambria Math" w:hAnsi="Cambria Math" w:eastAsia="var(--ds-font-family-code)"/>
                      </w:rPr>
                    </m:ctrlPr>
                  </m:sSubPr>
                  <m:e>
                    <m:r>
                      <m:rPr/>
                      <w:rPr>
                        <w:rFonts w:hint="default" w:ascii="Cambria Math" w:hAnsi="Cambria Math" w:eastAsia="var(--ds-font-family-code)"/>
                      </w:rPr>
                      <m:t>μ</m:t>
                    </m:r>
                    <m:ctrlPr>
                      <w:rPr>
                        <w:rFonts w:ascii="Cambria Math" w:hAnsi="Cambria Math" w:eastAsia="var(--ds-font-family-code)"/>
                      </w:rPr>
                    </m:ctrlPr>
                  </m:e>
                  <m:sub>
                    <m:r>
                      <m:rPr/>
                      <w:rPr>
                        <w:rFonts w:hint="default" w:ascii="Cambria Math" w:hAnsi="Cambria Math" w:eastAsia="var(--ds-font-family-code)"/>
                      </w:rPr>
                      <m:t>i,</m:t>
                    </m:r>
                    <m:r>
                      <m:rPr>
                        <m:sty m:val="p"/>
                      </m:rPr>
                      <w:rPr>
                        <w:rFonts w:hint="default" w:ascii="Cambria Math" w:hAnsi="Cambria Math" w:eastAsia="var(--ds-font-family-code)"/>
                      </w:rPr>
                      <m:t>baseline</m:t>
                    </m:r>
                    <m:ctrlPr>
                      <w:rPr>
                        <w:rFonts w:ascii="Cambria Math" w:hAnsi="Cambria Math" w:eastAsia="var(--ds-font-family-code)"/>
                      </w:rPr>
                    </m:ctrlPr>
                  </m:sub>
                </m:sSub>
              </m:oMath>
            </m:oMathPara>
          </w:p>
        </w:tc>
        <w:tc>
          <w:tcPr>
            <w:tcW w:w="1366"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top"/>
          </w:tcPr>
          <w:p w14:paraId="408AA164">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Reversion</w:t>
            </w:r>
            <w:r>
              <w:rPr>
                <w:rFonts w:hint="default" w:ascii="Times New Roman" w:hAnsi="Times New Roman" w:cs="Times New Roman"/>
                <w:b w:val="0"/>
                <w:i w:val="0"/>
                <w:iCs w:val="0"/>
                <w:color w:val="000000"/>
                <w:sz w:val="22"/>
                <w:szCs w:val="22"/>
              </w:rPr>
              <w:br w:type="textWrapping"/>
            </w:r>
            <w:r>
              <w:rPr>
                <w:rFonts w:hint="default" w:ascii="Times New Roman" w:hAnsi="Times New Roman" w:cs="Times New Roman"/>
                <w:b w:val="0"/>
                <w:i w:val="0"/>
                <w:iCs w:val="0"/>
                <w:color w:val="000000"/>
                <w:sz w:val="22"/>
                <w:szCs w:val="22"/>
              </w:rPr>
              <w:t xml:space="preserve">rate </w:t>
            </w:r>
            <m:oMath>
              <m:sSub>
                <m:sSubPr>
                  <m:ctrlPr>
                    <w:rPr>
                      <w:rFonts w:hint="default" w:ascii="Cambria Math" w:hAnsi="Cambria Math" w:eastAsiaTheme="minorEastAsia"/>
                      <w:sz w:val="22"/>
                    </w:rPr>
                  </m:ctrlPr>
                </m:sSubPr>
                <m:e>
                  <m:r>
                    <m:rPr/>
                    <w:rPr>
                      <w:rFonts w:hint="default" w:ascii="Cambria Math" w:hAnsi="Cambria Math" w:eastAsiaTheme="minorEastAsia"/>
                      <w:sz w:val="22"/>
                    </w:rPr>
                    <m:t>θ</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oMath>
            <w:r>
              <w:rPr>
                <w:rFonts w:hint="default" w:ascii="Times New Roman" w:hAnsi="Times New Roman" w:cs="Times New Roman"/>
                <w:b w:val="0"/>
                <w:i w:val="0"/>
                <w:iCs w:val="0"/>
                <w:color w:val="000000"/>
                <w:sz w:val="22"/>
                <w:szCs w:val="22"/>
              </w:rPr>
              <w:t xml:space="preserve"> (s⁻¹)</w:t>
            </w:r>
          </w:p>
        </w:tc>
        <w:tc>
          <w:tcPr>
            <w:tcW w:w="1358"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top"/>
          </w:tcPr>
          <w:p w14:paraId="4CE46280">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Volatility</w:t>
            </w:r>
            <w:r>
              <w:rPr>
                <w:rFonts w:hint="default" w:ascii="Times New Roman" w:hAnsi="Times New Roman" w:cs="Times New Roman"/>
                <w:b w:val="0"/>
                <w:i w:val="0"/>
                <w:iCs w:val="0"/>
                <w:color w:val="000000"/>
                <w:sz w:val="22"/>
                <w:szCs w:val="22"/>
              </w:rPr>
              <w:br w:type="textWrapping"/>
            </w:r>
            <m:oMathPara>
              <m:oMath>
                <m:sSub>
                  <m:sSubPr>
                    <m:ctrlPr>
                      <w:rPr>
                        <w:rFonts w:hint="default" w:ascii="Cambria Math" w:hAnsi="Cambria Math" w:eastAsia="var(--ds-font-family-code)"/>
                      </w:rPr>
                    </m:ctrlPr>
                  </m:sSubPr>
                  <m:e>
                    <m:r>
                      <m:rPr/>
                      <w:rPr>
                        <w:rFonts w:hint="default" w:ascii="Cambria Math" w:hAnsi="Cambria Math" w:eastAsia="var(--ds-font-family-code)"/>
                      </w:rPr>
                      <m:t>σ</m:t>
                    </m:r>
                    <m:ctrlPr>
                      <w:rPr>
                        <w:rFonts w:ascii="Cambria Math" w:hAnsi="Cambria Math" w:eastAsia="var(--ds-font-family-code)"/>
                      </w:rPr>
                    </m:ctrlPr>
                  </m:e>
                  <m:sub>
                    <m:r>
                      <m:rPr/>
                      <w:rPr>
                        <w:rFonts w:hint="default" w:ascii="Cambria Math" w:hAnsi="Cambria Math" w:eastAsia="var(--ds-font-family-code)"/>
                      </w:rPr>
                      <m:t>i</m:t>
                    </m:r>
                    <m:ctrlPr>
                      <w:rPr>
                        <w:rFonts w:ascii="Cambria Math" w:hAnsi="Cambria Math" w:eastAsia="var(--ds-font-family-code)"/>
                      </w:rPr>
                    </m:ctrlPr>
                  </m:sub>
                </m:sSub>
                <m:r>
                  <m:rPr/>
                  <w:rPr>
                    <w:rFonts w:hint="default" w:ascii="Cambria Math" w:hAnsi="Cambria Math" w:eastAsia="var(--ds-font-family-code)"/>
                  </w:rPr>
                  <m:t>(per</m:t>
                </m:r>
                <m:rad>
                  <m:radPr>
                    <m:degHide m:val="1"/>
                    <m:ctrlPr>
                      <w:rPr>
                        <w:rFonts w:hint="default" w:ascii="Cambria Math" w:hAnsi="Cambria Math" w:eastAsia="var(--ds-font-family-code)"/>
                      </w:rPr>
                    </m:ctrlPr>
                  </m:radPr>
                  <m:deg>
                    <m:ctrlPr>
                      <w:rPr>
                        <w:rFonts w:ascii="Cambria Math" w:hAnsi="Cambria Math" w:eastAsia="var(--ds-font-family-code)"/>
                      </w:rPr>
                    </m:ctrlPr>
                  </m:deg>
                  <m:e>
                    <m:r>
                      <m:rPr>
                        <m:sty m:val="p"/>
                      </m:rPr>
                      <w:rPr>
                        <w:rFonts w:hint="default" w:ascii="Cambria Math" w:hAnsi="Cambria Math" w:eastAsia="var(--ds-font-family-code)"/>
                      </w:rPr>
                      <m:t>s</m:t>
                    </m:r>
                    <m:ctrlPr>
                      <w:rPr>
                        <w:rFonts w:ascii="Cambria Math" w:hAnsi="Cambria Math" w:eastAsia="var(--ds-font-family-code)"/>
                      </w:rPr>
                    </m:ctrlPr>
                  </m:e>
                </m:rad>
                <m:r>
                  <m:rPr/>
                  <w:rPr>
                    <w:rFonts w:hint="default" w:ascii="Cambria Math" w:hAnsi="Cambria Math" w:eastAsia="var(--ds-font-family-code)"/>
                  </w:rPr>
                  <m:t>)</m:t>
                </m:r>
              </m:oMath>
            </m:oMathPara>
          </w:p>
        </w:tc>
        <w:tc>
          <w:tcPr>
            <w:tcW w:w="1368"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top"/>
          </w:tcPr>
          <w:p w14:paraId="2D9EB886">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Stationary SD</w:t>
            </w:r>
            <w:r>
              <w:rPr>
                <w:rFonts w:hint="default" w:ascii="Times New Roman" w:hAnsi="Times New Roman" w:cs="Times New Roman"/>
                <w:b w:val="0"/>
                <w:i w:val="0"/>
                <w:iCs w:val="0"/>
                <w:color w:val="000000"/>
                <w:sz w:val="22"/>
                <w:szCs w:val="22"/>
              </w:rPr>
              <w:br w:type="textWrapping"/>
            </w:r>
            <m:oMathPara>
              <m:oMath>
                <m:sSub>
                  <m:sSubPr>
                    <m:ctrlPr>
                      <w:rPr>
                        <w:rFonts w:hint="default" w:ascii="Cambria Math" w:hAnsi="Cambria Math" w:eastAsiaTheme="minorEastAsia"/>
                        <w:sz w:val="22"/>
                      </w:rPr>
                    </m:ctrlPr>
                  </m:sSubPr>
                  <m:e>
                    <m:r>
                      <m:rPr/>
                      <w:rPr>
                        <w:rFonts w:hint="default" w:ascii="Cambria Math" w:hAnsi="Cambria Math" w:eastAsiaTheme="minorEastAsia"/>
                        <w:sz w:val="22"/>
                      </w:rPr>
                      <m:t>σ</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r>
                  <m:rPr/>
                  <w:rPr>
                    <w:rFonts w:hint="default" w:ascii="Cambria Math" w:hAnsi="Cambria Math" w:eastAsiaTheme="minorEastAsia"/>
                    <w:sz w:val="22"/>
                  </w:rPr>
                  <m:t>/</m:t>
                </m:r>
                <m:rad>
                  <m:radPr>
                    <m:degHide m:val="1"/>
                    <m:ctrlPr>
                      <w:rPr>
                        <w:rFonts w:hint="default" w:ascii="Cambria Math" w:hAnsi="Cambria Math" w:eastAsiaTheme="minorEastAsia"/>
                        <w:sz w:val="22"/>
                      </w:rPr>
                    </m:ctrlPr>
                  </m:radPr>
                  <m:deg>
                    <m:ctrlPr>
                      <w:rPr>
                        <w:rFonts w:ascii="Cambria Math" w:hAnsi="Cambria Math" w:eastAsiaTheme="minorEastAsia"/>
                        <w:sz w:val="22"/>
                      </w:rPr>
                    </m:ctrlPr>
                  </m:deg>
                  <m:e>
                    <m:r>
                      <m:rPr/>
                      <w:rPr>
                        <w:rFonts w:hint="default" w:ascii="Cambria Math" w:hAnsi="Cambria Math" w:eastAsiaTheme="minorEastAsia"/>
                        <w:sz w:val="22"/>
                      </w:rPr>
                      <m:t>2</m:t>
                    </m:r>
                    <m:sSub>
                      <m:sSubPr>
                        <m:ctrlPr>
                          <w:rPr>
                            <w:rFonts w:hint="default" w:ascii="Cambria Math" w:hAnsi="Cambria Math" w:eastAsiaTheme="minorEastAsia"/>
                            <w:sz w:val="22"/>
                          </w:rPr>
                        </m:ctrlPr>
                      </m:sSubPr>
                      <m:e>
                        <m:r>
                          <m:rPr/>
                          <w:rPr>
                            <w:rFonts w:hint="default" w:ascii="Cambria Math" w:hAnsi="Cambria Math" w:eastAsiaTheme="minorEastAsia"/>
                            <w:sz w:val="22"/>
                          </w:rPr>
                          <m:t>θ</m:t>
                        </m:r>
                        <m:ctrlPr>
                          <w:rPr>
                            <w:rFonts w:ascii="Cambria Math" w:hAnsi="Cambria Math" w:eastAsiaTheme="minorEastAsia"/>
                            <w:sz w:val="22"/>
                          </w:rPr>
                        </m:ctrlPr>
                      </m:e>
                      <m:sub>
                        <m:r>
                          <m:rPr/>
                          <w:rPr>
                            <w:rFonts w:hint="default" w:ascii="Cambria Math" w:hAnsi="Cambria Math" w:eastAsiaTheme="minorEastAsia"/>
                            <w:sz w:val="22"/>
                          </w:rPr>
                          <m:t>i</m:t>
                        </m:r>
                        <m:ctrlPr>
                          <w:rPr>
                            <w:rFonts w:ascii="Cambria Math" w:hAnsi="Cambria Math" w:eastAsiaTheme="minorEastAsia"/>
                            <w:sz w:val="22"/>
                          </w:rPr>
                        </m:ctrlPr>
                      </m:sub>
                    </m:sSub>
                    <m:ctrlPr>
                      <w:rPr>
                        <w:rFonts w:hint="default" w:ascii="Cambria Math" w:hAnsi="Cambria Math" w:eastAsiaTheme="minorEastAsia"/>
                        <w:sz w:val="22"/>
                      </w:rPr>
                    </m:ctrlPr>
                  </m:e>
                </m:rad>
              </m:oMath>
            </m:oMathPara>
          </w:p>
        </w:tc>
        <w:tc>
          <w:tcPr>
            <w:tcW w:w="1349"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top"/>
          </w:tcPr>
          <w:p w14:paraId="094400AC">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Sensor noise</w:t>
            </w:r>
            <w:r>
              <w:rPr>
                <w:rFonts w:hint="default" w:ascii="Times New Roman" w:hAnsi="Times New Roman" w:cs="Times New Roman"/>
                <w:b w:val="0"/>
                <w:i w:val="0"/>
                <w:iCs w:val="0"/>
                <w:color w:val="000000"/>
                <w:sz w:val="22"/>
                <w:szCs w:val="22"/>
              </w:rPr>
              <w:br w:type="textWrapping"/>
            </w:r>
            <m:oMathPara>
              <m:oMath>
                <m:sSub>
                  <m:sSubPr>
                    <m:ctrlPr>
                      <w:rPr>
                        <w:rFonts w:hint="default" w:ascii="Cambria Math" w:hAnsi="Cambria Math" w:eastAsia="var(--ds-font-family-code)"/>
                      </w:rPr>
                    </m:ctrlPr>
                  </m:sSubPr>
                  <m:e>
                    <m:r>
                      <m:rPr/>
                      <w:rPr>
                        <w:rFonts w:hint="default" w:ascii="Cambria Math" w:hAnsi="Cambria Math" w:eastAsia="var(--ds-font-family-code)"/>
                      </w:rPr>
                      <m:t>σ</m:t>
                    </m:r>
                    <m:ctrlPr>
                      <w:rPr>
                        <w:rFonts w:ascii="Cambria Math" w:hAnsi="Cambria Math" w:eastAsia="var(--ds-font-family-code)"/>
                      </w:rPr>
                    </m:ctrlPr>
                  </m:e>
                  <m:sub>
                    <m:r>
                      <m:rPr>
                        <m:sty m:val="p"/>
                      </m:rPr>
                      <w:rPr>
                        <w:rFonts w:hint="default" w:ascii="Cambria Math" w:hAnsi="Cambria Math" w:eastAsia="var(--ds-font-family-code)"/>
                      </w:rPr>
                      <m:t>sensor</m:t>
                    </m:r>
                    <m:ctrlPr>
                      <w:rPr>
                        <w:rFonts w:ascii="Cambria Math" w:hAnsi="Cambria Math" w:eastAsia="var(--ds-font-family-code)"/>
                      </w:rPr>
                    </m:ctrlPr>
                  </m:sub>
                </m:sSub>
              </m:oMath>
            </m:oMathPara>
          </w:p>
        </w:tc>
        <w:tc>
          <w:tcPr>
            <w:tcW w:w="988"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top"/>
          </w:tcPr>
          <w:p w14:paraId="43EF9F26">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Units</w:t>
            </w:r>
          </w:p>
        </w:tc>
      </w:tr>
      <w:tr w14:paraId="234E8DF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821" w:type="dxa"/>
            <w:tcBorders>
              <w:top w:val="single" w:color="000000" w:sz="4" w:space="0"/>
              <w:left w:val="nil"/>
              <w:bottom w:val="nil"/>
              <w:right w:val="nil"/>
            </w:tcBorders>
            <w:shd w:val="clear" w:color="auto" w:fill="FFFFFF"/>
            <w:noWrap w:val="0"/>
            <w:tcMar>
              <w:top w:w="-1" w:type="dxa"/>
              <w:left w:w="-1" w:type="dxa"/>
              <w:bottom w:w="-1" w:type="dxa"/>
              <w:right w:w="-1" w:type="dxa"/>
            </w:tcMar>
            <w:vAlign w:val="top"/>
          </w:tcPr>
          <w:p w14:paraId="58215144">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Heart rate (HR)</w:t>
            </w:r>
          </w:p>
        </w:tc>
        <w:tc>
          <w:tcPr>
            <w:tcW w:w="1372" w:type="dxa"/>
            <w:tcBorders>
              <w:top w:val="single" w:color="000000" w:sz="4" w:space="0"/>
              <w:left w:val="nil"/>
              <w:bottom w:val="nil"/>
              <w:right w:val="nil"/>
            </w:tcBorders>
            <w:shd w:val="clear" w:color="auto" w:fill="FFFFFF"/>
            <w:noWrap w:val="0"/>
            <w:tcMar>
              <w:top w:w="-1" w:type="dxa"/>
              <w:left w:w="-1" w:type="dxa"/>
              <w:bottom w:w="-1" w:type="dxa"/>
              <w:right w:w="-1" w:type="dxa"/>
            </w:tcMar>
            <w:vAlign w:val="top"/>
          </w:tcPr>
          <w:p w14:paraId="3580BA89">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80.0</w:t>
            </w:r>
          </w:p>
        </w:tc>
        <w:tc>
          <w:tcPr>
            <w:tcW w:w="1366" w:type="dxa"/>
            <w:tcBorders>
              <w:top w:val="single" w:color="000000" w:sz="4" w:space="0"/>
              <w:left w:val="nil"/>
              <w:bottom w:val="nil"/>
              <w:right w:val="nil"/>
            </w:tcBorders>
            <w:shd w:val="clear" w:color="auto" w:fill="FFFFFF"/>
            <w:noWrap w:val="0"/>
            <w:tcMar>
              <w:top w:w="-1" w:type="dxa"/>
              <w:left w:w="-1" w:type="dxa"/>
              <w:bottom w:w="-1" w:type="dxa"/>
              <w:right w:w="-1" w:type="dxa"/>
            </w:tcMar>
            <w:vAlign w:val="top"/>
          </w:tcPr>
          <w:p w14:paraId="2BE3F42C">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0.15</w:t>
            </w:r>
          </w:p>
        </w:tc>
        <w:tc>
          <w:tcPr>
            <w:tcW w:w="1358" w:type="dxa"/>
            <w:tcBorders>
              <w:top w:val="single" w:color="000000" w:sz="4" w:space="0"/>
              <w:left w:val="nil"/>
              <w:bottom w:val="nil"/>
              <w:right w:val="nil"/>
            </w:tcBorders>
            <w:shd w:val="clear" w:color="auto" w:fill="FFFFFF"/>
            <w:noWrap w:val="0"/>
            <w:tcMar>
              <w:top w:w="-1" w:type="dxa"/>
              <w:left w:w="-1" w:type="dxa"/>
              <w:bottom w:w="-1" w:type="dxa"/>
              <w:right w:w="-1" w:type="dxa"/>
            </w:tcMar>
            <w:vAlign w:val="top"/>
          </w:tcPr>
          <w:p w14:paraId="64677CD5">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3.5</w:t>
            </w:r>
          </w:p>
        </w:tc>
        <w:tc>
          <w:tcPr>
            <w:tcW w:w="1368" w:type="dxa"/>
            <w:tcBorders>
              <w:top w:val="single" w:color="000000" w:sz="4" w:space="0"/>
              <w:left w:val="nil"/>
              <w:bottom w:val="nil"/>
              <w:right w:val="nil"/>
            </w:tcBorders>
            <w:shd w:val="clear" w:color="auto" w:fill="FFFFFF"/>
            <w:noWrap w:val="0"/>
            <w:tcMar>
              <w:top w:w="-1" w:type="dxa"/>
              <w:left w:w="-1" w:type="dxa"/>
              <w:bottom w:w="-1" w:type="dxa"/>
              <w:right w:w="-1" w:type="dxa"/>
            </w:tcMar>
            <w:vAlign w:val="top"/>
          </w:tcPr>
          <w:p w14:paraId="35F7D6A5">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6.4</w:t>
            </w:r>
          </w:p>
        </w:tc>
        <w:tc>
          <w:tcPr>
            <w:tcW w:w="1349" w:type="dxa"/>
            <w:tcBorders>
              <w:top w:val="single" w:color="000000" w:sz="4" w:space="0"/>
              <w:left w:val="nil"/>
              <w:bottom w:val="nil"/>
              <w:right w:val="nil"/>
            </w:tcBorders>
            <w:shd w:val="clear" w:color="auto" w:fill="FFFFFF"/>
            <w:noWrap w:val="0"/>
            <w:tcMar>
              <w:top w:w="-1" w:type="dxa"/>
              <w:left w:w="-1" w:type="dxa"/>
              <w:bottom w:w="-1" w:type="dxa"/>
              <w:right w:w="-1" w:type="dxa"/>
            </w:tcMar>
            <w:vAlign w:val="top"/>
          </w:tcPr>
          <w:p w14:paraId="23A8DE04">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1.5</w:t>
            </w:r>
          </w:p>
        </w:tc>
        <w:tc>
          <w:tcPr>
            <w:tcW w:w="988" w:type="dxa"/>
            <w:tcBorders>
              <w:top w:val="single" w:color="000000" w:sz="4" w:space="0"/>
              <w:left w:val="nil"/>
              <w:bottom w:val="nil"/>
              <w:right w:val="nil"/>
            </w:tcBorders>
            <w:shd w:val="clear" w:color="auto" w:fill="FFFFFF"/>
            <w:noWrap w:val="0"/>
            <w:tcMar>
              <w:top w:w="-1" w:type="dxa"/>
              <w:left w:w="-1" w:type="dxa"/>
              <w:bottom w:w="-1" w:type="dxa"/>
              <w:right w:w="-1" w:type="dxa"/>
            </w:tcMar>
            <w:vAlign w:val="top"/>
          </w:tcPr>
          <w:p w14:paraId="3DD7924F">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bpm</w:t>
            </w:r>
          </w:p>
        </w:tc>
      </w:tr>
      <w:tr w14:paraId="701EFEE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821" w:type="dxa"/>
            <w:tcBorders>
              <w:top w:val="nil"/>
              <w:left w:val="nil"/>
              <w:bottom w:val="nil"/>
              <w:right w:val="nil"/>
            </w:tcBorders>
            <w:shd w:val="clear" w:color="auto" w:fill="FFFFFF"/>
            <w:noWrap w:val="0"/>
            <w:tcMar>
              <w:top w:w="-1" w:type="dxa"/>
              <w:left w:w="-1" w:type="dxa"/>
              <w:bottom w:w="-1" w:type="dxa"/>
              <w:right w:w="-1" w:type="dxa"/>
            </w:tcMar>
            <w:vAlign w:val="top"/>
          </w:tcPr>
          <w:p w14:paraId="43F045D4">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Systolic BP (SBP)</w:t>
            </w:r>
          </w:p>
        </w:tc>
        <w:tc>
          <w:tcPr>
            <w:tcW w:w="1372" w:type="dxa"/>
            <w:tcBorders>
              <w:top w:val="nil"/>
              <w:left w:val="nil"/>
              <w:bottom w:val="nil"/>
              <w:right w:val="nil"/>
            </w:tcBorders>
            <w:shd w:val="clear" w:color="auto" w:fill="FFFFFF"/>
            <w:noWrap w:val="0"/>
            <w:tcMar>
              <w:top w:w="-1" w:type="dxa"/>
              <w:left w:w="-1" w:type="dxa"/>
              <w:bottom w:w="-1" w:type="dxa"/>
              <w:right w:w="-1" w:type="dxa"/>
            </w:tcMar>
            <w:vAlign w:val="top"/>
          </w:tcPr>
          <w:p w14:paraId="264CD7CA">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120.0</w:t>
            </w:r>
          </w:p>
        </w:tc>
        <w:tc>
          <w:tcPr>
            <w:tcW w:w="1366" w:type="dxa"/>
            <w:tcBorders>
              <w:top w:val="nil"/>
              <w:left w:val="nil"/>
              <w:bottom w:val="nil"/>
              <w:right w:val="nil"/>
            </w:tcBorders>
            <w:shd w:val="clear" w:color="auto" w:fill="FFFFFF"/>
            <w:noWrap w:val="0"/>
            <w:tcMar>
              <w:top w:w="-1" w:type="dxa"/>
              <w:left w:w="-1" w:type="dxa"/>
              <w:bottom w:w="-1" w:type="dxa"/>
              <w:right w:w="-1" w:type="dxa"/>
            </w:tcMar>
            <w:vAlign w:val="top"/>
          </w:tcPr>
          <w:p w14:paraId="0F764CB9">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0.10</w:t>
            </w:r>
          </w:p>
        </w:tc>
        <w:tc>
          <w:tcPr>
            <w:tcW w:w="1358" w:type="dxa"/>
            <w:tcBorders>
              <w:top w:val="nil"/>
              <w:left w:val="nil"/>
              <w:bottom w:val="nil"/>
              <w:right w:val="nil"/>
            </w:tcBorders>
            <w:shd w:val="clear" w:color="auto" w:fill="FFFFFF"/>
            <w:noWrap w:val="0"/>
            <w:tcMar>
              <w:top w:w="-1" w:type="dxa"/>
              <w:left w:w="-1" w:type="dxa"/>
              <w:bottom w:w="-1" w:type="dxa"/>
              <w:right w:w="-1" w:type="dxa"/>
            </w:tcMar>
            <w:vAlign w:val="top"/>
          </w:tcPr>
          <w:p w14:paraId="3C25E79A">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4.5</w:t>
            </w:r>
          </w:p>
        </w:tc>
        <w:tc>
          <w:tcPr>
            <w:tcW w:w="1368" w:type="dxa"/>
            <w:tcBorders>
              <w:top w:val="nil"/>
              <w:left w:val="nil"/>
              <w:bottom w:val="nil"/>
              <w:right w:val="nil"/>
            </w:tcBorders>
            <w:shd w:val="clear" w:color="auto" w:fill="FFFFFF"/>
            <w:noWrap w:val="0"/>
            <w:tcMar>
              <w:top w:w="-1" w:type="dxa"/>
              <w:left w:w="-1" w:type="dxa"/>
              <w:bottom w:w="-1" w:type="dxa"/>
              <w:right w:w="-1" w:type="dxa"/>
            </w:tcMar>
            <w:vAlign w:val="top"/>
          </w:tcPr>
          <w:p w14:paraId="03E89744">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10.1</w:t>
            </w:r>
          </w:p>
        </w:tc>
        <w:tc>
          <w:tcPr>
            <w:tcW w:w="1349" w:type="dxa"/>
            <w:tcBorders>
              <w:top w:val="nil"/>
              <w:left w:val="nil"/>
              <w:bottom w:val="nil"/>
              <w:right w:val="nil"/>
            </w:tcBorders>
            <w:shd w:val="clear" w:color="auto" w:fill="FFFFFF"/>
            <w:noWrap w:val="0"/>
            <w:tcMar>
              <w:top w:w="-1" w:type="dxa"/>
              <w:left w:w="-1" w:type="dxa"/>
              <w:bottom w:w="-1" w:type="dxa"/>
              <w:right w:w="-1" w:type="dxa"/>
            </w:tcMar>
            <w:vAlign w:val="top"/>
          </w:tcPr>
          <w:p w14:paraId="02BFD1E9">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2.0</w:t>
            </w:r>
          </w:p>
        </w:tc>
        <w:tc>
          <w:tcPr>
            <w:tcW w:w="988" w:type="dxa"/>
            <w:tcBorders>
              <w:top w:val="nil"/>
              <w:left w:val="nil"/>
              <w:bottom w:val="nil"/>
              <w:right w:val="nil"/>
            </w:tcBorders>
            <w:shd w:val="clear" w:color="auto" w:fill="FFFFFF"/>
            <w:noWrap w:val="0"/>
            <w:tcMar>
              <w:top w:w="-1" w:type="dxa"/>
              <w:left w:w="-1" w:type="dxa"/>
              <w:bottom w:w="-1" w:type="dxa"/>
              <w:right w:w="-1" w:type="dxa"/>
            </w:tcMar>
            <w:vAlign w:val="top"/>
          </w:tcPr>
          <w:p w14:paraId="04AE6DAD">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mmHg</w:t>
            </w:r>
          </w:p>
        </w:tc>
      </w:tr>
      <w:tr w14:paraId="77457CF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821" w:type="dxa"/>
            <w:tcBorders>
              <w:top w:val="nil"/>
              <w:left w:val="nil"/>
              <w:bottom w:val="nil"/>
              <w:right w:val="nil"/>
            </w:tcBorders>
            <w:shd w:val="clear" w:color="auto" w:fill="FFFFFF"/>
            <w:noWrap w:val="0"/>
            <w:tcMar>
              <w:top w:w="-1" w:type="dxa"/>
              <w:left w:w="-1" w:type="dxa"/>
              <w:bottom w:w="-1" w:type="dxa"/>
              <w:right w:w="-1" w:type="dxa"/>
            </w:tcMar>
            <w:vAlign w:val="top"/>
          </w:tcPr>
          <w:p w14:paraId="650B47E8">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Diastolic BP (DBP)</w:t>
            </w:r>
          </w:p>
        </w:tc>
        <w:tc>
          <w:tcPr>
            <w:tcW w:w="1372" w:type="dxa"/>
            <w:tcBorders>
              <w:top w:val="nil"/>
              <w:left w:val="nil"/>
              <w:bottom w:val="nil"/>
              <w:right w:val="nil"/>
            </w:tcBorders>
            <w:shd w:val="clear" w:color="auto" w:fill="FFFFFF"/>
            <w:noWrap w:val="0"/>
            <w:tcMar>
              <w:top w:w="-1" w:type="dxa"/>
              <w:left w:w="-1" w:type="dxa"/>
              <w:bottom w:w="-1" w:type="dxa"/>
              <w:right w:w="-1" w:type="dxa"/>
            </w:tcMar>
            <w:vAlign w:val="top"/>
          </w:tcPr>
          <w:p w14:paraId="7FC4DDCA">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75.0</w:t>
            </w:r>
          </w:p>
        </w:tc>
        <w:tc>
          <w:tcPr>
            <w:tcW w:w="1366" w:type="dxa"/>
            <w:tcBorders>
              <w:top w:val="nil"/>
              <w:left w:val="nil"/>
              <w:bottom w:val="nil"/>
              <w:right w:val="nil"/>
            </w:tcBorders>
            <w:shd w:val="clear" w:color="auto" w:fill="FFFFFF"/>
            <w:noWrap w:val="0"/>
            <w:tcMar>
              <w:top w:w="-1" w:type="dxa"/>
              <w:left w:w="-1" w:type="dxa"/>
              <w:bottom w:w="-1" w:type="dxa"/>
              <w:right w:w="-1" w:type="dxa"/>
            </w:tcMar>
            <w:vAlign w:val="top"/>
          </w:tcPr>
          <w:p w14:paraId="2DABFE83">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0.10</w:t>
            </w:r>
          </w:p>
        </w:tc>
        <w:tc>
          <w:tcPr>
            <w:tcW w:w="1358" w:type="dxa"/>
            <w:tcBorders>
              <w:top w:val="nil"/>
              <w:left w:val="nil"/>
              <w:bottom w:val="nil"/>
              <w:right w:val="nil"/>
            </w:tcBorders>
            <w:shd w:val="clear" w:color="auto" w:fill="FFFFFF"/>
            <w:noWrap w:val="0"/>
            <w:tcMar>
              <w:top w:w="-1" w:type="dxa"/>
              <w:left w:w="-1" w:type="dxa"/>
              <w:bottom w:w="-1" w:type="dxa"/>
              <w:right w:w="-1" w:type="dxa"/>
            </w:tcMar>
            <w:vAlign w:val="top"/>
          </w:tcPr>
          <w:p w14:paraId="724DEE9C">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3.5</w:t>
            </w:r>
          </w:p>
        </w:tc>
        <w:tc>
          <w:tcPr>
            <w:tcW w:w="1368" w:type="dxa"/>
            <w:tcBorders>
              <w:top w:val="nil"/>
              <w:left w:val="nil"/>
              <w:bottom w:val="nil"/>
              <w:right w:val="nil"/>
            </w:tcBorders>
            <w:shd w:val="clear" w:color="auto" w:fill="FFFFFF"/>
            <w:noWrap w:val="0"/>
            <w:tcMar>
              <w:top w:w="-1" w:type="dxa"/>
              <w:left w:w="-1" w:type="dxa"/>
              <w:bottom w:w="-1" w:type="dxa"/>
              <w:right w:w="-1" w:type="dxa"/>
            </w:tcMar>
            <w:vAlign w:val="top"/>
          </w:tcPr>
          <w:p w14:paraId="39ABBAA1">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7.8</w:t>
            </w:r>
          </w:p>
        </w:tc>
        <w:tc>
          <w:tcPr>
            <w:tcW w:w="1349" w:type="dxa"/>
            <w:tcBorders>
              <w:top w:val="nil"/>
              <w:left w:val="nil"/>
              <w:bottom w:val="nil"/>
              <w:right w:val="nil"/>
            </w:tcBorders>
            <w:shd w:val="clear" w:color="auto" w:fill="FFFFFF"/>
            <w:noWrap w:val="0"/>
            <w:tcMar>
              <w:top w:w="-1" w:type="dxa"/>
              <w:left w:w="-1" w:type="dxa"/>
              <w:bottom w:w="-1" w:type="dxa"/>
              <w:right w:w="-1" w:type="dxa"/>
            </w:tcMar>
            <w:vAlign w:val="top"/>
          </w:tcPr>
          <w:p w14:paraId="3FC56C47">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1.5</w:t>
            </w:r>
          </w:p>
        </w:tc>
        <w:tc>
          <w:tcPr>
            <w:tcW w:w="988" w:type="dxa"/>
            <w:tcBorders>
              <w:top w:val="nil"/>
              <w:left w:val="nil"/>
              <w:bottom w:val="nil"/>
              <w:right w:val="nil"/>
            </w:tcBorders>
            <w:shd w:val="clear" w:color="auto" w:fill="FFFFFF"/>
            <w:noWrap w:val="0"/>
            <w:tcMar>
              <w:top w:w="-1" w:type="dxa"/>
              <w:left w:w="-1" w:type="dxa"/>
              <w:bottom w:w="-1" w:type="dxa"/>
              <w:right w:w="-1" w:type="dxa"/>
            </w:tcMar>
            <w:vAlign w:val="top"/>
          </w:tcPr>
          <w:p w14:paraId="1A1D44F8">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mmHg</w:t>
            </w:r>
          </w:p>
        </w:tc>
      </w:tr>
      <w:tr w14:paraId="2B129D9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821" w:type="dxa"/>
            <w:tcBorders>
              <w:top w:val="nil"/>
              <w:left w:val="nil"/>
              <w:bottom w:val="single" w:color="000000" w:sz="12" w:space="0"/>
              <w:right w:val="nil"/>
            </w:tcBorders>
            <w:shd w:val="clear" w:color="auto" w:fill="FFFFFF"/>
            <w:noWrap w:val="0"/>
            <w:tcMar>
              <w:top w:w="-1" w:type="dxa"/>
              <w:left w:w="-1" w:type="dxa"/>
              <w:bottom w:w="-1" w:type="dxa"/>
              <w:right w:w="-1" w:type="dxa"/>
            </w:tcMar>
            <w:vAlign w:val="top"/>
          </w:tcPr>
          <w:p w14:paraId="2286EDC1">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SpO₂</w:t>
            </w:r>
          </w:p>
        </w:tc>
        <w:tc>
          <w:tcPr>
            <w:tcW w:w="1372" w:type="dxa"/>
            <w:tcBorders>
              <w:top w:val="nil"/>
              <w:left w:val="nil"/>
              <w:bottom w:val="single" w:color="000000" w:sz="12" w:space="0"/>
              <w:right w:val="nil"/>
            </w:tcBorders>
            <w:shd w:val="clear" w:color="auto" w:fill="FFFFFF"/>
            <w:noWrap w:val="0"/>
            <w:tcMar>
              <w:top w:w="-1" w:type="dxa"/>
              <w:left w:w="-1" w:type="dxa"/>
              <w:bottom w:w="-1" w:type="dxa"/>
              <w:right w:w="-1" w:type="dxa"/>
            </w:tcMar>
            <w:vAlign w:val="top"/>
          </w:tcPr>
          <w:p w14:paraId="47D0E852">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98.0</w:t>
            </w:r>
          </w:p>
        </w:tc>
        <w:tc>
          <w:tcPr>
            <w:tcW w:w="1366" w:type="dxa"/>
            <w:tcBorders>
              <w:top w:val="nil"/>
              <w:left w:val="nil"/>
              <w:bottom w:val="single" w:color="000000" w:sz="12" w:space="0"/>
              <w:right w:val="nil"/>
            </w:tcBorders>
            <w:shd w:val="clear" w:color="auto" w:fill="FFFFFF"/>
            <w:noWrap w:val="0"/>
            <w:tcMar>
              <w:top w:w="-1" w:type="dxa"/>
              <w:left w:w="-1" w:type="dxa"/>
              <w:bottom w:w="-1" w:type="dxa"/>
              <w:right w:w="-1" w:type="dxa"/>
            </w:tcMar>
            <w:vAlign w:val="top"/>
          </w:tcPr>
          <w:p w14:paraId="70F4C6E3">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0.20</w:t>
            </w:r>
          </w:p>
        </w:tc>
        <w:tc>
          <w:tcPr>
            <w:tcW w:w="1358" w:type="dxa"/>
            <w:tcBorders>
              <w:top w:val="nil"/>
              <w:left w:val="nil"/>
              <w:bottom w:val="single" w:color="000000" w:sz="12" w:space="0"/>
              <w:right w:val="nil"/>
            </w:tcBorders>
            <w:shd w:val="clear" w:color="auto" w:fill="FFFFFF"/>
            <w:noWrap w:val="0"/>
            <w:tcMar>
              <w:top w:w="-1" w:type="dxa"/>
              <w:left w:w="-1" w:type="dxa"/>
              <w:bottom w:w="-1" w:type="dxa"/>
              <w:right w:w="-1" w:type="dxa"/>
            </w:tcMar>
            <w:vAlign w:val="top"/>
          </w:tcPr>
          <w:p w14:paraId="31A3AB5E">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0.8</w:t>
            </w:r>
          </w:p>
        </w:tc>
        <w:tc>
          <w:tcPr>
            <w:tcW w:w="1368" w:type="dxa"/>
            <w:tcBorders>
              <w:top w:val="nil"/>
              <w:left w:val="nil"/>
              <w:bottom w:val="single" w:color="000000" w:sz="12" w:space="0"/>
              <w:right w:val="nil"/>
            </w:tcBorders>
            <w:shd w:val="clear" w:color="auto" w:fill="FFFFFF"/>
            <w:noWrap w:val="0"/>
            <w:tcMar>
              <w:top w:w="-1" w:type="dxa"/>
              <w:left w:w="-1" w:type="dxa"/>
              <w:bottom w:w="-1" w:type="dxa"/>
              <w:right w:w="-1" w:type="dxa"/>
            </w:tcMar>
            <w:vAlign w:val="top"/>
          </w:tcPr>
          <w:p w14:paraId="4D4B4EE7">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1.3</w:t>
            </w:r>
          </w:p>
        </w:tc>
        <w:tc>
          <w:tcPr>
            <w:tcW w:w="1349" w:type="dxa"/>
            <w:tcBorders>
              <w:top w:val="nil"/>
              <w:left w:val="nil"/>
              <w:bottom w:val="single" w:color="000000" w:sz="12" w:space="0"/>
              <w:right w:val="nil"/>
            </w:tcBorders>
            <w:shd w:val="clear" w:color="auto" w:fill="FFFFFF"/>
            <w:noWrap w:val="0"/>
            <w:tcMar>
              <w:top w:w="-1" w:type="dxa"/>
              <w:left w:w="-1" w:type="dxa"/>
              <w:bottom w:w="-1" w:type="dxa"/>
              <w:right w:w="-1" w:type="dxa"/>
            </w:tcMar>
            <w:vAlign w:val="top"/>
          </w:tcPr>
          <w:p w14:paraId="58770B5B">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0.3</w:t>
            </w:r>
          </w:p>
        </w:tc>
        <w:tc>
          <w:tcPr>
            <w:tcW w:w="988" w:type="dxa"/>
            <w:tcBorders>
              <w:top w:val="nil"/>
              <w:left w:val="nil"/>
              <w:bottom w:val="single" w:color="000000" w:sz="12" w:space="0"/>
              <w:right w:val="nil"/>
            </w:tcBorders>
            <w:shd w:val="clear" w:color="auto" w:fill="FFFFFF"/>
            <w:noWrap w:val="0"/>
            <w:tcMar>
              <w:top w:w="-1" w:type="dxa"/>
              <w:left w:w="-1" w:type="dxa"/>
              <w:bottom w:w="-1" w:type="dxa"/>
              <w:right w:w="-1" w:type="dxa"/>
            </w:tcMar>
            <w:vAlign w:val="top"/>
          </w:tcPr>
          <w:p w14:paraId="63E889E2">
            <w:pPr>
              <w:keepNext w:val="0"/>
              <w:keepLines w:val="0"/>
              <w:pageBreakBefore w:val="0"/>
              <w:widowControl/>
              <w:kinsoku/>
              <w:wordWrap/>
              <w:overflowPunct/>
              <w:topLinePunct w:val="0"/>
              <w:autoSpaceDE/>
              <w:autoSpaceDN/>
              <w:bidi w:val="0"/>
              <w:adjustRightInd/>
              <w:snapToGrid/>
              <w:spacing w:before="40" w:after="40" w:line="240" w:lineRule="auto"/>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w:t>
            </w:r>
          </w:p>
        </w:tc>
      </w:tr>
    </w:tbl>
    <w:p w14:paraId="531DAC3D">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hAnsi="Cambria Math" w:eastAsia="var(--ds-font-family-code)"/>
          <w:i w:val="0"/>
        </w:rPr>
      </w:pPr>
      <w:r>
        <w:rPr>
          <w:rFonts w:hint="default" w:ascii="Times New Roman" w:hAnsi="Times New Roman" w:cs="Times New Roman"/>
          <w:i w:val="0"/>
          <w:iCs w:val="0"/>
          <w:sz w:val="22"/>
          <w:szCs w:val="22"/>
        </w:rPr>
        <w:t xml:space="preserve">*DBP baseline mean is modelled as </w:t>
      </w:r>
      <m:oMath>
        <m:sSub>
          <m:sSubPr>
            <m:ctrlPr>
              <w:rPr>
                <w:rFonts w:hint="default" w:ascii="Cambria Math" w:hAnsi="Cambria Math" w:eastAsia="var(--ds-font-family-code)"/>
              </w:rPr>
            </m:ctrlPr>
          </m:sSubPr>
          <m:e>
            <m:r>
              <m:rPr/>
              <w:rPr>
                <w:rFonts w:hint="default" w:ascii="Cambria Math" w:hAnsi="Cambria Math" w:eastAsia="var(--ds-font-family-code)"/>
              </w:rPr>
              <m:t>μ</m:t>
            </m:r>
            <m:ctrlPr>
              <w:rPr>
                <w:rFonts w:ascii="Cambria Math" w:hAnsi="Cambria Math" w:eastAsia="var(--ds-font-family-code)"/>
              </w:rPr>
            </m:ctrlPr>
          </m:e>
          <m:sub>
            <m:r>
              <m:rPr>
                <m:sty m:val="p"/>
              </m:rPr>
              <w:rPr>
                <w:rFonts w:hint="default" w:ascii="Cambria Math" w:hAnsi="Cambria Math" w:eastAsia="var(--ds-font-family-code)"/>
              </w:rPr>
              <m:t>SBP</m:t>
            </m:r>
            <m:ctrlPr>
              <w:rPr>
                <w:rFonts w:ascii="Cambria Math" w:hAnsi="Cambria Math" w:eastAsia="var(--ds-font-family-code)"/>
              </w:rPr>
            </m:ctrlPr>
          </m:sub>
        </m:sSub>
      </m:oMath>
      <w:r>
        <w:rPr>
          <w:rFonts w:hint="default" w:ascii="Times New Roman" w:hAnsi="Times New Roman" w:cs="Times New Roman"/>
          <w:i w:val="0"/>
          <w:iCs w:val="0"/>
          <w:sz w:val="22"/>
          <w:szCs w:val="22"/>
        </w:rPr>
        <w:t xml:space="preserve"> − 45 mmHg (target pulse pressure offset </w:t>
      </w:r>
      <m:oMath>
        <m:sSub>
          <m:sSubPr>
            <m:ctrlPr>
              <w:rPr>
                <w:rFonts w:hint="default" w:ascii="Cambria Math" w:hAnsi="Cambria Math" w:eastAsia="var(--ds-font-family-code)"/>
              </w:rPr>
            </m:ctrlPr>
          </m:sSubPr>
          <m:e>
            <m:r>
              <m:rPr/>
              <w:rPr>
                <w:rFonts w:hint="default" w:ascii="Cambria Math" w:hAnsi="Cambria Math" w:eastAsia="var(--ds-font-family-code)"/>
              </w:rPr>
              <m:t>δ</m:t>
            </m:r>
            <m:ctrlPr>
              <w:rPr>
                <w:rFonts w:ascii="Cambria Math" w:hAnsi="Cambria Math" w:eastAsia="var(--ds-font-family-code)"/>
              </w:rPr>
            </m:ctrlPr>
          </m:e>
          <m:sub>
            <m:r>
              <m:rPr>
                <m:sty m:val="p"/>
              </m:rPr>
              <w:rPr>
                <w:rFonts w:hint="default" w:ascii="Cambria Math" w:hAnsi="Cambria Math" w:eastAsia="var(--ds-font-family-code)"/>
              </w:rPr>
              <m:t>PP</m:t>
            </m:r>
            <m:ctrlPr>
              <w:rPr>
                <w:rFonts w:ascii="Cambria Math" w:hAnsi="Cambria Math" w:eastAsia="var(--ds-font-family-code)"/>
              </w:rPr>
            </m:ctrlPr>
          </m:sub>
        </m:sSub>
      </m:oMath>
      <w:r>
        <w:rPr>
          <w:rFonts w:hint="default" w:ascii="Times New Roman" w:hAnsi="Times New Roman" w:cs="Times New Roman"/>
          <w:i w:val="0"/>
          <w:iCs w:val="0"/>
          <w:sz w:val="22"/>
          <w:szCs w:val="22"/>
        </w:rPr>
        <w:t xml:space="preserve"> = 45 mmHg) with additional independent noise </w:t>
      </w:r>
      <m:oMath>
        <m:sSub>
          <m:sSubPr>
            <m:ctrlPr>
              <w:rPr>
                <w:rFonts w:hint="default" w:ascii="Cambria Math" w:hAnsi="Cambria Math" w:eastAsia="var(--ds-font-family-code)"/>
              </w:rPr>
            </m:ctrlPr>
          </m:sSubPr>
          <m:e>
            <m:r>
              <m:rPr/>
              <w:rPr>
                <w:rFonts w:hint="default" w:ascii="Cambria Math" w:hAnsi="Cambria Math" w:eastAsia="var(--ds-font-family-code)"/>
              </w:rPr>
              <m:t>σ</m:t>
            </m:r>
            <m:ctrlPr>
              <w:rPr>
                <w:rFonts w:ascii="Cambria Math" w:hAnsi="Cambria Math" w:eastAsia="var(--ds-font-family-code)"/>
              </w:rPr>
            </m:ctrlPr>
          </m:e>
          <m:sub>
            <m:r>
              <m:rPr/>
              <w:rPr>
                <w:rFonts w:hint="default" w:ascii="Cambria Math" w:hAnsi="Cambria Math" w:eastAsia="var(--ds-font-family-code)"/>
              </w:rPr>
              <m:t>η</m:t>
            </m:r>
            <m:ctrlPr>
              <w:rPr>
                <w:rFonts w:ascii="Cambria Math" w:hAnsi="Cambria Math" w:eastAsia="var(--ds-font-family-code)"/>
              </w:rPr>
            </m:ctrlPr>
          </m:sub>
        </m:sSub>
      </m:oMath>
      <w:r>
        <w:rPr>
          <w:rFonts w:hint="default" w:ascii="Times New Roman" w:hAnsi="Times New Roman" w:cs="Times New Roman"/>
          <w:i w:val="0"/>
          <w:iCs w:val="0"/>
          <w:sz w:val="22"/>
          <w:szCs w:val="22"/>
        </w:rPr>
        <w:t xml:space="preserve"> = 2 mmHg. All parameters are fixed across episodes; between-episode variability arises solely from the stochastic OU trajectories. The stationary SD for HR reflects the theoretical formula </w:t>
      </w:r>
      <m:oMath>
        <m:r>
          <m:rPr/>
          <w:rPr>
            <w:rFonts w:hint="default" w:ascii="Cambria Math" w:hAnsi="Cambria Math" w:eastAsia="var(--ds-font-family-code)"/>
          </w:rPr>
          <m:t>σ/</m:t>
        </m:r>
        <m:rad>
          <m:radPr>
            <m:degHide m:val="1"/>
            <m:ctrlPr>
              <w:rPr>
                <w:rFonts w:hint="default" w:ascii="Cambria Math" w:hAnsi="Cambria Math" w:eastAsia="var(--ds-font-family-code)"/>
              </w:rPr>
            </m:ctrlPr>
          </m:radPr>
          <m:deg>
            <m:ctrlPr>
              <w:rPr>
                <w:rFonts w:ascii="Cambria Math" w:hAnsi="Cambria Math" w:eastAsia="var(--ds-font-family-code)"/>
              </w:rPr>
            </m:ctrlPr>
          </m:deg>
          <m:e>
            <m:r>
              <m:rPr/>
              <w:rPr>
                <w:rFonts w:hint="default" w:ascii="Cambria Math" w:hAnsi="Cambria Math" w:eastAsia="var(--ds-font-family-code)"/>
              </w:rPr>
              <m:t>2θ</m:t>
            </m:r>
            <m:ctrlPr>
              <w:rPr>
                <w:rFonts w:ascii="Cambria Math" w:hAnsi="Cambria Math" w:eastAsia="var(--ds-font-family-code)"/>
              </w:rPr>
            </m:ctrlPr>
          </m:e>
        </m:rad>
        <m:r>
          <m:rPr/>
          <w:rPr>
            <w:rFonts w:hint="default" w:ascii="Cambria Math" w:hAnsi="Cambria Math" w:eastAsia="var(--ds-font-family-code)"/>
          </w:rPr>
          <m:t>=3.5/</m:t>
        </m:r>
        <m:rad>
          <m:radPr>
            <m:degHide m:val="1"/>
            <m:ctrlPr>
              <w:rPr>
                <w:rFonts w:hint="default" w:ascii="Cambria Math" w:hAnsi="Cambria Math" w:eastAsia="var(--ds-font-family-code)"/>
              </w:rPr>
            </m:ctrlPr>
          </m:radPr>
          <m:deg>
            <m:ctrlPr>
              <w:rPr>
                <w:rFonts w:ascii="Cambria Math" w:hAnsi="Cambria Math" w:eastAsia="var(--ds-font-family-code)"/>
              </w:rPr>
            </m:ctrlPr>
          </m:deg>
          <m:e>
            <m:r>
              <m:rPr/>
              <w:rPr>
                <w:rFonts w:hint="default" w:ascii="Cambria Math" w:hAnsi="Cambria Math" w:eastAsia="var(--ds-font-family-code)"/>
              </w:rPr>
              <m:t>0.30</m:t>
            </m:r>
            <m:ctrlPr>
              <w:rPr>
                <w:rFonts w:ascii="Cambria Math" w:hAnsi="Cambria Math" w:eastAsia="var(--ds-font-family-code)"/>
              </w:rPr>
            </m:ctrlPr>
          </m:e>
        </m:rad>
        <m:r>
          <m:rPr/>
          <w:rPr>
            <w:rFonts w:hint="default" w:ascii="Cambria Math" w:hAnsi="Cambria Math" w:eastAsia="var(--ds-font-family-code)"/>
          </w:rPr>
          <m:t>≈6.4</m:t>
        </m:r>
      </m:oMath>
    </w:p>
    <w:p w14:paraId="68039D59">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 xml:space="preserve">Table S1.2. </w:t>
      </w:r>
      <w:r>
        <w:rPr>
          <w:rFonts w:hint="default" w:ascii="Times New Roman" w:hAnsi="Times New Roman" w:cs="Times New Roman"/>
          <w:i w:val="0"/>
          <w:iCs w:val="0"/>
          <w:sz w:val="22"/>
          <w:szCs w:val="22"/>
        </w:rPr>
        <w:t>Additional drift parameters for TIC-positive trajectories (</w:t>
      </w:r>
      <m:oMath>
        <m:sSub>
          <m:sSubPr>
            <m:ctrlPr>
              <w:rPr>
                <w:rFonts w:hint="default" w:ascii="Cambria Math" w:hAnsi="Cambria Math" w:eastAsia="var(--ds-font-family-code)"/>
              </w:rPr>
            </m:ctrlPr>
          </m:sSubPr>
          <m:e>
            <m:r>
              <m:rPr/>
              <w:rPr>
                <w:rFonts w:hint="default" w:ascii="Cambria Math" w:hAnsi="Cambria Math" w:eastAsia="var(--ds-font-family-code)"/>
              </w:rPr>
              <m:t>α</m:t>
            </m:r>
            <m:ctrlPr>
              <w:rPr>
                <w:rFonts w:ascii="Cambria Math" w:hAnsi="Cambria Math" w:eastAsia="var(--ds-font-family-code)"/>
              </w:rPr>
            </m:ctrlPr>
          </m:e>
          <m:sub>
            <m:r>
              <m:rPr/>
              <w:rPr>
                <w:rFonts w:hint="default" w:ascii="Cambria Math" w:hAnsi="Cambria Math" w:eastAsia="var(--ds-font-family-code)"/>
              </w:rPr>
              <m:t>i</m:t>
            </m:r>
            <m:ctrlPr>
              <w:rPr>
                <w:rFonts w:ascii="Cambria Math" w:hAnsi="Cambria Math" w:eastAsia="var(--ds-font-family-code)"/>
              </w:rPr>
            </m:ctrlPr>
          </m:sub>
        </m:sSub>
      </m:oMath>
      <w:r>
        <w:rPr>
          <w:rFonts w:hint="default" w:ascii="Times New Roman" w:hAnsi="Times New Roman" w:cs="Times New Roman"/>
          <w:i w:val="0"/>
          <w:iCs w:val="0"/>
          <w:sz w:val="22"/>
          <w:szCs w:val="22"/>
        </w:rPr>
        <w:t xml:space="preserve">: linear drift rate applied after </w:t>
      </w:r>
      <m:oMath>
        <m:sSub>
          <m:sSubPr>
            <m:ctrlPr>
              <w:rPr>
                <w:rFonts w:hint="default" w:ascii="Cambria Math" w:hAnsi="Cambria Math" w:eastAsia="var(--ds-font-family-code)"/>
              </w:rPr>
            </m:ctrlPr>
          </m:sSubPr>
          <m:e>
            <m:r>
              <m:rPr/>
              <w:rPr>
                <w:rFonts w:hint="default" w:ascii="Cambria Math" w:hAnsi="Cambria Math" w:eastAsia="var(--ds-font-family-code)"/>
              </w:rPr>
              <m:t>T</m:t>
            </m:r>
            <m:ctrlPr>
              <w:rPr>
                <w:rFonts w:ascii="Cambria Math" w:hAnsi="Cambria Math" w:eastAsia="var(--ds-font-family-code)"/>
              </w:rPr>
            </m:ctrlPr>
          </m:e>
          <m:sub>
            <m:r>
              <m:rPr>
                <m:sty m:val="p"/>
              </m:rPr>
              <w:rPr>
                <w:rFonts w:hint="default" w:ascii="Cambria Math" w:hAnsi="Cambria Math" w:eastAsia="var(--ds-font-family-code)"/>
              </w:rPr>
              <m:t>onset</m:t>
            </m:r>
            <m:ctrlPr>
              <w:rPr>
                <w:rFonts w:ascii="Cambria Math" w:hAnsi="Cambria Math" w:eastAsia="var(--ds-font-family-code)"/>
              </w:rPr>
            </m:ctrlPr>
          </m:sub>
        </m:sSub>
      </m:oMath>
      <w:r>
        <w:rPr>
          <w:rFonts w:hint="default" w:ascii="Times New Roman" w:hAnsi="Times New Roman" w:cs="Times New Roman"/>
          <w:i w:val="0"/>
          <w:iCs w:val="0"/>
          <w:sz w:val="22"/>
          <w:szCs w:val="22"/>
        </w:rPr>
        <w:t xml:space="preserve"> = 300 s).</w:t>
      </w:r>
    </w:p>
    <w:tbl>
      <w:tblPr>
        <w:tblStyle w:val="34"/>
        <w:tblW w:w="9622"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296"/>
        <w:gridCol w:w="1599"/>
        <w:gridCol w:w="1951"/>
        <w:gridCol w:w="4776"/>
      </w:tblGrid>
      <w:tr w14:paraId="7DB7BB3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296" w:type="dxa"/>
            <w:tcBorders>
              <w:top w:val="single" w:color="000000" w:sz="12" w:space="0"/>
              <w:left w:val="nil"/>
              <w:bottom w:val="single" w:color="000000" w:sz="4" w:space="0"/>
              <w:right w:val="nil"/>
              <w:tl2br w:val="nil"/>
            </w:tcBorders>
            <w:shd w:val="clear" w:color="auto" w:fill="FFFFFF"/>
            <w:noWrap w:val="0"/>
            <w:tcMar>
              <w:top w:w="-1" w:type="dxa"/>
              <w:left w:w="-1" w:type="dxa"/>
              <w:bottom w:w="-1" w:type="dxa"/>
              <w:right w:w="-1" w:type="dxa"/>
            </w:tcMar>
            <w:vAlign w:val="center"/>
          </w:tcPr>
          <w:p w14:paraId="1D1CF6EB">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i w:val="0"/>
                <w:iCs w:val="0"/>
                <w:color w:val="000000"/>
                <w:sz w:val="22"/>
                <w:szCs w:val="22"/>
              </w:rPr>
            </w:pPr>
            <w:r>
              <w:rPr>
                <w:rFonts w:hint="default" w:ascii="Times New Roman" w:hAnsi="Times New Roman" w:cs="Times New Roman"/>
                <w:b/>
                <w:i w:val="0"/>
                <w:iCs w:val="0"/>
                <w:color w:val="000000"/>
                <w:sz w:val="22"/>
                <w:szCs w:val="22"/>
              </w:rPr>
              <w:t>Vital sign</w:t>
            </w:r>
          </w:p>
        </w:tc>
        <w:tc>
          <w:tcPr>
            <w:tcW w:w="1599"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4C79BFF2">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i w:val="0"/>
                <w:iCs w:val="0"/>
                <w:color w:val="000000"/>
                <w:sz w:val="22"/>
                <w:szCs w:val="22"/>
              </w:rPr>
            </w:pPr>
            <w:r>
              <w:rPr>
                <w:rFonts w:hint="default" w:ascii="Times New Roman" w:hAnsi="Times New Roman" w:cs="Times New Roman"/>
                <w:b/>
                <w:i w:val="0"/>
                <w:iCs w:val="0"/>
                <w:color w:val="000000"/>
                <w:sz w:val="22"/>
                <w:szCs w:val="22"/>
              </w:rPr>
              <w:t xml:space="preserve">Drift rate </w:t>
            </w:r>
            <m:oMath>
              <m:sSub>
                <m:sSubPr>
                  <m:ctrlPr>
                    <w:rPr>
                      <w:rFonts w:hint="default" w:ascii="Cambria Math" w:hAnsi="Cambria Math" w:eastAsia="var(--ds-font-family-code)"/>
                      <w:b/>
                      <w:bCs/>
                    </w:rPr>
                  </m:ctrlPr>
                </m:sSubPr>
                <m:e>
                  <m:r>
                    <m:rPr>
                      <m:sty m:val="bi"/>
                    </m:rPr>
                    <w:rPr>
                      <w:rFonts w:hint="default" w:ascii="Cambria Math" w:hAnsi="Cambria Math" w:eastAsia="var(--ds-font-family-code)"/>
                    </w:rPr>
                    <m:t>α</m:t>
                  </m:r>
                  <m:ctrlPr>
                    <w:rPr>
                      <w:rFonts w:ascii="Cambria Math" w:hAnsi="Cambria Math" w:eastAsia="var(--ds-font-family-code)"/>
                      <w:b/>
                      <w:bCs/>
                    </w:rPr>
                  </m:ctrlPr>
                </m:e>
                <m:sub>
                  <m:r>
                    <m:rPr>
                      <m:sty m:val="bi"/>
                    </m:rPr>
                    <w:rPr>
                      <w:rFonts w:hint="default" w:ascii="Cambria Math" w:hAnsi="Cambria Math" w:eastAsia="var(--ds-font-family-code)"/>
                    </w:rPr>
                    <m:t>i</m:t>
                  </m:r>
                  <m:ctrlPr>
                    <w:rPr>
                      <w:rFonts w:ascii="Cambria Math" w:hAnsi="Cambria Math" w:eastAsia="var(--ds-font-family-code)"/>
                      <w:b/>
                      <w:bCs/>
                    </w:rPr>
                  </m:ctrlPr>
                </m:sub>
              </m:sSub>
            </m:oMath>
          </w:p>
        </w:tc>
        <w:tc>
          <w:tcPr>
            <w:tcW w:w="1951"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1A5293FB">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i w:val="0"/>
                <w:iCs w:val="0"/>
                <w:color w:val="000000"/>
                <w:sz w:val="22"/>
                <w:szCs w:val="22"/>
              </w:rPr>
            </w:pPr>
            <w:r>
              <w:rPr>
                <w:rFonts w:hint="default" w:ascii="Times New Roman" w:hAnsi="Times New Roman" w:cs="Times New Roman"/>
                <w:b/>
                <w:i w:val="0"/>
                <w:iCs w:val="0"/>
                <w:color w:val="000000"/>
                <w:sz w:val="22"/>
                <w:szCs w:val="22"/>
              </w:rPr>
              <w:t>Direction</w:t>
            </w:r>
          </w:p>
        </w:tc>
        <w:tc>
          <w:tcPr>
            <w:tcW w:w="4776"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1808E48B">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i w:val="0"/>
                <w:iCs w:val="0"/>
                <w:color w:val="000000"/>
                <w:sz w:val="22"/>
                <w:szCs w:val="22"/>
              </w:rPr>
            </w:pPr>
            <w:r>
              <w:rPr>
                <w:rFonts w:hint="default" w:ascii="Times New Roman" w:hAnsi="Times New Roman" w:cs="Times New Roman"/>
                <w:b/>
                <w:i w:val="0"/>
                <w:iCs w:val="0"/>
                <w:color w:val="000000"/>
                <w:sz w:val="22"/>
                <w:szCs w:val="22"/>
              </w:rPr>
              <w:t>Physiological rationale</w:t>
            </w:r>
          </w:p>
        </w:tc>
      </w:tr>
      <w:tr w14:paraId="3B4375E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96"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609B08D1">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HR</w:t>
            </w:r>
          </w:p>
        </w:tc>
        <w:tc>
          <w:tcPr>
            <w:tcW w:w="1599"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21BD9EF0">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+0.50 bpm/min</w:t>
            </w:r>
          </w:p>
        </w:tc>
        <w:tc>
          <w:tcPr>
            <w:tcW w:w="1951"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6CB622B5">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Increase</w:t>
            </w:r>
          </w:p>
        </w:tc>
        <w:tc>
          <w:tcPr>
            <w:tcW w:w="4776"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1C4766CD">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Compensatory tachycardia during haemorrhagic shock</w:t>
            </w:r>
          </w:p>
        </w:tc>
      </w:tr>
      <w:tr w14:paraId="23DDC6D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96" w:type="dxa"/>
            <w:tcBorders>
              <w:top w:val="nil"/>
              <w:left w:val="nil"/>
              <w:bottom w:val="nil"/>
              <w:right w:val="nil"/>
            </w:tcBorders>
            <w:shd w:val="clear" w:color="auto" w:fill="FFFFFF"/>
            <w:noWrap w:val="0"/>
            <w:tcMar>
              <w:top w:w="-1" w:type="dxa"/>
              <w:left w:w="-1" w:type="dxa"/>
              <w:bottom w:w="-1" w:type="dxa"/>
              <w:right w:w="-1" w:type="dxa"/>
            </w:tcMar>
            <w:vAlign w:val="center"/>
          </w:tcPr>
          <w:p w14:paraId="254267F1">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SBP</w:t>
            </w:r>
          </w:p>
        </w:tc>
        <w:tc>
          <w:tcPr>
            <w:tcW w:w="1599" w:type="dxa"/>
            <w:tcBorders>
              <w:top w:val="nil"/>
              <w:left w:val="nil"/>
              <w:bottom w:val="nil"/>
              <w:right w:val="nil"/>
            </w:tcBorders>
            <w:shd w:val="clear" w:color="auto" w:fill="FFFFFF"/>
            <w:noWrap w:val="0"/>
            <w:tcMar>
              <w:top w:w="-1" w:type="dxa"/>
              <w:left w:w="-1" w:type="dxa"/>
              <w:bottom w:w="-1" w:type="dxa"/>
              <w:right w:w="-1" w:type="dxa"/>
            </w:tcMar>
            <w:vAlign w:val="center"/>
          </w:tcPr>
          <w:p w14:paraId="5B593D7E">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−0.50 mmHg/min</w:t>
            </w:r>
          </w:p>
        </w:tc>
        <w:tc>
          <w:tcPr>
            <w:tcW w:w="1951" w:type="dxa"/>
            <w:tcBorders>
              <w:top w:val="nil"/>
              <w:left w:val="nil"/>
              <w:bottom w:val="nil"/>
              <w:right w:val="nil"/>
            </w:tcBorders>
            <w:shd w:val="clear" w:color="auto" w:fill="FFFFFF"/>
            <w:noWrap w:val="0"/>
            <w:tcMar>
              <w:top w:w="-1" w:type="dxa"/>
              <w:left w:w="-1" w:type="dxa"/>
              <w:bottom w:w="-1" w:type="dxa"/>
              <w:right w:w="-1" w:type="dxa"/>
            </w:tcMar>
            <w:vAlign w:val="center"/>
          </w:tcPr>
          <w:p w14:paraId="362D0E34">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Decrease</w:t>
            </w:r>
          </w:p>
        </w:tc>
        <w:tc>
          <w:tcPr>
            <w:tcW w:w="4776" w:type="dxa"/>
            <w:tcBorders>
              <w:top w:val="nil"/>
              <w:left w:val="nil"/>
              <w:bottom w:val="nil"/>
              <w:right w:val="nil"/>
            </w:tcBorders>
            <w:shd w:val="clear" w:color="auto" w:fill="FFFFFF"/>
            <w:noWrap w:val="0"/>
            <w:tcMar>
              <w:top w:w="-1" w:type="dxa"/>
              <w:left w:w="-1" w:type="dxa"/>
              <w:bottom w:w="-1" w:type="dxa"/>
              <w:right w:w="-1" w:type="dxa"/>
            </w:tcMar>
            <w:vAlign w:val="center"/>
          </w:tcPr>
          <w:p w14:paraId="0013FA0E">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Progressive fall in systolic pressure with volume loss</w:t>
            </w:r>
          </w:p>
        </w:tc>
      </w:tr>
      <w:tr w14:paraId="14DD624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96" w:type="dxa"/>
            <w:tcBorders>
              <w:top w:val="nil"/>
              <w:left w:val="nil"/>
              <w:bottom w:val="nil"/>
              <w:right w:val="nil"/>
            </w:tcBorders>
            <w:shd w:val="clear" w:color="auto" w:fill="FFFFFF"/>
            <w:noWrap w:val="0"/>
            <w:tcMar>
              <w:top w:w="-1" w:type="dxa"/>
              <w:left w:w="-1" w:type="dxa"/>
              <w:bottom w:w="-1" w:type="dxa"/>
              <w:right w:w="-1" w:type="dxa"/>
            </w:tcMar>
            <w:vAlign w:val="center"/>
          </w:tcPr>
          <w:p w14:paraId="5DEACF14">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DBP</w:t>
            </w:r>
          </w:p>
        </w:tc>
        <w:tc>
          <w:tcPr>
            <w:tcW w:w="1599" w:type="dxa"/>
            <w:tcBorders>
              <w:top w:val="nil"/>
              <w:left w:val="nil"/>
              <w:bottom w:val="nil"/>
              <w:right w:val="nil"/>
            </w:tcBorders>
            <w:shd w:val="clear" w:color="auto" w:fill="FFFFFF"/>
            <w:noWrap w:val="0"/>
            <w:tcMar>
              <w:top w:w="-1" w:type="dxa"/>
              <w:left w:w="-1" w:type="dxa"/>
              <w:bottom w:w="-1" w:type="dxa"/>
              <w:right w:w="-1" w:type="dxa"/>
            </w:tcMar>
            <w:vAlign w:val="center"/>
          </w:tcPr>
          <w:p w14:paraId="3B856CF9">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Derived from SBP</w:t>
            </w:r>
            <w:r>
              <w:rPr>
                <w:rFonts w:hint="default" w:ascii="Times New Roman" w:hAnsi="Times New Roman" w:cs="Times New Roman"/>
                <w:b w:val="0"/>
                <w:i w:val="0"/>
                <w:iCs w:val="0"/>
                <w:color w:val="000000"/>
                <w:sz w:val="22"/>
                <w:szCs w:val="22"/>
              </w:rPr>
              <w:br w:type="textWrapping"/>
            </w:r>
            <w:r>
              <w:rPr>
                <w:rFonts w:hint="default" w:ascii="Times New Roman" w:hAnsi="Times New Roman" w:cs="Times New Roman"/>
                <w:b w:val="0"/>
                <w:i w:val="0"/>
                <w:iCs w:val="0"/>
                <w:color w:val="000000"/>
                <w:sz w:val="22"/>
                <w:szCs w:val="22"/>
              </w:rPr>
              <w:t xml:space="preserve">via  </w:t>
            </w:r>
            <m:oMath>
              <m:sSub>
                <m:sSubPr>
                  <m:ctrlPr>
                    <w:rPr>
                      <w:rFonts w:hint="default" w:ascii="Cambria Math" w:hAnsi="Cambria Math" w:eastAsia="var(--ds-font-family-code)"/>
                    </w:rPr>
                  </m:ctrlPr>
                </m:sSubPr>
                <m:e>
                  <m:r>
                    <m:rPr>
                      <m:sty m:val="p"/>
                    </m:rPr>
                    <w:rPr>
                      <w:rFonts w:hint="default" w:ascii="Cambria Math" w:hAnsi="Cambria Math" w:eastAsia="var(--ds-font-family-code)"/>
                    </w:rPr>
                    <m:t>PP</m:t>
                  </m:r>
                  <m:ctrlPr>
                    <w:rPr>
                      <w:rFonts w:ascii="Cambria Math" w:hAnsi="Cambria Math" w:eastAsia="var(--ds-font-family-code)"/>
                    </w:rPr>
                  </m:ctrlPr>
                </m:e>
                <m:sub>
                  <m:r>
                    <m:rPr>
                      <m:sty m:val="p"/>
                    </m:rPr>
                    <w:rPr>
                      <w:rFonts w:hint="default" w:ascii="Cambria Math" w:hAnsi="Cambria Math" w:eastAsia="var(--ds-font-family-code)"/>
                    </w:rPr>
                    <m:t>target</m:t>
                  </m:r>
                  <m:ctrlPr>
                    <w:rPr>
                      <w:rFonts w:ascii="Cambria Math" w:hAnsi="Cambria Math" w:eastAsia="var(--ds-font-family-code)"/>
                    </w:rPr>
                  </m:ctrlPr>
                </m:sub>
              </m:sSub>
              <m:r>
                <m:rPr/>
                <w:rPr>
                  <w:rFonts w:hint="default" w:ascii="Cambria Math" w:hAnsi="Cambria Math" w:eastAsia="var(--ds-font-family-code)"/>
                </w:rPr>
                <m:t>(t)</m:t>
              </m:r>
            </m:oMath>
          </w:p>
        </w:tc>
        <w:tc>
          <w:tcPr>
            <w:tcW w:w="1951" w:type="dxa"/>
            <w:tcBorders>
              <w:top w:val="nil"/>
              <w:left w:val="nil"/>
              <w:bottom w:val="nil"/>
              <w:right w:val="nil"/>
            </w:tcBorders>
            <w:shd w:val="clear" w:color="auto" w:fill="FFFFFF"/>
            <w:noWrap w:val="0"/>
            <w:tcMar>
              <w:top w:w="-1" w:type="dxa"/>
              <w:left w:w="-1" w:type="dxa"/>
              <w:bottom w:w="-1" w:type="dxa"/>
              <w:right w:w="-1" w:type="dxa"/>
            </w:tcMar>
            <w:vAlign w:val="center"/>
          </w:tcPr>
          <w:p w14:paraId="57A5F21D">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Decreases less than SBP;</w:t>
            </w:r>
            <w:r>
              <w:rPr>
                <w:rFonts w:hint="default" w:ascii="Times New Roman" w:hAnsi="Times New Roman" w:cs="Times New Roman"/>
                <w:b w:val="0"/>
                <w:i w:val="0"/>
                <w:iCs w:val="0"/>
                <w:color w:val="000000"/>
                <w:sz w:val="22"/>
                <w:szCs w:val="22"/>
              </w:rPr>
              <w:br w:type="textWrapping"/>
            </w:r>
            <w:r>
              <w:rPr>
                <w:rFonts w:hint="default" w:ascii="Times New Roman" w:hAnsi="Times New Roman" w:cs="Times New Roman"/>
                <w:b w:val="0"/>
                <w:i w:val="0"/>
                <w:iCs w:val="0"/>
                <w:color w:val="000000"/>
                <w:sz w:val="22"/>
                <w:szCs w:val="22"/>
              </w:rPr>
              <w:t>PP narrows at 0.5 mmHg/min</w:t>
            </w:r>
          </w:p>
        </w:tc>
        <w:tc>
          <w:tcPr>
            <w:tcW w:w="4776" w:type="dxa"/>
            <w:tcBorders>
              <w:top w:val="nil"/>
              <w:left w:val="nil"/>
              <w:bottom w:val="nil"/>
              <w:right w:val="nil"/>
            </w:tcBorders>
            <w:shd w:val="clear" w:color="auto" w:fill="FFFFFF"/>
            <w:noWrap w:val="0"/>
            <w:tcMar>
              <w:top w:w="-1" w:type="dxa"/>
              <w:left w:w="-1" w:type="dxa"/>
              <w:bottom w:w="-1" w:type="dxa"/>
              <w:right w:w="-1" w:type="dxa"/>
            </w:tcMar>
            <w:vAlign w:val="center"/>
          </w:tcPr>
          <w:p w14:paraId="1F99F8D7">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 xml:space="preserve">Progressive PP narrowing (45→32.5 mmHg over 25 min post-onset) via time-varying </w:t>
            </w:r>
            <m:oMath>
              <m:sSub>
                <m:sSubPr>
                  <m:ctrlPr>
                    <w:rPr>
                      <w:rFonts w:hint="default" w:ascii="Cambria Math" w:hAnsi="Cambria Math" w:eastAsia="var(--ds-font-family-code)"/>
                    </w:rPr>
                  </m:ctrlPr>
                </m:sSubPr>
                <m:e>
                  <m:r>
                    <m:rPr>
                      <m:sty m:val="p"/>
                    </m:rPr>
                    <w:rPr>
                      <w:rFonts w:hint="default" w:ascii="Cambria Math" w:hAnsi="Cambria Math" w:eastAsia="var(--ds-font-family-code)"/>
                    </w:rPr>
                    <m:t>PP</m:t>
                  </m:r>
                  <m:ctrlPr>
                    <w:rPr>
                      <w:rFonts w:ascii="Cambria Math" w:hAnsi="Cambria Math" w:eastAsia="var(--ds-font-family-code)"/>
                    </w:rPr>
                  </m:ctrlPr>
                </m:e>
                <m:sub>
                  <m:r>
                    <m:rPr>
                      <m:sty m:val="p"/>
                    </m:rPr>
                    <w:rPr>
                      <w:rFonts w:hint="default" w:ascii="Cambria Math" w:hAnsi="Cambria Math" w:eastAsia="var(--ds-font-family-code)"/>
                    </w:rPr>
                    <m:t>target</m:t>
                  </m:r>
                  <m:ctrlPr>
                    <w:rPr>
                      <w:rFonts w:ascii="Cambria Math" w:hAnsi="Cambria Math" w:eastAsia="var(--ds-font-family-code)"/>
                    </w:rPr>
                  </m:ctrlPr>
                </m:sub>
              </m:sSub>
              <m:r>
                <m:rPr/>
                <w:rPr>
                  <w:rFonts w:hint="default" w:ascii="Cambria Math" w:hAnsi="Cambria Math" w:eastAsia="var(--ds-font-family-code)"/>
                </w:rPr>
                <m:t>(t)</m:t>
              </m:r>
            </m:oMath>
          </w:p>
        </w:tc>
      </w:tr>
      <w:tr w14:paraId="008B286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96"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15834D7E">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SpO₂</w:t>
            </w:r>
          </w:p>
        </w:tc>
        <w:tc>
          <w:tcPr>
            <w:tcW w:w="1599"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6B18C4DC">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≈0 (%/min)</w:t>
            </w:r>
          </w:p>
        </w:tc>
        <w:tc>
          <w:tcPr>
            <w:tcW w:w="1951"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0527BD97">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Minimal</w:t>
            </w:r>
          </w:p>
        </w:tc>
        <w:tc>
          <w:tcPr>
            <w:tcW w:w="4776"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67005535">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Preserved oxygenation during early compensated shock</w:t>
            </w:r>
          </w:p>
        </w:tc>
      </w:tr>
    </w:tbl>
    <w:p w14:paraId="1937C005">
      <w:pPr>
        <w:keepNext w:val="0"/>
        <w:keepLines w:val="0"/>
        <w:pageBreakBefore w:val="0"/>
        <w:widowControl/>
        <w:kinsoku/>
        <w:wordWrap/>
        <w:overflowPunct/>
        <w:topLinePunct w:val="0"/>
        <w:autoSpaceDE/>
        <w:autoSpaceDN/>
        <w:bidi w:val="0"/>
        <w:adjustRightInd/>
        <w:snapToGrid/>
        <w:spacing w:before="40" w:after="20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i w:val="0"/>
          <w:iCs w:val="0"/>
          <w:sz w:val="22"/>
          <w:szCs w:val="22"/>
        </w:rPr>
        <w:t>The linear drift rates were chosen to be physiologically plausible for early compensated shock</w:t>
      </w:r>
      <w:r>
        <w:rPr>
          <w:rFonts w:hint="eastAsia" w:ascii="Times New Roman" w:hAnsi="Times New Roman" w:eastAsia="宋体" w:cs="Times New Roman"/>
          <w:i w:val="0"/>
          <w:iCs w:val="0"/>
          <w:sz w:val="22"/>
          <w:szCs w:val="22"/>
          <w:lang w:val="en-US" w:eastAsia="zh-CN"/>
        </w:rPr>
        <w:t>.</w:t>
      </w:r>
      <w:r>
        <w:rPr>
          <w:rFonts w:hint="default" w:ascii="Times New Roman" w:hAnsi="Times New Roman" w:cs="Times New Roman"/>
          <w:i w:val="0"/>
          <w:iCs w:val="0"/>
          <w:sz w:val="22"/>
          <w:szCs w:val="22"/>
        </w:rPr>
        <w:t xml:space="preserve"> while remaining modest relative to baseline noise, ensuring that the generative model does not produce trivially detectable step changes. All TIC-positive episodes use the same drift rates; between-episode variability arises from the stochastic OU component.</w:t>
      </w:r>
    </w:p>
    <w:p w14:paraId="2046DB86">
      <w:pPr>
        <w:keepNext w:val="0"/>
        <w:keepLines w:val="0"/>
        <w:pageBreakBefore w:val="0"/>
        <w:widowControl/>
        <w:kinsoku/>
        <w:wordWrap/>
        <w:overflowPunct/>
        <w:topLinePunct w:val="0"/>
        <w:autoSpaceDE/>
        <w:autoSpaceDN/>
        <w:bidi w:val="0"/>
        <w:adjustRightInd/>
        <w:snapToGrid/>
        <w:spacing w:before="240" w:after="80" w:line="480" w:lineRule="auto"/>
        <w:jc w:val="center"/>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 xml:space="preserve">Table S1.3. </w:t>
      </w:r>
      <w:r>
        <w:rPr>
          <w:rFonts w:hint="default" w:ascii="Times New Roman" w:hAnsi="Times New Roman" w:cs="Times New Roman"/>
          <w:i w:val="0"/>
          <w:iCs w:val="0"/>
          <w:sz w:val="22"/>
          <w:szCs w:val="22"/>
        </w:rPr>
        <w:t>Artefact and missingness simulation parameters.</w:t>
      </w:r>
    </w:p>
    <w:tbl>
      <w:tblPr>
        <w:tblStyle w:val="34"/>
        <w:tblW w:w="9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7"/>
        <w:gridCol w:w="2634"/>
        <w:gridCol w:w="3017"/>
      </w:tblGrid>
      <w:tr w14:paraId="0A5C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single" w:color="000000" w:sz="4" w:space="0"/>
              <w:right w:val="nil"/>
              <w:tl2br w:val="nil"/>
            </w:tcBorders>
            <w:shd w:val="clear" w:color="auto" w:fill="FFFFFF"/>
            <w:vAlign w:val="center"/>
          </w:tcPr>
          <w:p w14:paraId="0B8DED11">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Parameter</w:t>
            </w:r>
          </w:p>
        </w:tc>
        <w:tc>
          <w:tcPr>
            <w:tcW w:w="0" w:type="auto"/>
            <w:tcBorders>
              <w:top w:val="single" w:color="000000" w:sz="12" w:space="0"/>
              <w:left w:val="nil"/>
              <w:bottom w:val="single" w:color="000000" w:sz="4" w:space="0"/>
              <w:right w:val="nil"/>
            </w:tcBorders>
            <w:shd w:val="clear" w:color="auto" w:fill="FFFFFF"/>
            <w:vAlign w:val="center"/>
          </w:tcPr>
          <w:p w14:paraId="4CB8E4BA">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Value</w:t>
            </w:r>
          </w:p>
        </w:tc>
        <w:tc>
          <w:tcPr>
            <w:tcW w:w="3017" w:type="dxa"/>
            <w:tcBorders>
              <w:top w:val="single" w:color="000000" w:sz="12" w:space="0"/>
              <w:left w:val="nil"/>
              <w:bottom w:val="single" w:color="000000" w:sz="4" w:space="0"/>
              <w:right w:val="nil"/>
            </w:tcBorders>
            <w:shd w:val="clear" w:color="auto" w:fill="FFFFFF"/>
            <w:vAlign w:val="center"/>
          </w:tcPr>
          <w:p w14:paraId="7BEE39AB">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Rationale</w:t>
            </w:r>
          </w:p>
        </w:tc>
      </w:tr>
      <w:tr w14:paraId="5F22D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nil"/>
              <w:bottom w:val="nil"/>
              <w:right w:val="nil"/>
            </w:tcBorders>
            <w:shd w:val="clear" w:color="auto" w:fill="FFFFFF"/>
            <w:vAlign w:val="center"/>
          </w:tcPr>
          <w:p w14:paraId="173615D6">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Motion artefact probability</w:t>
            </w:r>
          </w:p>
        </w:tc>
        <w:tc>
          <w:tcPr>
            <w:tcW w:w="0" w:type="auto"/>
            <w:tcBorders>
              <w:top w:val="single" w:color="000000" w:sz="4" w:space="0"/>
              <w:left w:val="nil"/>
              <w:bottom w:val="nil"/>
              <w:right w:val="nil"/>
            </w:tcBorders>
            <w:shd w:val="clear" w:color="auto" w:fill="FFFFFF"/>
            <w:vAlign w:val="center"/>
          </w:tcPr>
          <w:p w14:paraId="399FB225">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0.15 per episode</w:t>
            </w:r>
          </w:p>
        </w:tc>
        <w:tc>
          <w:tcPr>
            <w:tcW w:w="3017" w:type="dxa"/>
            <w:tcBorders>
              <w:top w:val="single" w:color="000000" w:sz="4" w:space="0"/>
              <w:left w:val="nil"/>
              <w:bottom w:val="nil"/>
              <w:right w:val="nil"/>
            </w:tcBorders>
            <w:shd w:val="clear" w:color="auto" w:fill="FFFFFF"/>
            <w:vAlign w:val="center"/>
          </w:tcPr>
          <w:p w14:paraId="5259FAFB">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Ambulance motion simulation</w:t>
            </w:r>
          </w:p>
        </w:tc>
      </w:tr>
      <w:tr w14:paraId="14C4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4D2180E5">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Artefact amplitude</w:t>
            </w:r>
          </w:p>
        </w:tc>
        <w:tc>
          <w:tcPr>
            <w:tcW w:w="0" w:type="auto"/>
            <w:tcBorders>
              <w:top w:val="nil"/>
              <w:left w:val="nil"/>
              <w:bottom w:val="nil"/>
              <w:right w:val="nil"/>
            </w:tcBorders>
            <w:shd w:val="clear" w:color="auto" w:fill="FFFFFF"/>
            <w:vAlign w:val="center"/>
          </w:tcPr>
          <w:p w14:paraId="31F6F8EB">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m:oMath>
              <m:r>
                <m:rPr>
                  <m:scr m:val="script"/>
                </m:rPr>
                <w:rPr>
                  <w:rFonts w:hint="default" w:ascii="Cambria Math" w:hAnsi="Cambria Math" w:eastAsia="MS Mincho"/>
                </w:rPr>
                <m:t>U</m:t>
              </m:r>
            </m:oMath>
            <w:r>
              <w:rPr>
                <w:rFonts w:hint="default" w:ascii="Times New Roman" w:hAnsi="Times New Roman" w:cs="Times New Roman"/>
                <w:b w:val="0"/>
                <w:i w:val="0"/>
                <w:iCs w:val="0"/>
                <w:color w:val="000000"/>
                <w:sz w:val="22"/>
                <w:szCs w:val="22"/>
              </w:rPr>
              <w:t>(5, 20) bpm</w:t>
            </w:r>
          </w:p>
        </w:tc>
        <w:tc>
          <w:tcPr>
            <w:tcW w:w="3017" w:type="dxa"/>
            <w:tcBorders>
              <w:top w:val="nil"/>
              <w:left w:val="nil"/>
              <w:bottom w:val="nil"/>
              <w:right w:val="nil"/>
            </w:tcBorders>
            <w:shd w:val="clear" w:color="auto" w:fill="FFFFFF"/>
            <w:vAlign w:val="center"/>
          </w:tcPr>
          <w:p w14:paraId="0B888AFD">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Movement artefact range</w:t>
            </w:r>
          </w:p>
        </w:tc>
      </w:tr>
      <w:tr w14:paraId="16BD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67308BA2">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Artefact duration</w:t>
            </w:r>
          </w:p>
        </w:tc>
        <w:tc>
          <w:tcPr>
            <w:tcW w:w="0" w:type="auto"/>
            <w:tcBorders>
              <w:top w:val="nil"/>
              <w:left w:val="nil"/>
              <w:bottom w:val="nil"/>
              <w:right w:val="nil"/>
            </w:tcBorders>
            <w:shd w:val="clear" w:color="auto" w:fill="FFFFFF"/>
            <w:vAlign w:val="center"/>
          </w:tcPr>
          <w:p w14:paraId="3A13918D">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m:oMath>
              <m:r>
                <m:rPr>
                  <m:scr m:val="script"/>
                </m:rPr>
                <w:rPr>
                  <w:rFonts w:hint="default" w:ascii="Cambria Math" w:hAnsi="Cambria Math" w:eastAsia="MS Mincho"/>
                </w:rPr>
                <m:t>U</m:t>
              </m:r>
            </m:oMath>
            <w:r>
              <w:rPr>
                <w:rFonts w:hint="default" w:ascii="Times New Roman" w:hAnsi="Times New Roman" w:cs="Times New Roman"/>
                <w:b w:val="0"/>
                <w:i w:val="0"/>
                <w:iCs w:val="0"/>
                <w:color w:val="000000"/>
                <w:sz w:val="22"/>
                <w:szCs w:val="22"/>
              </w:rPr>
              <w:t>(2, 10) s</w:t>
            </w:r>
          </w:p>
        </w:tc>
        <w:tc>
          <w:tcPr>
            <w:tcW w:w="3017" w:type="dxa"/>
            <w:tcBorders>
              <w:top w:val="nil"/>
              <w:left w:val="nil"/>
              <w:bottom w:val="nil"/>
              <w:right w:val="nil"/>
            </w:tcBorders>
            <w:shd w:val="clear" w:color="auto" w:fill="FFFFFF"/>
            <w:vAlign w:val="center"/>
          </w:tcPr>
          <w:p w14:paraId="13C71CC4">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Transient artefact model</w:t>
            </w:r>
          </w:p>
        </w:tc>
      </w:tr>
      <w:tr w14:paraId="62F4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3BF79B36">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Signal loss onset (drift)</w:t>
            </w:r>
          </w:p>
        </w:tc>
        <w:tc>
          <w:tcPr>
            <w:tcW w:w="0" w:type="auto"/>
            <w:tcBorders>
              <w:top w:val="nil"/>
              <w:left w:val="nil"/>
              <w:bottom w:val="nil"/>
              <w:right w:val="nil"/>
            </w:tcBorders>
            <w:shd w:val="clear" w:color="auto" w:fill="FFFFFF"/>
            <w:vAlign w:val="center"/>
          </w:tcPr>
          <w:p w14:paraId="5B65498C">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m:oMath>
              <m:sSub>
                <m:sSubPr>
                  <m:ctrlPr>
                    <w:rPr>
                      <w:rFonts w:hint="default" w:ascii="Cambria Math" w:hAnsi="Cambria Math" w:eastAsia="var(--ds-font-family-code)"/>
                    </w:rPr>
                  </m:ctrlPr>
                </m:sSubPr>
                <m:e>
                  <m:r>
                    <m:rPr/>
                    <w:rPr>
                      <w:rFonts w:hint="default" w:ascii="Cambria Math" w:hAnsi="Cambria Math" w:eastAsia="var(--ds-font-family-code)"/>
                    </w:rPr>
                    <m:t>T</m:t>
                  </m:r>
                  <m:ctrlPr>
                    <w:rPr>
                      <w:rFonts w:ascii="Cambria Math" w:hAnsi="Cambria Math" w:eastAsia="var(--ds-font-family-code)"/>
                    </w:rPr>
                  </m:ctrlPr>
                </m:e>
                <m:sub>
                  <m:r>
                    <m:rPr>
                      <m:sty m:val="p"/>
                    </m:rPr>
                    <w:rPr>
                      <w:rFonts w:hint="default" w:ascii="Cambria Math" w:hAnsi="Cambria Math" w:eastAsia="var(--ds-font-family-code)"/>
                    </w:rPr>
                    <m:t>onset</m:t>
                  </m:r>
                  <m:ctrlPr>
                    <w:rPr>
                      <w:rFonts w:ascii="Cambria Math" w:hAnsi="Cambria Math" w:eastAsia="var(--ds-font-family-code)"/>
                    </w:rPr>
                  </m:ctrlPr>
                </m:sub>
              </m:sSub>
            </m:oMath>
            <w:r>
              <w:rPr>
                <w:rFonts w:hint="default" w:ascii="Times New Roman" w:hAnsi="Times New Roman" w:cs="Times New Roman"/>
                <w:b w:val="0"/>
                <w:i w:val="0"/>
                <w:iCs w:val="0"/>
                <w:color w:val="000000"/>
                <w:sz w:val="22"/>
                <w:szCs w:val="22"/>
              </w:rPr>
              <w:t xml:space="preserve"> = 300 s</w:t>
            </w:r>
          </w:p>
        </w:tc>
        <w:tc>
          <w:tcPr>
            <w:tcW w:w="3017" w:type="dxa"/>
            <w:tcBorders>
              <w:top w:val="nil"/>
              <w:left w:val="nil"/>
              <w:bottom w:val="nil"/>
              <w:right w:val="nil"/>
            </w:tcBorders>
            <w:shd w:val="clear" w:color="auto" w:fill="FFFFFF"/>
            <w:vAlign w:val="center"/>
          </w:tcPr>
          <w:p w14:paraId="525A69F7">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Fixed for reproducibility</w:t>
            </w:r>
          </w:p>
        </w:tc>
      </w:tr>
      <w:tr w14:paraId="217E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67" w:type="dxa"/>
            <w:tcBorders>
              <w:top w:val="nil"/>
              <w:left w:val="nil"/>
              <w:bottom w:val="single" w:color="000000" w:sz="12" w:space="0"/>
              <w:right w:val="nil"/>
            </w:tcBorders>
            <w:shd w:val="clear" w:color="auto" w:fill="FFFFFF"/>
            <w:vAlign w:val="center"/>
          </w:tcPr>
          <w:p w14:paraId="14D355AE">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Simulated missingness (robustness tests)</w:t>
            </w:r>
          </w:p>
        </w:tc>
        <w:tc>
          <w:tcPr>
            <w:tcW w:w="2634" w:type="dxa"/>
            <w:tcBorders>
              <w:top w:val="nil"/>
              <w:left w:val="nil"/>
              <w:bottom w:val="single" w:color="000000" w:sz="12" w:space="0"/>
              <w:right w:val="nil"/>
            </w:tcBorders>
            <w:shd w:val="clear" w:color="auto" w:fill="FFFFFF"/>
            <w:vAlign w:val="center"/>
          </w:tcPr>
          <w:p w14:paraId="0AE3D3F8">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10–50% random (MCAR)</w:t>
            </w:r>
          </w:p>
        </w:tc>
        <w:tc>
          <w:tcPr>
            <w:tcW w:w="3017" w:type="dxa"/>
            <w:tcBorders>
              <w:top w:val="nil"/>
              <w:left w:val="nil"/>
              <w:bottom w:val="single" w:color="000000" w:sz="12" w:space="0"/>
              <w:right w:val="nil"/>
            </w:tcBorders>
            <w:shd w:val="clear" w:color="auto" w:fill="FFFFFF"/>
            <w:vAlign w:val="center"/>
          </w:tcPr>
          <w:p w14:paraId="60146A9E">
            <w:pPr>
              <w:keepNext/>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hint="default" w:ascii="Times New Roman" w:hAnsi="Times New Roman" w:cs="Times New Roman"/>
                <w:b w:val="0"/>
                <w:i w:val="0"/>
                <w:iCs w:val="0"/>
                <w:color w:val="000000"/>
                <w:sz w:val="22"/>
                <w:szCs w:val="22"/>
              </w:rPr>
            </w:pPr>
            <w:r>
              <w:rPr>
                <w:rFonts w:hint="default" w:ascii="Times New Roman" w:hAnsi="Times New Roman" w:cs="Times New Roman"/>
                <w:b w:val="0"/>
                <w:i w:val="0"/>
                <w:iCs w:val="0"/>
                <w:color w:val="000000"/>
                <w:sz w:val="22"/>
                <w:szCs w:val="22"/>
              </w:rPr>
              <w:t>Robustness stress tests</w:t>
            </w:r>
          </w:p>
        </w:tc>
      </w:tr>
    </w:tbl>
    <w:p w14:paraId="090206DD">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S1.4 Cohort Generation Procedure</w:t>
      </w:r>
    </w:p>
    <w:p w14:paraId="207F0E69">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 xml:space="preserve">Two distinct cohorts were generated. For the development cohort, 1,240 independent 30-minute transport episodes were generated (620 TIC-positive, 620 control; balanced 50% prevalence). All TIC-positive episodes use the drift parameters in Table S1.2, activated at </w:t>
      </w:r>
      <m:oMath>
        <m:sSub>
          <m:sSubPr>
            <m:ctrlPr>
              <w:rPr>
                <w:rFonts w:hint="default" w:ascii="Cambria Math" w:hAnsi="Cambria Math" w:eastAsia="var(--ds-font-family-code)"/>
              </w:rPr>
            </m:ctrlPr>
          </m:sSubPr>
          <m:e>
            <m:r>
              <m:rPr/>
              <w:rPr>
                <w:rFonts w:hint="default" w:ascii="Cambria Math" w:hAnsi="Cambria Math" w:eastAsia="var(--ds-font-family-code)"/>
              </w:rPr>
              <m:t>T</m:t>
            </m:r>
            <m:ctrlPr>
              <w:rPr>
                <w:rFonts w:ascii="Cambria Math" w:hAnsi="Cambria Math" w:eastAsia="var(--ds-font-family-code)"/>
              </w:rPr>
            </m:ctrlPr>
          </m:e>
          <m:sub>
            <m:r>
              <m:rPr>
                <m:sty m:val="p"/>
              </m:rPr>
              <w:rPr>
                <w:rFonts w:hint="default" w:ascii="Cambria Math" w:hAnsi="Cambria Math" w:eastAsia="var(--ds-font-family-code)"/>
              </w:rPr>
              <m:t>onset</m:t>
            </m:r>
            <m:ctrlPr>
              <w:rPr>
                <w:rFonts w:ascii="Cambria Math" w:hAnsi="Cambria Math" w:eastAsia="var(--ds-font-family-code)"/>
              </w:rPr>
            </m:ctrlPr>
          </m:sub>
        </m:sSub>
      </m:oMath>
      <w:r>
        <w:rPr>
          <w:rFonts w:hint="default" w:ascii="Times New Roman" w:hAnsi="Times New Roman" w:cs="Times New Roman"/>
          <w:b w:val="0"/>
          <w:i w:val="0"/>
          <w:iCs w:val="0"/>
          <w:sz w:val="22"/>
          <w:szCs w:val="22"/>
        </w:rPr>
        <w:t xml:space="preserve"> = 300 s. For the independent test cohort (prevalence evaluation), 1,000 additional episodes were generated with 25% TIC prevalence (n = 250 TIC-positive, 750 control), using identical OU parameters. The identical generative parameters (other than prevalence) ensure that any performance differences between cohorts are attributable solely to the change in class imbalance, not to distributional shift.</w:t>
      </w:r>
    </w:p>
    <w:p w14:paraId="003D6A6F">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auto"/>
        <w:ind w:left="0" w:right="0" w:firstLine="0"/>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 xml:space="preserve">Each episode is initialised with </w:t>
      </w:r>
      <m:oMath>
        <m:sSub>
          <m:sSubPr>
            <m:ctrlPr>
              <w:rPr>
                <w:rFonts w:hint="default" w:ascii="Cambria Math" w:hAnsi="Cambria Math" w:eastAsia="var(--ds-font-family-code)"/>
              </w:rPr>
            </m:ctrlPr>
          </m:sSubPr>
          <m:e>
            <m:r>
              <m:rPr/>
              <w:rPr>
                <w:rFonts w:hint="default" w:ascii="Cambria Math" w:hAnsi="Cambria Math" w:eastAsia="var(--ds-font-family-code)"/>
              </w:rPr>
              <m:t>X</m:t>
            </m:r>
            <m:ctrlPr>
              <w:rPr>
                <w:rFonts w:ascii="Cambria Math" w:hAnsi="Cambria Math" w:eastAsia="var(--ds-font-family-code)"/>
              </w:rPr>
            </m:ctrlPr>
          </m:e>
          <m:sub>
            <m:r>
              <m:rPr/>
              <w:rPr>
                <w:rFonts w:hint="default" w:ascii="Cambria Math" w:hAnsi="Cambria Math" w:eastAsia="var(--ds-font-family-code)"/>
              </w:rPr>
              <m:t>i</m:t>
            </m:r>
            <m:ctrlPr>
              <w:rPr>
                <w:rFonts w:ascii="Cambria Math" w:hAnsi="Cambria Math" w:eastAsia="var(--ds-font-family-code)"/>
              </w:rPr>
            </m:ctrlPr>
          </m:sub>
        </m:sSub>
        <m:r>
          <m:rPr/>
          <w:rPr>
            <w:rFonts w:hint="default" w:ascii="Cambria Math" w:hAnsi="Cambria Math" w:eastAsia="var(--ds-font-family-code)"/>
          </w:rPr>
          <m:t>(0)</m:t>
        </m:r>
      </m:oMath>
      <w:r>
        <w:rPr>
          <w:rFonts w:hint="eastAsia" w:hAnsi="Cambria Math"/>
          <w:i w:val="0"/>
          <w:lang w:val="en-US" w:eastAsia="zh-CN"/>
        </w:rPr>
        <w:t xml:space="preserve"> </w:t>
      </w:r>
      <w:r>
        <w:rPr>
          <w:rFonts w:hint="default" w:ascii="Times New Roman" w:hAnsi="Times New Roman" w:cs="Times New Roman"/>
          <w:b w:val="0"/>
          <w:i w:val="0"/>
          <w:iCs w:val="0"/>
          <w:sz w:val="22"/>
          <w:szCs w:val="22"/>
        </w:rPr>
        <w:t xml:space="preserve">drawn from the stationary distribution </w:t>
      </w:r>
      <m:oMath>
        <m:r>
          <m:rPr>
            <m:scr m:val="script"/>
          </m:rPr>
          <w:rPr>
            <w:rFonts w:hint="default" w:ascii="Cambria Math" w:hAnsi="Cambria Math" w:eastAsia="MS Mincho"/>
          </w:rPr>
          <m:t>N</m:t>
        </m:r>
        <m:r>
          <m:rPr/>
          <w:rPr>
            <w:rFonts w:hint="default" w:ascii="Cambria Math" w:hAnsi="Cambria Math" w:eastAsia="var(--ds-font-family-code)"/>
          </w:rPr>
          <m:t>(</m:t>
        </m:r>
        <m:sSub>
          <m:sSubPr>
            <m:ctrlPr>
              <w:rPr>
                <w:rFonts w:hint="default" w:ascii="Cambria Math" w:hAnsi="Cambria Math" w:eastAsia="var(--ds-font-family-code)"/>
              </w:rPr>
            </m:ctrlPr>
          </m:sSubPr>
          <m:e>
            <m:r>
              <m:rPr/>
              <w:rPr>
                <w:rFonts w:hint="default" w:ascii="Cambria Math" w:hAnsi="Cambria Math" w:eastAsia="var(--ds-font-family-code)"/>
              </w:rPr>
              <m:t>μ</m:t>
            </m:r>
            <m:ctrlPr>
              <w:rPr>
                <w:rFonts w:ascii="Cambria Math" w:hAnsi="Cambria Math" w:eastAsia="var(--ds-font-family-code)"/>
              </w:rPr>
            </m:ctrlPr>
          </m:e>
          <m:sub>
            <m:r>
              <m:rPr/>
              <w:rPr>
                <w:rFonts w:hint="default" w:ascii="Cambria Math" w:hAnsi="Cambria Math" w:eastAsia="var(--ds-font-family-code)"/>
              </w:rPr>
              <m:t>i,</m:t>
            </m:r>
            <m:r>
              <m:rPr>
                <m:sty m:val="p"/>
              </m:rPr>
              <w:rPr>
                <w:rFonts w:hint="default" w:ascii="Cambria Math" w:hAnsi="Cambria Math" w:eastAsia="var(--ds-font-family-code)"/>
              </w:rPr>
              <m:t>baseline</m:t>
            </m:r>
            <m:ctrlPr>
              <w:rPr>
                <w:rFonts w:ascii="Cambria Math" w:hAnsi="Cambria Math" w:eastAsia="var(--ds-font-family-code)"/>
              </w:rPr>
            </m:ctrlPr>
          </m:sub>
        </m:sSub>
        <m:r>
          <m:rPr/>
          <w:rPr>
            <w:rFonts w:hint="default" w:ascii="Cambria Math" w:hAnsi="Cambria Math" w:eastAsia="var(--ds-font-family-code)"/>
          </w:rPr>
          <m:t>,</m:t>
        </m:r>
        <m:sSubSup>
          <m:sSubSupPr>
            <m:ctrlPr>
              <w:rPr>
                <w:rFonts w:hint="default" w:ascii="Cambria Math" w:hAnsi="Cambria Math" w:eastAsia="var(--ds-font-family-code)"/>
              </w:rPr>
            </m:ctrlPr>
          </m:sSubSupPr>
          <m:e>
            <m:r>
              <m:rPr/>
              <w:rPr>
                <w:rFonts w:hint="default" w:ascii="Cambria Math" w:hAnsi="Cambria Math" w:eastAsia="var(--ds-font-family-code)"/>
              </w:rPr>
              <m:t>σ</m:t>
            </m:r>
            <m:ctrlPr>
              <w:rPr>
                <w:rFonts w:ascii="Cambria Math" w:hAnsi="Cambria Math" w:eastAsia="var(--ds-font-family-code)"/>
              </w:rPr>
            </m:ctrlPr>
          </m:e>
          <m:sub>
            <m:r>
              <m:rPr/>
              <w:rPr>
                <w:rFonts w:hint="default" w:ascii="Cambria Math" w:hAnsi="Cambria Math" w:eastAsia="var(--ds-font-family-code)"/>
              </w:rPr>
              <m:t>i</m:t>
            </m:r>
            <m:ctrlPr>
              <w:rPr>
                <w:rFonts w:ascii="Cambria Math" w:hAnsi="Cambria Math" w:eastAsia="var(--ds-font-family-code)"/>
              </w:rPr>
            </m:ctrlPr>
          </m:sub>
          <m:sup>
            <m:r>
              <m:rPr/>
              <w:rPr>
                <w:rFonts w:hint="default" w:ascii="Cambria Math" w:hAnsi="Cambria Math" w:eastAsia="var(--ds-font-family-code)"/>
              </w:rPr>
              <m:t>2</m:t>
            </m:r>
            <m:ctrlPr>
              <w:rPr>
                <w:rFonts w:ascii="Cambria Math" w:hAnsi="Cambria Math" w:eastAsia="var(--ds-font-family-code)"/>
              </w:rPr>
            </m:ctrlPr>
          </m:sup>
        </m:sSubSup>
        <m:r>
          <m:rPr/>
          <w:rPr>
            <w:rFonts w:hint="default" w:ascii="Cambria Math" w:hAnsi="Cambria Math" w:eastAsia="var(--ds-font-family-code)"/>
          </w:rPr>
          <m:t>/(2</m:t>
        </m:r>
        <m:sSub>
          <m:sSubPr>
            <m:ctrlPr>
              <w:rPr>
                <w:rFonts w:hint="default" w:ascii="Cambria Math" w:hAnsi="Cambria Math" w:eastAsia="var(--ds-font-family-code)"/>
              </w:rPr>
            </m:ctrlPr>
          </m:sSubPr>
          <m:e>
            <m:r>
              <m:rPr/>
              <w:rPr>
                <w:rFonts w:hint="default" w:ascii="Cambria Math" w:hAnsi="Cambria Math" w:eastAsia="var(--ds-font-family-code)"/>
              </w:rPr>
              <m:t>θ</m:t>
            </m:r>
            <m:ctrlPr>
              <w:rPr>
                <w:rFonts w:ascii="Cambria Math" w:hAnsi="Cambria Math" w:eastAsia="var(--ds-font-family-code)"/>
              </w:rPr>
            </m:ctrlPr>
          </m:e>
          <m:sub>
            <m:r>
              <m:rPr/>
              <w:rPr>
                <w:rFonts w:hint="default" w:ascii="Cambria Math" w:hAnsi="Cambria Math" w:eastAsia="var(--ds-font-family-code)"/>
              </w:rPr>
              <m:t>i</m:t>
            </m:r>
            <m:ctrlPr>
              <w:rPr>
                <w:rFonts w:ascii="Cambria Math" w:hAnsi="Cambria Math" w:eastAsia="var(--ds-font-family-code)"/>
              </w:rPr>
            </m:ctrlPr>
          </m:sub>
        </m:sSub>
        <m:r>
          <m:rPr/>
          <w:rPr>
            <w:rFonts w:hint="default" w:ascii="Cambria Math" w:hAnsi="Cambria Math" w:eastAsia="var(--ds-font-family-code)"/>
          </w:rPr>
          <m:t>))</m:t>
        </m:r>
      </m:oMath>
      <w:r>
        <w:rPr>
          <w:rFonts w:hint="default" w:ascii="Times New Roman" w:hAnsi="Times New Roman" w:cs="Times New Roman"/>
          <w:b w:val="0"/>
          <w:i w:val="0"/>
          <w:iCs w:val="0"/>
          <w:sz w:val="22"/>
          <w:szCs w:val="22"/>
        </w:rPr>
        <w:t>. All random seeds are fixed in the public repository (numpy.random.seed(42) at the global level; episode-level seeds are set sequentially) to ensure exact reproducibility. The full simulation runs in approximately 2 minutes on a standard workstation.</w:t>
      </w:r>
    </w:p>
    <w:p w14:paraId="489FE751">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Physiological bounds are applied at each time step to prevent biologically implausible values: HR ∈ [35, 200] bpm; SBP ∈ [60, 220] mmHg; DBP ∈ [30, 130] mmHg; SpO₂ ∈ [70, 100]%.</w:t>
      </w:r>
    </w:p>
    <w:p w14:paraId="44115502">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S1.5 Fidelity Validation</w:t>
      </w:r>
    </w:p>
    <w:p w14:paraId="6364ED7E">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S1.5.1 Multivariate Hellinger Distance</w:t>
      </w:r>
    </w:p>
    <w:p w14:paraId="7A283E4B">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auto"/>
        <w:ind w:left="0" w:right="0" w:firstLine="0"/>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 xml:space="preserve">Quantitative validation of the discretised simulation against the theoretical OU stationary distribution was performed using the multivariate Hellinger distance </w:t>
      </w:r>
      <m:oMath>
        <m:r>
          <m:rPr/>
          <w:rPr>
            <w:rFonts w:hint="default" w:ascii="Cambria Math" w:hAnsi="Cambria Math" w:eastAsia="var(--ds-font-family-code)"/>
          </w:rPr>
          <m:t>D(P,Q)</m:t>
        </m:r>
      </m:oMath>
      <w:r>
        <w:rPr>
          <w:rFonts w:hint="default" w:ascii="Times New Roman" w:hAnsi="Times New Roman" w:cs="Times New Roman"/>
          <w:b w:val="0"/>
          <w:i w:val="0"/>
          <w:iCs w:val="0"/>
          <w:sz w:val="22"/>
          <w:szCs w:val="22"/>
        </w:rPr>
        <w:t>:</w:t>
      </w:r>
    </w:p>
    <w:p w14:paraId="4C0473E0">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auto"/>
        <w:ind w:left="0" w:right="0" w:firstLine="0"/>
        <w:jc w:val="center"/>
        <w:textAlignment w:val="auto"/>
        <w:rPr>
          <w:rFonts w:hint="default" w:ascii="Times New Roman" w:hAnsi="Times New Roman" w:cs="Times New Roman"/>
          <w:i w:val="0"/>
          <w:iCs w:val="0"/>
          <w:sz w:val="22"/>
          <w:szCs w:val="22"/>
        </w:rPr>
      </w:pPr>
      <m:oMath>
        <m:r>
          <m:rPr/>
          <w:rPr>
            <w:rFonts w:hint="default" w:ascii="Cambria Math" w:hAnsi="Cambria Math" w:eastAsia="var(--ds-font-family-code)"/>
          </w:rPr>
          <m:t>D(P,Q)=</m:t>
        </m:r>
        <m:rad>
          <m:radPr>
            <m:degHide m:val="1"/>
            <m:ctrlPr>
              <w:rPr>
                <w:rFonts w:hint="default" w:ascii="Cambria Math" w:hAnsi="Cambria Math" w:eastAsia="var(--ds-font-family-code)"/>
              </w:rPr>
            </m:ctrlPr>
          </m:radPr>
          <m:deg>
            <m:ctrlPr>
              <w:rPr>
                <w:rFonts w:ascii="Cambria Math" w:hAnsi="Cambria Math" w:eastAsia="var(--ds-font-family-code)"/>
              </w:rPr>
            </m:ctrlPr>
          </m:deg>
          <m:e>
            <m:r>
              <m:rPr/>
              <w:rPr>
                <w:rFonts w:hint="default" w:ascii="Cambria Math" w:hAnsi="Cambria Math" w:eastAsia="var(--ds-font-family-code)"/>
              </w:rPr>
              <m:t>1−</m:t>
            </m:r>
            <m:nary>
              <m:naryPr>
                <m:limLoc m:val="subSup"/>
                <m:subHide m:val="1"/>
                <m:supHide m:val="1"/>
                <m:ctrlPr>
                  <w:rPr>
                    <w:rFonts w:hint="default" w:ascii="Cambria Math" w:hAnsi="Cambria Math" w:eastAsia="var(--ds-font-family-code)"/>
                  </w:rPr>
                </m:ctrlPr>
              </m:naryPr>
              <m:sub>
                <m:ctrlPr>
                  <w:rPr>
                    <w:rFonts w:ascii="Cambria Math" w:hAnsi="Cambria Math" w:eastAsia="var(--ds-font-family-code)"/>
                  </w:rPr>
                </m:ctrlPr>
              </m:sub>
              <m:sup>
                <m:ctrlPr>
                  <w:rPr>
                    <w:rFonts w:ascii="Cambria Math" w:hAnsi="Cambria Math" w:eastAsia="var(--ds-font-family-code)"/>
                  </w:rPr>
                </m:ctrlPr>
              </m:sup>
              <m:e>
                <m:rad>
                  <m:radPr>
                    <m:degHide m:val="1"/>
                    <m:ctrlPr>
                      <w:rPr>
                        <w:rFonts w:hint="default" w:ascii="Cambria Math" w:hAnsi="Cambria Math" w:eastAsia="var(--ds-font-family-code)"/>
                      </w:rPr>
                    </m:ctrlPr>
                  </m:radPr>
                  <m:deg>
                    <m:ctrlPr>
                      <w:rPr>
                        <w:rFonts w:ascii="Cambria Math" w:hAnsi="Cambria Math" w:eastAsia="var(--ds-font-family-code)"/>
                      </w:rPr>
                    </m:ctrlPr>
                  </m:deg>
                  <m:e>
                    <m:r>
                      <m:rPr/>
                      <w:rPr>
                        <w:rFonts w:hint="default" w:ascii="Cambria Math" w:hAnsi="Cambria Math" w:eastAsia="var(--ds-font-family-code)"/>
                      </w:rPr>
                      <m:t>p(x)q(x)</m:t>
                    </m:r>
                    <m:ctrlPr>
                      <w:rPr>
                        <w:rFonts w:ascii="Cambria Math" w:hAnsi="Cambria Math" w:eastAsia="var(--ds-font-family-code)"/>
                      </w:rPr>
                    </m:ctrlPr>
                  </m:e>
                </m:rad>
                <m:ctrlPr>
                  <w:rPr>
                    <w:rFonts w:hint="default" w:ascii="Cambria Math" w:hAnsi="Cambria Math" w:eastAsia="var(--ds-font-family-code)"/>
                  </w:rPr>
                </m:ctrlPr>
              </m:e>
            </m:nary>
            <m:r>
              <m:rPr/>
              <w:rPr>
                <w:rFonts w:hint="default" w:ascii="Cambria Math" w:hAnsi="Cambria Math" w:eastAsia="var(--ds-font-family-code)"/>
              </w:rPr>
              <m:t> </m:t>
            </m:r>
            <m:r>
              <m:rPr>
                <m:sty m:val="p"/>
              </m:rPr>
              <w:rPr>
                <w:rFonts w:hint="default" w:ascii="Cambria Math" w:hAnsi="Cambria Math" w:eastAsia="var(--ds-font-family-code)"/>
              </w:rPr>
              <m:t>d</m:t>
            </m:r>
            <m:r>
              <m:rPr/>
              <w:rPr>
                <w:rFonts w:hint="default" w:ascii="Cambria Math" w:hAnsi="Cambria Math" w:eastAsia="var(--ds-font-family-code)"/>
              </w:rPr>
              <m:t>x</m:t>
            </m:r>
            <m:ctrlPr>
              <w:rPr>
                <w:rFonts w:hint="default" w:ascii="Cambria Math" w:hAnsi="Cambria Math" w:eastAsia="var(--ds-font-family-code)"/>
              </w:rPr>
            </m:ctrlPr>
          </m:e>
        </m:rad>
      </m:oMath>
      <w:r>
        <w:rPr>
          <w:rFonts w:hint="default" w:ascii="Times New Roman" w:hAnsi="Times New Roman" w:cs="Times New Roman"/>
          <w:i w:val="0"/>
          <w:iCs w:val="0"/>
          <w:sz w:val="22"/>
          <w:szCs w:val="22"/>
        </w:rPr>
        <w:t xml:space="preserve">   (Eq. 5)</w:t>
      </w:r>
    </w:p>
    <w:p w14:paraId="189EFC08">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 xml:space="preserve">where </w:t>
      </w:r>
      <m:oMath>
        <m:r>
          <m:rPr/>
          <w:rPr>
            <w:rFonts w:hint="default" w:ascii="Cambria Math" w:hAnsi="Cambria Math" w:eastAsia="var(--ds-font-family-code)"/>
          </w:rPr>
          <m:t>p(x)</m:t>
        </m:r>
      </m:oMath>
      <w:r>
        <w:rPr>
          <w:rFonts w:hint="default" w:ascii="Times New Roman" w:hAnsi="Times New Roman" w:cs="Times New Roman"/>
          <w:b w:val="0"/>
          <w:i w:val="0"/>
          <w:iCs w:val="0"/>
          <w:sz w:val="22"/>
          <w:szCs w:val="22"/>
        </w:rPr>
        <w:t xml:space="preserve"> denotes the empirical joint density of the simulated baseline (first 60-second window) episodes estimated via a Gaussian kernel density estimator, and </w:t>
      </w:r>
      <m:oMath>
        <m:r>
          <m:rPr/>
          <w:rPr>
            <w:rFonts w:hint="default" w:ascii="Cambria Math" w:hAnsi="Cambria Math" w:eastAsia="var(--ds-font-family-code)"/>
          </w:rPr>
          <m:t>q(x)</m:t>
        </m:r>
      </m:oMath>
      <w:r>
        <w:rPr>
          <w:rFonts w:hint="default" w:ascii="Times New Roman" w:hAnsi="Times New Roman" w:cs="Times New Roman"/>
          <w:b w:val="0"/>
          <w:i w:val="0"/>
          <w:iCs w:val="0"/>
          <w:sz w:val="22"/>
          <w:szCs w:val="22"/>
        </w:rPr>
        <w:t xml:space="preserve"> denotes the theoretical Gaussian density derived from the OU stationary distribution parameters. The obtained multivariate Hellinger distance was 0.042 (threshold for acceptable fidelity: &lt; 0.05), confirming that the Euler–Maruyama discretisation accurately preserves the distributional properties of the continuous OU process.</w:t>
      </w:r>
    </w:p>
    <w:p w14:paraId="14D0060A">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S1.5.2 Cross-variable Correlation Validation</w:t>
      </w:r>
    </w:p>
    <w:p w14:paraId="5744A511">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The theoretical cross-variable correlation between HR and SBP under the TIC drift model was computed analytically from the OU parameters and the programmed drift rates. The empirical correlation matrix of the simulated 60-second baseline windows was then compared with the theoretical values. As shown in Supplementary Figure S1 (Additional file 4), all absolute errors between theoretical and empirical correlations were below 0.05, demonstrating that the Euler–Maruyama discretisation preserves the inter-signal dependency structure.</w:t>
      </w:r>
    </w:p>
    <w:p w14:paraId="7941613E">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S1.5.3 Visual Validation</w:t>
      </w:r>
    </w:p>
    <w:p w14:paraId="3AA24D22">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T</w:t>
      </w:r>
      <w:r>
        <w:rPr>
          <w:rFonts w:hint="eastAsia" w:eastAsia="宋体" w:cs="Times New Roman"/>
          <w:b w:val="0"/>
          <w:i w:val="0"/>
          <w:iCs w:val="0"/>
          <w:sz w:val="22"/>
          <w:szCs w:val="22"/>
          <w:lang w:val="en-US" w:eastAsia="zh-CN"/>
        </w:rPr>
        <w:t>wo</w:t>
      </w:r>
      <w:r>
        <w:rPr>
          <w:rFonts w:hint="default" w:ascii="Times New Roman" w:hAnsi="Times New Roman" w:cs="Times New Roman"/>
          <w:b w:val="0"/>
          <w:i w:val="0"/>
          <w:iCs w:val="0"/>
          <w:sz w:val="22"/>
          <w:szCs w:val="22"/>
        </w:rPr>
        <w:t xml:space="preserve"> visual validation plots are provided in Supplementary Figure S1:</w:t>
      </w:r>
    </w:p>
    <w:p w14:paraId="7249B535">
      <w:pPr>
        <w:pStyle w:val="16"/>
        <w:keepNext w:val="0"/>
        <w:keepLines w:val="0"/>
        <w:pageBreakBefore w:val="0"/>
        <w:widowControl/>
        <w:kinsoku/>
        <w:wordWrap/>
        <w:overflowPunct/>
        <w:topLinePunct w:val="0"/>
        <w:autoSpaceDE/>
        <w:autoSpaceDN/>
        <w:bidi w:val="0"/>
        <w:adjustRightInd/>
        <w:snapToGrid/>
        <w:spacing w:after="80" w:line="480" w:lineRule="auto"/>
        <w:textAlignment w:val="auto"/>
        <w:rPr>
          <w:rFonts w:hint="default" w:ascii="Times New Roman" w:hAnsi="Times New Roman" w:cs="Times New Roman"/>
          <w:i w:val="0"/>
          <w:iCs w:val="0"/>
          <w:sz w:val="22"/>
          <w:szCs w:val="22"/>
        </w:rPr>
      </w:pPr>
      <w:r>
        <w:rPr>
          <w:rFonts w:hint="default" w:ascii="Times New Roman" w:hAnsi="Times New Roman" w:cs="Times New Roman"/>
          <w:i w:val="0"/>
          <w:iCs w:val="0"/>
          <w:sz w:val="22"/>
          <w:szCs w:val="22"/>
        </w:rPr>
        <w:t xml:space="preserve">Panel </w:t>
      </w:r>
      <w:r>
        <w:rPr>
          <w:rFonts w:hint="eastAsia" w:eastAsia="宋体" w:cs="Times New Roman"/>
          <w:i w:val="0"/>
          <w:iCs w:val="0"/>
          <w:sz w:val="22"/>
          <w:szCs w:val="22"/>
          <w:lang w:val="en-US" w:eastAsia="zh-CN"/>
        </w:rPr>
        <w:t>A</w:t>
      </w:r>
      <w:r>
        <w:rPr>
          <w:rFonts w:hint="default" w:ascii="Times New Roman" w:hAnsi="Times New Roman" w:cs="Times New Roman"/>
          <w:i w:val="0"/>
          <w:iCs w:val="0"/>
          <w:sz w:val="22"/>
          <w:szCs w:val="22"/>
        </w:rPr>
        <w:t>: Heatmap of absolute errors between theoretical and empirical cross-variable correlations for all four vital signs. All values are below 0.05.</w:t>
      </w:r>
    </w:p>
    <w:p w14:paraId="68527DBD">
      <w:pPr>
        <w:pStyle w:val="16"/>
        <w:keepNext w:val="0"/>
        <w:keepLines w:val="0"/>
        <w:pageBreakBefore w:val="0"/>
        <w:widowControl/>
        <w:kinsoku/>
        <w:wordWrap/>
        <w:overflowPunct/>
        <w:topLinePunct w:val="0"/>
        <w:autoSpaceDE/>
        <w:autoSpaceDN/>
        <w:bidi w:val="0"/>
        <w:adjustRightInd/>
        <w:snapToGrid/>
        <w:spacing w:after="80" w:line="480" w:lineRule="auto"/>
        <w:textAlignment w:val="auto"/>
        <w:rPr>
          <w:rFonts w:hint="default" w:ascii="Times New Roman" w:hAnsi="Times New Roman" w:cs="Times New Roman"/>
          <w:i w:val="0"/>
          <w:iCs w:val="0"/>
          <w:sz w:val="22"/>
          <w:szCs w:val="22"/>
        </w:rPr>
      </w:pPr>
      <w:r>
        <w:rPr>
          <w:rFonts w:hint="default" w:ascii="Times New Roman" w:hAnsi="Times New Roman" w:cs="Times New Roman"/>
          <w:i w:val="0"/>
          <w:iCs w:val="0"/>
          <w:sz w:val="22"/>
          <w:szCs w:val="22"/>
        </w:rPr>
        <w:t xml:space="preserve">Panel </w:t>
      </w:r>
      <w:r>
        <w:rPr>
          <w:rFonts w:hint="eastAsia" w:eastAsia="宋体" w:cs="Times New Roman"/>
          <w:i w:val="0"/>
          <w:iCs w:val="0"/>
          <w:sz w:val="22"/>
          <w:szCs w:val="22"/>
          <w:lang w:val="en-US" w:eastAsia="zh-CN"/>
        </w:rPr>
        <w:t>B</w:t>
      </w:r>
      <w:bookmarkStart w:id="0" w:name="_GoBack"/>
      <w:bookmarkEnd w:id="0"/>
      <w:r>
        <w:rPr>
          <w:rFonts w:hint="default" w:ascii="Times New Roman" w:hAnsi="Times New Roman" w:cs="Times New Roman"/>
          <w:i w:val="0"/>
          <w:iCs w:val="0"/>
          <w:sz w:val="22"/>
          <w:szCs w:val="22"/>
        </w:rPr>
        <w:t>: Individual HR trajectories for five randomly selected TIC-positive episodes (red bold lines) with the mean trajectory (dark line) overlaid, illustrating realistic between-patient variability while maintaining the programmed deteriorating trend.</w:t>
      </w:r>
    </w:p>
    <w:p w14:paraId="40966682">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S1.6 Limitations of the Generative Model</w:t>
      </w:r>
    </w:p>
    <w:p w14:paraId="5BE84873">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The following limitations of the synthetic data generator should be considered when interpreting all results reported in the main manuscript:</w:t>
      </w:r>
    </w:p>
    <w:p w14:paraId="2D0B7C07">
      <w:pPr>
        <w:pStyle w:val="16"/>
        <w:keepNext w:val="0"/>
        <w:keepLines w:val="0"/>
        <w:pageBreakBefore w:val="0"/>
        <w:widowControl/>
        <w:kinsoku/>
        <w:wordWrap/>
        <w:overflowPunct/>
        <w:topLinePunct w:val="0"/>
        <w:autoSpaceDE/>
        <w:autoSpaceDN/>
        <w:bidi w:val="0"/>
        <w:adjustRightInd/>
        <w:snapToGrid/>
        <w:spacing w:after="80" w:line="480" w:lineRule="auto"/>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 xml:space="preserve">Linear drift assumption: </w:t>
      </w:r>
      <w:r>
        <w:rPr>
          <w:rFonts w:hint="default" w:ascii="Times New Roman" w:hAnsi="Times New Roman" w:cs="Times New Roman"/>
          <w:i w:val="0"/>
          <w:iCs w:val="0"/>
          <w:sz w:val="22"/>
          <w:szCs w:val="22"/>
        </w:rPr>
        <w:t>Real TIC progression is non-linear, often characterised by abrupt cascading decompensation following a period of apparent stability. The linear drift model does not capture this complexity.</w:t>
      </w:r>
    </w:p>
    <w:p w14:paraId="1FC94F16">
      <w:pPr>
        <w:pStyle w:val="16"/>
        <w:keepNext w:val="0"/>
        <w:keepLines w:val="0"/>
        <w:pageBreakBefore w:val="0"/>
        <w:widowControl/>
        <w:kinsoku/>
        <w:wordWrap/>
        <w:overflowPunct/>
        <w:topLinePunct w:val="0"/>
        <w:autoSpaceDE/>
        <w:autoSpaceDN/>
        <w:bidi w:val="0"/>
        <w:adjustRightInd/>
        <w:snapToGrid/>
        <w:spacing w:after="80" w:line="480" w:lineRule="auto"/>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 xml:space="preserve">No inter-variable mechanistic coupling: </w:t>
      </w:r>
      <w:r>
        <w:rPr>
          <w:rFonts w:hint="default" w:ascii="Times New Roman" w:hAnsi="Times New Roman" w:cs="Times New Roman"/>
          <w:i w:val="0"/>
          <w:iCs w:val="0"/>
          <w:sz w:val="22"/>
          <w:szCs w:val="22"/>
        </w:rPr>
        <w:t>The OU process for each vital sign is driven by independent Wiener processes. True physiological coupling (e.g., the baroreflex) is not mechanistically modelled; only the programmed mean-level correlation between SBP and DBP is present.</w:t>
      </w:r>
    </w:p>
    <w:p w14:paraId="0268E4BE">
      <w:pPr>
        <w:pStyle w:val="16"/>
        <w:keepNext w:val="0"/>
        <w:keepLines w:val="0"/>
        <w:pageBreakBefore w:val="0"/>
        <w:widowControl/>
        <w:kinsoku/>
        <w:wordWrap/>
        <w:overflowPunct/>
        <w:topLinePunct w:val="0"/>
        <w:autoSpaceDE/>
        <w:autoSpaceDN/>
        <w:bidi w:val="0"/>
        <w:adjustRightInd/>
        <w:snapToGrid/>
        <w:spacing w:after="80" w:line="480" w:lineRule="auto"/>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 xml:space="preserve">No interventions: </w:t>
      </w:r>
      <w:r>
        <w:rPr>
          <w:rFonts w:hint="default" w:ascii="Times New Roman" w:hAnsi="Times New Roman" w:cs="Times New Roman"/>
          <w:i w:val="0"/>
          <w:iCs w:val="0"/>
          <w:sz w:val="22"/>
          <w:szCs w:val="22"/>
        </w:rPr>
        <w:t>The simulator does not model prehospital interventions (fluid boluses, airway management, vasopressors) that would alter the physiological trajectory and are ubiquitous in real transport scenarios.</w:t>
      </w:r>
    </w:p>
    <w:p w14:paraId="20BD2D6E">
      <w:pPr>
        <w:pStyle w:val="16"/>
        <w:keepNext w:val="0"/>
        <w:keepLines w:val="0"/>
        <w:pageBreakBefore w:val="0"/>
        <w:widowControl/>
        <w:kinsoku/>
        <w:wordWrap/>
        <w:overflowPunct/>
        <w:topLinePunct w:val="0"/>
        <w:autoSpaceDE/>
        <w:autoSpaceDN/>
        <w:bidi w:val="0"/>
        <w:adjustRightInd/>
        <w:snapToGrid/>
        <w:spacing w:after="80" w:line="480" w:lineRule="auto"/>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 xml:space="preserve">Fixed onset time: </w:t>
      </w:r>
      <w:r>
        <w:rPr>
          <w:rFonts w:hint="default" w:ascii="Times New Roman" w:hAnsi="Times New Roman" w:cs="Times New Roman"/>
          <w:i w:val="0"/>
          <w:iCs w:val="0"/>
          <w:sz w:val="22"/>
          <w:szCs w:val="22"/>
        </w:rPr>
        <w:t>All TIC-positive episodes have the same drift onset time (</w:t>
      </w:r>
      <m:oMath>
        <m:sSub>
          <m:sSubPr>
            <m:ctrlPr>
              <w:rPr>
                <w:rFonts w:hint="default" w:ascii="Cambria Math" w:hAnsi="Cambria Math" w:eastAsia="var(--ds-font-family-code)"/>
              </w:rPr>
            </m:ctrlPr>
          </m:sSubPr>
          <m:e>
            <m:r>
              <m:rPr/>
              <w:rPr>
                <w:rFonts w:hint="default" w:ascii="Cambria Math" w:hAnsi="Cambria Math" w:eastAsia="var(--ds-font-family-code)"/>
              </w:rPr>
              <m:t>T</m:t>
            </m:r>
            <m:ctrlPr>
              <w:rPr>
                <w:rFonts w:ascii="Cambria Math" w:hAnsi="Cambria Math" w:eastAsia="var(--ds-font-family-code)"/>
              </w:rPr>
            </m:ctrlPr>
          </m:e>
          <m:sub>
            <m:r>
              <m:rPr>
                <m:sty m:val="p"/>
              </m:rPr>
              <w:rPr>
                <w:rFonts w:hint="default" w:ascii="Cambria Math" w:hAnsi="Cambria Math" w:eastAsia="var(--ds-font-family-code)"/>
              </w:rPr>
              <m:t>onset</m:t>
            </m:r>
            <m:ctrlPr>
              <w:rPr>
                <w:rFonts w:ascii="Cambria Math" w:hAnsi="Cambria Math" w:eastAsia="var(--ds-font-family-code)"/>
              </w:rPr>
            </m:ctrlPr>
          </m:sub>
        </m:sSub>
      </m:oMath>
      <w:r>
        <w:rPr>
          <w:rFonts w:hint="default" w:ascii="Times New Roman" w:hAnsi="Times New Roman" w:cs="Times New Roman"/>
          <w:i w:val="0"/>
          <w:iCs w:val="0"/>
          <w:sz w:val="22"/>
          <w:szCs w:val="22"/>
        </w:rPr>
        <w:t xml:space="preserve"> = 300 s). Real patients exhibit highly variable time courses of deterioration.</w:t>
      </w:r>
    </w:p>
    <w:p w14:paraId="374AF763">
      <w:pPr>
        <w:pStyle w:val="16"/>
        <w:keepNext w:val="0"/>
        <w:keepLines w:val="0"/>
        <w:pageBreakBefore w:val="0"/>
        <w:widowControl/>
        <w:kinsoku/>
        <w:wordWrap/>
        <w:overflowPunct/>
        <w:topLinePunct w:val="0"/>
        <w:autoSpaceDE/>
        <w:autoSpaceDN/>
        <w:bidi w:val="0"/>
        <w:adjustRightInd/>
        <w:snapToGrid/>
        <w:spacing w:after="80" w:line="480" w:lineRule="auto"/>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 xml:space="preserve">No demographic heterogeneity: </w:t>
      </w:r>
      <w:r>
        <w:rPr>
          <w:rFonts w:hint="default" w:ascii="Times New Roman" w:hAnsi="Times New Roman" w:cs="Times New Roman"/>
          <w:i w:val="0"/>
          <w:iCs w:val="0"/>
          <w:sz w:val="22"/>
          <w:szCs w:val="22"/>
        </w:rPr>
        <w:t>Age, sex, body habitus, and comorbidities are not modelled.</w:t>
      </w:r>
    </w:p>
    <w:p w14:paraId="26C83037">
      <w:pPr>
        <w:pStyle w:val="16"/>
        <w:keepNext w:val="0"/>
        <w:keepLines w:val="0"/>
        <w:pageBreakBefore w:val="0"/>
        <w:widowControl/>
        <w:kinsoku/>
        <w:wordWrap/>
        <w:overflowPunct/>
        <w:topLinePunct w:val="0"/>
        <w:autoSpaceDE/>
        <w:autoSpaceDN/>
        <w:bidi w:val="0"/>
        <w:adjustRightInd/>
        <w:snapToGrid/>
        <w:spacing w:after="80" w:line="480" w:lineRule="auto"/>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 xml:space="preserve">MCAR missingness only: </w:t>
      </w:r>
      <w:r>
        <w:rPr>
          <w:rFonts w:hint="default" w:ascii="Times New Roman" w:hAnsi="Times New Roman" w:cs="Times New Roman"/>
          <w:i w:val="0"/>
          <w:iCs w:val="0"/>
          <w:sz w:val="22"/>
          <w:szCs w:val="22"/>
        </w:rPr>
        <w:t>The artificial missingness introduced for robustness testing is completely at random (MCAR). Real prehospital signal loss is typically missing not at random (MNAR), carrying independent prognostic information.</w:t>
      </w:r>
    </w:p>
    <w:p w14:paraId="13B343FE">
      <w:pPr>
        <w:keepNext w:val="0"/>
        <w:keepLines w:val="0"/>
        <w:pageBreakBefore w:val="0"/>
        <w:widowControl/>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cs="Times New Roman"/>
          <w:i w:val="0"/>
          <w:iCs w:val="0"/>
          <w:sz w:val="22"/>
          <w:szCs w:val="22"/>
        </w:rPr>
      </w:pPr>
      <w:r>
        <w:rPr>
          <w:rFonts w:hint="default" w:ascii="Times New Roman" w:hAnsi="Times New Roman" w:cs="Times New Roman"/>
          <w:b/>
          <w:i w:val="0"/>
          <w:iCs w:val="0"/>
          <w:sz w:val="22"/>
          <w:szCs w:val="22"/>
        </w:rPr>
        <w:t>S1.7 Reproducibility and Code Availability</w:t>
      </w:r>
    </w:p>
    <w:p w14:paraId="6902C18A">
      <w:pPr>
        <w:keepNext w:val="0"/>
        <w:keepLines w:val="0"/>
        <w:pageBreakBefore w:val="0"/>
        <w:widowControl/>
        <w:kinsoku/>
        <w:wordWrap/>
        <w:overflowPunct/>
        <w:topLinePunct w:val="0"/>
        <w:autoSpaceDE/>
        <w:autoSpaceDN/>
        <w:bidi w:val="0"/>
        <w:adjustRightInd/>
        <w:snapToGrid/>
        <w:spacing w:before="0" w:after="120" w:line="480" w:lineRule="auto"/>
        <w:jc w:val="both"/>
        <w:textAlignment w:val="auto"/>
        <w:rPr>
          <w:rFonts w:hint="default" w:ascii="Times New Roman" w:hAnsi="Times New Roman" w:cs="Times New Roman"/>
          <w:i w:val="0"/>
          <w:iCs w:val="0"/>
          <w:sz w:val="22"/>
          <w:szCs w:val="22"/>
        </w:rPr>
      </w:pPr>
      <w:r>
        <w:rPr>
          <w:rFonts w:hint="default" w:ascii="Times New Roman" w:hAnsi="Times New Roman" w:cs="Times New Roman"/>
          <w:b w:val="0"/>
          <w:i w:val="0"/>
          <w:iCs w:val="0"/>
          <w:sz w:val="22"/>
          <w:szCs w:val="22"/>
        </w:rPr>
        <w:t>The complete OU simulator source code, including all parameter definitions, the Euler–Maruyama solver, artefact injection, and fidelity validation routines, is available at: https://github.com/DoctorLin1990/trauma-former. The relevant file is simulator/ou_generator.py. All random seeds are fixed using numpy.random.seed(42) at the global level, with episode-level seeds set as the global seed plus the episode index to ensure independence. The simulation can be run with a single command:</w:t>
      </w:r>
    </w:p>
    <w:p w14:paraId="50C2AC2A">
      <w:pPr>
        <w:keepNext w:val="0"/>
        <w:keepLines w:val="0"/>
        <w:pageBreakBefore w:val="0"/>
        <w:widowControl/>
        <w:kinsoku/>
        <w:overflowPunct/>
        <w:topLinePunct w:val="0"/>
        <w:autoSpaceDE/>
        <w:autoSpaceDN/>
        <w:bidi w:val="0"/>
        <w:adjustRightInd/>
        <w:spacing w:before="80" w:after="200" w:line="480" w:lineRule="auto"/>
        <w:ind w:left="567"/>
        <w:textAlignment w:val="auto"/>
        <w:rPr>
          <w:rFonts w:hint="default" w:ascii="Courier New" w:hAnsi="Courier New"/>
          <w:sz w:val="22"/>
          <w:szCs w:val="22"/>
        </w:rPr>
      </w:pPr>
      <w:r>
        <w:rPr>
          <w:rFonts w:hint="default" w:ascii="Courier New" w:hAnsi="Courier New"/>
          <w:sz w:val="22"/>
          <w:szCs w:val="22"/>
        </w:rPr>
        <w:t>python simulator/ou_generator.py --n_episodes 1240 --prevalence 0.5 --seed 42 --output data/dev_cohort.pkl</w:t>
      </w:r>
    </w:p>
    <w:sectPr>
      <w:footerReference r:id="rId5" w:type="default"/>
      <w:pgSz w:w="12240" w:h="15840"/>
      <w:pgMar w:top="1417" w:right="1417" w:bottom="1417" w:left="1417" w:header="720" w:footer="720" w:gutter="0"/>
      <w:lnNumType w:countBy="1"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Cambria Math">
    <w:panose1 w:val="02040503050406030204"/>
    <w:charset w:val="00"/>
    <w:family w:val="auto"/>
    <w:pitch w:val="default"/>
    <w:sig w:usb0="E00006FF" w:usb1="420024FF" w:usb2="02000000" w:usb3="00000000" w:csb0="2000019F" w:csb1="00000000"/>
  </w:font>
  <w:font w:name="var(--ds-font-family-cod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Mincho">
    <w:altName w:val="Segoe Print"/>
    <w:panose1 w:val="00000000000000000000"/>
    <w:charset w:val="00"/>
    <w:family w:val="auto"/>
    <w:pitch w:val="default"/>
    <w:sig w:usb0="00000000" w:usb1="00000000" w:usb2="00000000" w:usb3="00000000" w:csb0="00000000" w:csb1="00000000"/>
  </w:font>
  <w:font w:name="ＭＳ 明朝">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F262D">
    <w:pPr>
      <w:pStyle w:val="24"/>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6D50B7">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6D50B7">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10993"/>
    <w:rsid w:val="00AA1D8D"/>
    <w:rsid w:val="00B47730"/>
    <w:rsid w:val="00CB0664"/>
    <w:rsid w:val="00FC693F"/>
    <w:rsid w:val="01842D0A"/>
    <w:rsid w:val="01B3555B"/>
    <w:rsid w:val="02BC3862"/>
    <w:rsid w:val="0347201C"/>
    <w:rsid w:val="051A2E33"/>
    <w:rsid w:val="068428E9"/>
    <w:rsid w:val="12A87EC1"/>
    <w:rsid w:val="152B4878"/>
    <w:rsid w:val="15845E26"/>
    <w:rsid w:val="18EB6BB2"/>
    <w:rsid w:val="190855FC"/>
    <w:rsid w:val="1B176219"/>
    <w:rsid w:val="1C646FED"/>
    <w:rsid w:val="21A3019E"/>
    <w:rsid w:val="22A46395"/>
    <w:rsid w:val="23DF33FD"/>
    <w:rsid w:val="2A4E6BE6"/>
    <w:rsid w:val="2BC5112A"/>
    <w:rsid w:val="2D4A3FED"/>
    <w:rsid w:val="2E514EF7"/>
    <w:rsid w:val="2F405247"/>
    <w:rsid w:val="32216284"/>
    <w:rsid w:val="33D16011"/>
    <w:rsid w:val="36935DFC"/>
    <w:rsid w:val="39E44E71"/>
    <w:rsid w:val="3A4E1088"/>
    <w:rsid w:val="3ADC31DD"/>
    <w:rsid w:val="3BB222F8"/>
    <w:rsid w:val="3CD817E2"/>
    <w:rsid w:val="3D736B84"/>
    <w:rsid w:val="3F1C5511"/>
    <w:rsid w:val="3F400D9C"/>
    <w:rsid w:val="422728BD"/>
    <w:rsid w:val="46117980"/>
    <w:rsid w:val="48013092"/>
    <w:rsid w:val="4E75016C"/>
    <w:rsid w:val="54014B46"/>
    <w:rsid w:val="5955296B"/>
    <w:rsid w:val="5A7F5187"/>
    <w:rsid w:val="5B637E94"/>
    <w:rsid w:val="5B8A693E"/>
    <w:rsid w:val="5F465B03"/>
    <w:rsid w:val="617556F4"/>
    <w:rsid w:val="62DE6052"/>
    <w:rsid w:val="62F92E8C"/>
    <w:rsid w:val="6429480B"/>
    <w:rsid w:val="65841133"/>
    <w:rsid w:val="65C15EE3"/>
    <w:rsid w:val="66992586"/>
    <w:rsid w:val="67F500C6"/>
    <w:rsid w:val="684B396E"/>
    <w:rsid w:val="68A85138"/>
    <w:rsid w:val="6907567E"/>
    <w:rsid w:val="69E268E0"/>
    <w:rsid w:val="6E437F76"/>
    <w:rsid w:val="6E677844"/>
    <w:rsid w:val="6EF957F8"/>
    <w:rsid w:val="70A82C64"/>
    <w:rsid w:val="717A5E2C"/>
    <w:rsid w:val="718C3394"/>
    <w:rsid w:val="73403856"/>
    <w:rsid w:val="77277B70"/>
    <w:rsid w:val="77416E84"/>
    <w:rsid w:val="7A86105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948</Words>
  <Characters>4891</Characters>
  <Lines>0</Lines>
  <Paragraphs>0</Paragraphs>
  <TotalTime>155</TotalTime>
  <ScaleCrop>false</ScaleCrop>
  <LinksUpToDate>false</LinksUpToDate>
  <CharactersWithSpaces>5613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日行一善</cp:lastModifiedBy>
  <dcterms:modified xsi:type="dcterms:W3CDTF">2026-05-17T16:24:29Z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eyJoZGlkIjoiYmU4MTc0MjQ3ZGU5Mzk5MmJmNjMzMzIwOWMwNjU4NzkiLCJ1c2VySWQiOiI2MTAyOTI3MjYifQ==</vt:lpwstr>
  </property>
  <property fmtid="{D5CDD505-2E9C-101B-9397-08002B2CF9AE}" pid="3" name="KSOProductBuildVer">
    <vt:lpwstr>2052-12.1.0.25865</vt:lpwstr>
  </property>
  <property fmtid="{D5CDD505-2E9C-101B-9397-08002B2CF9AE}" pid="4" name="ICV">
    <vt:lpwstr>D7D298B969544F1997B542FE256E150A_12</vt:lpwstr>
  </property>
</Properties>
</file>