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64B" w:rsidRPr="0079104A" w:rsidRDefault="007E6819" w:rsidP="0079104A">
      <w:pPr>
        <w:pStyle w:val="Caption"/>
        <w:keepNext/>
        <w:shd w:val="clear" w:color="auto" w:fill="FFFFFF" w:themeFill="background1"/>
        <w:spacing w:after="0"/>
        <w:rPr>
          <w:i w:val="0"/>
          <w:color w:val="auto"/>
          <w:sz w:val="24"/>
          <w:szCs w:val="24"/>
        </w:rPr>
      </w:pPr>
      <w:r w:rsidRPr="0079104A">
        <w:rPr>
          <w:i w:val="0"/>
          <w:color w:val="auto"/>
          <w:sz w:val="24"/>
          <w:szCs w:val="24"/>
        </w:rPr>
        <w:t>SUMMARY OF THE SURVEY FINDINGS</w:t>
      </w:r>
    </w:p>
    <w:tbl>
      <w:tblPr>
        <w:tblW w:w="15593" w:type="dxa"/>
        <w:tblInd w:w="-709" w:type="dxa"/>
        <w:tblBorders>
          <w:insideH w:val="single" w:sz="4" w:space="0" w:color="auto"/>
        </w:tblBorders>
        <w:tblLayout w:type="fixed"/>
        <w:tblLook w:val="04A0" w:firstRow="1" w:lastRow="0" w:firstColumn="1" w:lastColumn="0" w:noHBand="0" w:noVBand="1"/>
      </w:tblPr>
      <w:tblGrid>
        <w:gridCol w:w="1418"/>
        <w:gridCol w:w="1701"/>
        <w:gridCol w:w="1520"/>
        <w:gridCol w:w="3114"/>
        <w:gridCol w:w="2698"/>
        <w:gridCol w:w="5142"/>
      </w:tblGrid>
      <w:tr w:rsidR="003E334D" w:rsidRPr="0079104A" w:rsidTr="006E7967">
        <w:trPr>
          <w:tblHeader/>
        </w:trPr>
        <w:tc>
          <w:tcPr>
            <w:tcW w:w="1418" w:type="dxa"/>
            <w:tcBorders>
              <w:top w:val="single" w:sz="4" w:space="0" w:color="auto"/>
              <w:bottom w:val="single" w:sz="4" w:space="0" w:color="auto"/>
            </w:tcBorders>
            <w:shd w:val="clear" w:color="auto" w:fill="FFFFFF" w:themeFill="background1"/>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b/>
                <w:sz w:val="20"/>
                <w:szCs w:val="20"/>
              </w:rPr>
            </w:pPr>
          </w:p>
        </w:tc>
        <w:tc>
          <w:tcPr>
            <w:tcW w:w="1701" w:type="dxa"/>
            <w:tcBorders>
              <w:top w:val="single" w:sz="4" w:space="0" w:color="auto"/>
              <w:bottom w:val="single" w:sz="4" w:space="0" w:color="auto"/>
            </w:tcBorders>
            <w:shd w:val="clear" w:color="auto" w:fill="FFFFFF" w:themeFill="background1"/>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b/>
                <w:sz w:val="20"/>
                <w:szCs w:val="20"/>
              </w:rPr>
            </w:pPr>
            <w:r w:rsidRPr="0079104A">
              <w:rPr>
                <w:rFonts w:eastAsia="Calibri"/>
                <w:b/>
                <w:sz w:val="20"/>
                <w:szCs w:val="20"/>
              </w:rPr>
              <w:t>Topic</w:t>
            </w:r>
          </w:p>
        </w:tc>
        <w:tc>
          <w:tcPr>
            <w:tcW w:w="1520" w:type="dxa"/>
            <w:tcBorders>
              <w:top w:val="single" w:sz="4" w:space="0" w:color="auto"/>
              <w:bottom w:val="single" w:sz="4" w:space="0" w:color="auto"/>
            </w:tcBorders>
            <w:shd w:val="clear" w:color="auto" w:fill="FFFFFF" w:themeFill="background1"/>
            <w:hideMark/>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b/>
                <w:sz w:val="20"/>
                <w:szCs w:val="20"/>
              </w:rPr>
            </w:pPr>
            <w:r w:rsidRPr="0079104A">
              <w:rPr>
                <w:rFonts w:eastAsia="Calibri"/>
                <w:b/>
                <w:sz w:val="20"/>
                <w:szCs w:val="20"/>
              </w:rPr>
              <w:t>Author &amp; Reference</w:t>
            </w:r>
          </w:p>
        </w:tc>
        <w:tc>
          <w:tcPr>
            <w:tcW w:w="3114" w:type="dxa"/>
            <w:tcBorders>
              <w:top w:val="single" w:sz="4" w:space="0" w:color="auto"/>
              <w:bottom w:val="single" w:sz="4" w:space="0" w:color="auto"/>
            </w:tcBorders>
            <w:shd w:val="clear" w:color="auto" w:fill="FFFFFF" w:themeFill="background1"/>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b/>
                <w:sz w:val="20"/>
                <w:szCs w:val="20"/>
              </w:rPr>
            </w:pPr>
            <w:r w:rsidRPr="0079104A">
              <w:rPr>
                <w:rFonts w:eastAsia="Calibri"/>
                <w:b/>
                <w:sz w:val="20"/>
                <w:szCs w:val="20"/>
              </w:rPr>
              <w:t>Aim</w:t>
            </w:r>
          </w:p>
        </w:tc>
        <w:tc>
          <w:tcPr>
            <w:tcW w:w="2698" w:type="dxa"/>
            <w:tcBorders>
              <w:top w:val="single" w:sz="4" w:space="0" w:color="auto"/>
              <w:bottom w:val="single" w:sz="4" w:space="0" w:color="auto"/>
            </w:tcBorders>
            <w:shd w:val="clear" w:color="auto" w:fill="FFFFFF" w:themeFill="background1"/>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b/>
                <w:sz w:val="20"/>
                <w:szCs w:val="20"/>
              </w:rPr>
            </w:pPr>
            <w:r w:rsidRPr="0079104A">
              <w:rPr>
                <w:rFonts w:eastAsia="Calibri"/>
                <w:b/>
                <w:sz w:val="20"/>
                <w:szCs w:val="20"/>
              </w:rPr>
              <w:t xml:space="preserve">Participants </w:t>
            </w:r>
          </w:p>
        </w:tc>
        <w:tc>
          <w:tcPr>
            <w:tcW w:w="5142" w:type="dxa"/>
            <w:tcBorders>
              <w:top w:val="single" w:sz="4" w:space="0" w:color="auto"/>
              <w:bottom w:val="single" w:sz="4" w:space="0" w:color="auto"/>
            </w:tcBorders>
            <w:shd w:val="clear" w:color="auto" w:fill="FFFFFF" w:themeFill="background1"/>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b/>
                <w:sz w:val="20"/>
                <w:szCs w:val="20"/>
              </w:rPr>
            </w:pPr>
            <w:r w:rsidRPr="0079104A">
              <w:rPr>
                <w:rFonts w:eastAsia="Calibri"/>
                <w:b/>
                <w:sz w:val="20"/>
                <w:szCs w:val="20"/>
              </w:rPr>
              <w:t>Summary of the Findings Relevant to Insulin Treated T2DM</w:t>
            </w:r>
          </w:p>
        </w:tc>
      </w:tr>
      <w:tr w:rsidR="006E7967" w:rsidRPr="0079104A" w:rsidTr="006E7967">
        <w:tc>
          <w:tcPr>
            <w:tcW w:w="1418" w:type="dxa"/>
            <w:tcBorders>
              <w:top w:val="single" w:sz="4" w:space="0" w:color="auto"/>
              <w:bottom w:val="nil"/>
            </w:tcBorders>
          </w:tcPr>
          <w:p w:rsidR="006E7967" w:rsidRPr="0079104A" w:rsidRDefault="006E7967"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Borders>
              <w:top w:val="single" w:sz="4" w:space="0" w:color="auto"/>
              <w:bottom w:val="nil"/>
            </w:tcBorders>
          </w:tcPr>
          <w:p w:rsidR="006E7967" w:rsidRPr="0079104A" w:rsidRDefault="006E7967"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520" w:type="dxa"/>
            <w:tcBorders>
              <w:top w:val="single" w:sz="4" w:space="0" w:color="auto"/>
              <w:bottom w:val="nil"/>
            </w:tcBorders>
          </w:tcPr>
          <w:p w:rsidR="006E7967" w:rsidRPr="0079104A" w:rsidRDefault="006E7967"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top w:val="single" w:sz="4" w:space="0" w:color="auto"/>
              <w:bottom w:val="nil"/>
            </w:tcBorders>
          </w:tcPr>
          <w:p w:rsidR="006E7967" w:rsidRPr="0079104A" w:rsidRDefault="006E7967"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top w:val="single" w:sz="4" w:space="0" w:color="auto"/>
              <w:bottom w:val="nil"/>
            </w:tcBorders>
          </w:tcPr>
          <w:p w:rsidR="006E7967" w:rsidRPr="0079104A" w:rsidRDefault="006E7967"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top w:val="single" w:sz="4" w:space="0" w:color="auto"/>
              <w:bottom w:val="nil"/>
            </w:tcBorders>
          </w:tcPr>
          <w:p w:rsidR="006E7967" w:rsidRPr="0079104A" w:rsidRDefault="006E7967" w:rsidP="006E7967">
            <w:pPr>
              <w:pStyle w:val="Table"/>
              <w:shd w:val="clear" w:color="auto" w:fill="FFFFFF" w:themeFill="background1"/>
              <w:spacing w:line="276" w:lineRule="auto"/>
              <w:rPr>
                <w:rFonts w:ascii="Arial" w:hAnsi="Arial" w:cs="Arial"/>
                <w:sz w:val="20"/>
                <w:szCs w:val="20"/>
              </w:rPr>
            </w:pPr>
          </w:p>
        </w:tc>
      </w:tr>
      <w:tr w:rsidR="003E334D" w:rsidRPr="0079104A" w:rsidTr="006E7967">
        <w:tc>
          <w:tcPr>
            <w:tcW w:w="1418" w:type="dxa"/>
            <w:tcBorders>
              <w:top w:val="nil"/>
              <w:bottom w:val="nil"/>
            </w:tcBorders>
          </w:tcPr>
          <w:p w:rsidR="003E334D" w:rsidRPr="0079104A" w:rsidRDefault="00706C8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PATIENTS ONLY</w:t>
            </w:r>
          </w:p>
        </w:tc>
        <w:tc>
          <w:tcPr>
            <w:tcW w:w="1701" w:type="dxa"/>
            <w:tcBorders>
              <w:top w:val="nil"/>
            </w:tcBorders>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Hypoglycaemia</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shd w:val="clear" w:color="auto" w:fill="FFFFFF" w:themeFill="background1"/>
              <w:spacing w:line="276" w:lineRule="auto"/>
              <w:jc w:val="left"/>
              <w:rPr>
                <w:rFonts w:eastAsia="Calibri"/>
                <w:sz w:val="20"/>
                <w:szCs w:val="20"/>
              </w:rPr>
            </w:pPr>
          </w:p>
        </w:tc>
        <w:tc>
          <w:tcPr>
            <w:tcW w:w="1520" w:type="dxa"/>
            <w:tcBorders>
              <w:top w:val="nil"/>
            </w:tcBorders>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Brod</w:t>
            </w:r>
            <w:proofErr w:type="spellEnd"/>
            <w:r w:rsidRPr="0079104A">
              <w:rPr>
                <w:rFonts w:eastAsia="Calibri"/>
                <w:sz w:val="20"/>
                <w:szCs w:val="20"/>
              </w:rPr>
              <w:t xml:space="preserve"> </w:t>
            </w:r>
            <w:r w:rsidR="00405072">
              <w:rPr>
                <w:rFonts w:eastAsia="Calibri"/>
                <w:sz w:val="20"/>
                <w:szCs w:val="20"/>
              </w:rPr>
              <w:t>[51]</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rFonts w:eastAsia="Calibri"/>
                <w:sz w:val="20"/>
                <w:szCs w:val="20"/>
                <w:lang w:val="en-US"/>
              </w:rPr>
            </w:pPr>
          </w:p>
        </w:tc>
        <w:tc>
          <w:tcPr>
            <w:tcW w:w="3114" w:type="dxa"/>
            <w:tcBorders>
              <w:top w:val="nil"/>
            </w:tcBorders>
          </w:tcPr>
          <w:p w:rsidR="003E334D" w:rsidRPr="0079104A" w:rsidRDefault="003E334D" w:rsidP="006E7967">
            <w:pPr>
              <w:widowControl w:val="0"/>
              <w:shd w:val="clear" w:color="auto" w:fill="FFFFFF" w:themeFill="background1"/>
              <w:autoSpaceDE w:val="0"/>
              <w:autoSpaceDN w:val="0"/>
              <w:adjustRightInd w:val="0"/>
              <w:spacing w:line="276" w:lineRule="auto"/>
              <w:jc w:val="left"/>
              <w:rPr>
                <w:sz w:val="20"/>
                <w:szCs w:val="20"/>
              </w:rPr>
            </w:pPr>
            <w:r w:rsidRPr="0079104A">
              <w:rPr>
                <w:rFonts w:eastAsia="Calibri"/>
                <w:sz w:val="20"/>
                <w:szCs w:val="20"/>
              </w:rPr>
              <w:t>To determine how non-severe nocturnal hypoglycaemic events (NSNHEs) affect diabetes management, sleep quality, functioning, and to assess if these impacts differ by diabetes type or country.</w:t>
            </w:r>
          </w:p>
        </w:tc>
        <w:tc>
          <w:tcPr>
            <w:tcW w:w="2698" w:type="dxa"/>
            <w:tcBorders>
              <w:top w:val="nil"/>
            </w:tcBorders>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T1DM and T2DM patients (n=1086) who experienced NSNHE in the last month:</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T1DM (n=676)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Non-Insulin T2DM (n=124) </w:t>
            </w:r>
          </w:p>
          <w:p w:rsidR="003E334D" w:rsidRPr="0079104A" w:rsidRDefault="003E334D" w:rsidP="006E7967">
            <w:pPr>
              <w:widowControl w:val="0"/>
              <w:shd w:val="clear" w:color="auto" w:fill="FFFFFF" w:themeFill="background1"/>
              <w:autoSpaceDE w:val="0"/>
              <w:autoSpaceDN w:val="0"/>
              <w:adjustRightInd w:val="0"/>
              <w:spacing w:line="276" w:lineRule="auto"/>
              <w:jc w:val="left"/>
              <w:rPr>
                <w:sz w:val="20"/>
                <w:szCs w:val="20"/>
                <w:lang w:eastAsia="en-GB"/>
              </w:rPr>
            </w:pPr>
            <w:r w:rsidRPr="0079104A">
              <w:rPr>
                <w:rFonts w:eastAsia="Calibri"/>
                <w:sz w:val="20"/>
                <w:szCs w:val="20"/>
              </w:rPr>
              <w:t>Insulin T2DM (n=286)</w:t>
            </w:r>
          </w:p>
        </w:tc>
        <w:tc>
          <w:tcPr>
            <w:tcW w:w="5142" w:type="dxa"/>
            <w:tcBorders>
              <w:top w:val="nil"/>
            </w:tcBorders>
          </w:tcPr>
          <w:p w:rsidR="003E334D" w:rsidRPr="0079104A" w:rsidRDefault="003E334D" w:rsidP="006E7967">
            <w:pPr>
              <w:pStyle w:val="Table"/>
              <w:numPr>
                <w:ilvl w:val="0"/>
                <w:numId w:val="4"/>
              </w:numPr>
              <w:shd w:val="clear" w:color="auto" w:fill="FFFFFF" w:themeFill="background1"/>
              <w:spacing w:line="276" w:lineRule="auto"/>
              <w:rPr>
                <w:rFonts w:ascii="Arial" w:hAnsi="Arial" w:cs="Arial"/>
                <w:sz w:val="20"/>
                <w:szCs w:val="20"/>
              </w:rPr>
            </w:pPr>
            <w:r w:rsidRPr="0079104A">
              <w:rPr>
                <w:rFonts w:ascii="Arial" w:hAnsi="Arial" w:cs="Arial"/>
                <w:sz w:val="20"/>
                <w:szCs w:val="20"/>
              </w:rPr>
              <w:t>Of 1,086 respondents experiencing ≥1 NSNHE whilst asleep at night, 38.9% (n=422) reported experiencing their most recent NSNHE in the past week, 30.5% in the last 2 weeks, and 30.7% reported experiencing their NSNHE in the last month, but more than 2 weeks prior.</w:t>
            </w:r>
          </w:p>
          <w:p w:rsidR="00617B21" w:rsidRPr="0079104A" w:rsidRDefault="00617B21" w:rsidP="006E7967">
            <w:pPr>
              <w:pStyle w:val="ListParagraph"/>
              <w:numPr>
                <w:ilvl w:val="0"/>
                <w:numId w:val="4"/>
              </w:numPr>
              <w:shd w:val="clear" w:color="auto" w:fill="FFFFFF" w:themeFill="background1"/>
              <w:autoSpaceDE w:val="0"/>
              <w:autoSpaceDN w:val="0"/>
              <w:adjustRightInd w:val="0"/>
              <w:spacing w:line="276" w:lineRule="auto"/>
              <w:jc w:val="left"/>
              <w:rPr>
                <w:sz w:val="20"/>
                <w:szCs w:val="20"/>
              </w:rPr>
            </w:pPr>
            <w:bookmarkStart w:id="0" w:name="_Hlk501202770"/>
            <w:r w:rsidRPr="0079104A">
              <w:rPr>
                <w:sz w:val="20"/>
                <w:szCs w:val="20"/>
              </w:rPr>
              <w:t>T2DM respondents required significantly more time than T1DM to recognize and respond to the event (1.5 vs 1.1 hours), 25.7% (T1DM),</w:t>
            </w:r>
          </w:p>
          <w:bookmarkEnd w:id="0"/>
          <w:p w:rsidR="003E334D" w:rsidRPr="0079104A" w:rsidRDefault="003E334D" w:rsidP="006E7967">
            <w:pPr>
              <w:pStyle w:val="ListParagraph"/>
              <w:numPr>
                <w:ilvl w:val="0"/>
                <w:numId w:val="4"/>
              </w:numPr>
              <w:shd w:val="clear" w:color="auto" w:fill="FFFFFF" w:themeFill="background1"/>
              <w:autoSpaceDE w:val="0"/>
              <w:autoSpaceDN w:val="0"/>
              <w:adjustRightInd w:val="0"/>
              <w:spacing w:line="276" w:lineRule="auto"/>
              <w:jc w:val="left"/>
              <w:rPr>
                <w:sz w:val="20"/>
                <w:szCs w:val="20"/>
              </w:rPr>
            </w:pPr>
            <w:r w:rsidRPr="0079104A">
              <w:rPr>
                <w:sz w:val="20"/>
                <w:szCs w:val="20"/>
              </w:rPr>
              <w:t>NSNHEs were associated with a substantial impact on diabetes management, sleep quality, and next-day functioning</w:t>
            </w:r>
          </w:p>
        </w:tc>
      </w:tr>
      <w:tr w:rsidR="003E334D" w:rsidRPr="0079104A" w:rsidTr="0019158C">
        <w:tc>
          <w:tcPr>
            <w:tcW w:w="1418" w:type="dxa"/>
            <w:tcBorders>
              <w:top w:val="nil"/>
              <w:bottom w:val="nil"/>
            </w:tcBorders>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Hypoglycaemia</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shd w:val="clear" w:color="auto" w:fill="FFFFFF" w:themeFill="background1"/>
              <w:spacing w:line="276" w:lineRule="auto"/>
              <w:jc w:val="left"/>
              <w:rPr>
                <w:rFonts w:eastAsia="Calibri"/>
                <w:sz w:val="20"/>
                <w:szCs w:val="20"/>
              </w:rPr>
            </w:pPr>
          </w:p>
        </w:tc>
        <w:tc>
          <w:tcPr>
            <w:tcW w:w="1520"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Brod</w:t>
            </w:r>
            <w:proofErr w:type="spellEnd"/>
            <w:r w:rsidRPr="0079104A">
              <w:rPr>
                <w:rFonts w:eastAsia="Calibri"/>
                <w:sz w:val="20"/>
                <w:szCs w:val="20"/>
              </w:rPr>
              <w:t xml:space="preserve"> [</w:t>
            </w:r>
            <w:r w:rsidR="00405072">
              <w:rPr>
                <w:rFonts w:eastAsia="Calibri"/>
                <w:sz w:val="20"/>
                <w:szCs w:val="20"/>
              </w:rPr>
              <w:t>54]</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explore the burden and impact of NSNHEs on diabetes management, patient monitoring and well-being to better understand the role NSNHEs play in caring for people with diabetes and to facilitate optimal diabetes treatment strategies.</w:t>
            </w:r>
          </w:p>
        </w:tc>
        <w:tc>
          <w:tcPr>
            <w:tcW w:w="2698"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Patients (n=2,108) with: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T1DM or T2DM.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T1DM (n=692)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Non-insulin T2DM (n=543)</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(n=873)</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ascii="Times New Roman" w:eastAsia="Calibri" w:hAnsi="Times New Roman" w:cs="Times New Roman"/>
                <w:sz w:val="20"/>
                <w:szCs w:val="20"/>
              </w:rPr>
            </w:pPr>
          </w:p>
        </w:tc>
        <w:tc>
          <w:tcPr>
            <w:tcW w:w="5142" w:type="dxa"/>
          </w:tcPr>
          <w:p w:rsidR="003E334D" w:rsidRPr="0079104A" w:rsidRDefault="003E334D" w:rsidP="006E7967">
            <w:pPr>
              <w:pStyle w:val="Table"/>
              <w:numPr>
                <w:ilvl w:val="0"/>
                <w:numId w:val="5"/>
              </w:numPr>
              <w:shd w:val="clear" w:color="auto" w:fill="FFFFFF" w:themeFill="background1"/>
              <w:spacing w:line="276" w:lineRule="auto"/>
              <w:rPr>
                <w:rFonts w:ascii="Arial" w:hAnsi="Arial" w:cs="Arial"/>
                <w:sz w:val="20"/>
                <w:szCs w:val="20"/>
              </w:rPr>
            </w:pPr>
            <w:r w:rsidRPr="0079104A">
              <w:rPr>
                <w:rFonts w:ascii="Arial" w:hAnsi="Arial" w:cs="Arial"/>
                <w:sz w:val="20"/>
                <w:szCs w:val="20"/>
              </w:rPr>
              <w:t>NSNHEs have serious consequences for patients including affecting sleep, next day functioning, driving, and reduced well-being.</w:t>
            </w:r>
          </w:p>
          <w:p w:rsidR="003E334D" w:rsidRPr="0079104A" w:rsidRDefault="003E334D" w:rsidP="006E7967">
            <w:pPr>
              <w:pStyle w:val="Table"/>
              <w:numPr>
                <w:ilvl w:val="0"/>
                <w:numId w:val="5"/>
              </w:numPr>
              <w:shd w:val="clear" w:color="auto" w:fill="FFFFFF" w:themeFill="background1"/>
              <w:spacing w:line="276" w:lineRule="auto"/>
              <w:rPr>
                <w:rFonts w:ascii="Arial" w:hAnsi="Arial" w:cs="Arial"/>
                <w:sz w:val="20"/>
                <w:szCs w:val="20"/>
              </w:rPr>
            </w:pPr>
            <w:r w:rsidRPr="0079104A">
              <w:rPr>
                <w:rFonts w:ascii="Arial" w:hAnsi="Arial" w:cs="Arial"/>
                <w:sz w:val="20"/>
                <w:szCs w:val="20"/>
              </w:rPr>
              <w:t>Participants were late or absent for work, missed a meeting or work appointment, or had not finished a task on time.</w:t>
            </w:r>
          </w:p>
          <w:p w:rsidR="003E334D" w:rsidRPr="0079104A" w:rsidRDefault="003E334D" w:rsidP="006E7967">
            <w:pPr>
              <w:pStyle w:val="Table"/>
              <w:numPr>
                <w:ilvl w:val="0"/>
                <w:numId w:val="5"/>
              </w:numPr>
              <w:shd w:val="clear" w:color="auto" w:fill="FFFFFF" w:themeFill="background1"/>
              <w:spacing w:line="276" w:lineRule="auto"/>
              <w:rPr>
                <w:rFonts w:ascii="Arial" w:hAnsi="Arial" w:cs="Arial"/>
                <w:sz w:val="20"/>
                <w:szCs w:val="20"/>
              </w:rPr>
            </w:pPr>
            <w:r w:rsidRPr="0079104A">
              <w:rPr>
                <w:rFonts w:ascii="Arial" w:hAnsi="Arial" w:cs="Arial"/>
                <w:sz w:val="20"/>
                <w:szCs w:val="20"/>
              </w:rPr>
              <w:t>All were likely to take additional SMBG and decreased their insulin dose.</w:t>
            </w:r>
          </w:p>
        </w:tc>
      </w:tr>
      <w:tr w:rsidR="003E334D" w:rsidRPr="0079104A" w:rsidTr="0019158C">
        <w:tc>
          <w:tcPr>
            <w:tcW w:w="1418" w:type="dxa"/>
            <w:tcBorders>
              <w:top w:val="nil"/>
              <w:bottom w:val="nil"/>
            </w:tcBorders>
          </w:tcPr>
          <w:p w:rsidR="003E334D" w:rsidRPr="0079104A" w:rsidRDefault="003E334D" w:rsidP="006E7967">
            <w:pPr>
              <w:shd w:val="clear" w:color="auto" w:fill="FFFFFF" w:themeFill="background1"/>
              <w:spacing w:line="276" w:lineRule="auto"/>
              <w:jc w:val="left"/>
              <w:rPr>
                <w:sz w:val="20"/>
                <w:szCs w:val="20"/>
              </w:rPr>
            </w:pPr>
          </w:p>
        </w:tc>
        <w:tc>
          <w:tcPr>
            <w:tcW w:w="1701" w:type="dxa"/>
          </w:tcPr>
          <w:p w:rsidR="003E334D" w:rsidRPr="0079104A" w:rsidRDefault="003E334D" w:rsidP="006E7967">
            <w:pPr>
              <w:shd w:val="clear" w:color="auto" w:fill="FFFFFF" w:themeFill="background1"/>
              <w:spacing w:line="276" w:lineRule="auto"/>
              <w:jc w:val="left"/>
              <w:rPr>
                <w:sz w:val="20"/>
                <w:szCs w:val="20"/>
              </w:rPr>
            </w:pPr>
            <w:r w:rsidRPr="0079104A">
              <w:rPr>
                <w:sz w:val="20"/>
                <w:szCs w:val="20"/>
              </w:rPr>
              <w:t xml:space="preserve">Hypoglycaemia </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tc>
        <w:tc>
          <w:tcPr>
            <w:tcW w:w="1520" w:type="dxa"/>
          </w:tcPr>
          <w:p w:rsidR="003E334D" w:rsidRPr="0079104A" w:rsidRDefault="003E334D" w:rsidP="006E7967">
            <w:pPr>
              <w:shd w:val="clear" w:color="auto" w:fill="FFFFFF" w:themeFill="background1"/>
              <w:spacing w:line="276" w:lineRule="auto"/>
              <w:jc w:val="left"/>
              <w:rPr>
                <w:sz w:val="20"/>
                <w:szCs w:val="20"/>
              </w:rPr>
            </w:pPr>
            <w:proofErr w:type="spellStart"/>
            <w:r w:rsidRPr="0079104A">
              <w:rPr>
                <w:sz w:val="20"/>
                <w:szCs w:val="20"/>
              </w:rPr>
              <w:t>Diago-Cabezudo</w:t>
            </w:r>
            <w:proofErr w:type="spellEnd"/>
            <w:r w:rsidR="00405072">
              <w:rPr>
                <w:sz w:val="20"/>
                <w:szCs w:val="20"/>
              </w:rPr>
              <w:t xml:space="preserve"> [57]</w:t>
            </w:r>
            <w:r w:rsidRPr="0079104A">
              <w:rPr>
                <w:sz w:val="20"/>
                <w:szCs w:val="20"/>
              </w:rPr>
              <w:t xml:space="preserve">  </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tc>
        <w:tc>
          <w:tcPr>
            <w:tcW w:w="3114"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evaluate the effects of hypoglycaemia on the lives of patients with DM and determine if SMBG to prevent hypoglycaemic is an appealing and widely accepted concept.</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Insulin treated patients (n=1,848)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T1DM (n=924)</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(n=924)</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                                                                  </w:t>
            </w:r>
          </w:p>
        </w:tc>
        <w:tc>
          <w:tcPr>
            <w:tcW w:w="5142" w:type="dxa"/>
          </w:tcPr>
          <w:p w:rsidR="003E334D" w:rsidRPr="0079104A" w:rsidRDefault="003E334D" w:rsidP="006E7967">
            <w:pPr>
              <w:pStyle w:val="Table"/>
              <w:numPr>
                <w:ilvl w:val="0"/>
                <w:numId w:val="7"/>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Approximately 1/3 of patients were not always able to recognize symptoms of hypoglycaemia when having an episode, about 1/4 had no warning signs. </w:t>
            </w:r>
          </w:p>
          <w:p w:rsidR="003E334D" w:rsidRPr="0079104A" w:rsidRDefault="003E334D" w:rsidP="006E7967">
            <w:pPr>
              <w:pStyle w:val="Table"/>
              <w:numPr>
                <w:ilvl w:val="0"/>
                <w:numId w:val="7"/>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37% tended to maintain their blood glucose levels above physician recommended levels to help avoid hypoglycaemia. </w:t>
            </w:r>
          </w:p>
          <w:p w:rsidR="003E334D" w:rsidRPr="0079104A" w:rsidRDefault="003E334D" w:rsidP="006E7967">
            <w:pPr>
              <w:pStyle w:val="Table"/>
              <w:numPr>
                <w:ilvl w:val="0"/>
                <w:numId w:val="7"/>
              </w:numPr>
              <w:shd w:val="clear" w:color="auto" w:fill="FFFFFF" w:themeFill="background1"/>
              <w:spacing w:line="276" w:lineRule="auto"/>
              <w:rPr>
                <w:sz w:val="20"/>
                <w:szCs w:val="20"/>
              </w:rPr>
            </w:pPr>
            <w:r w:rsidRPr="0079104A">
              <w:rPr>
                <w:rFonts w:ascii="Arial" w:hAnsi="Arial" w:cs="Arial"/>
                <w:sz w:val="20"/>
                <w:szCs w:val="20"/>
              </w:rPr>
              <w:t>80% said they would value a meter that provides high or low glucose warnings at specific time points during the day.</w:t>
            </w:r>
          </w:p>
          <w:p w:rsidR="003E334D" w:rsidRPr="0079104A" w:rsidRDefault="003E334D" w:rsidP="006E7967">
            <w:pPr>
              <w:pStyle w:val="Table"/>
              <w:numPr>
                <w:ilvl w:val="0"/>
                <w:numId w:val="7"/>
              </w:numPr>
              <w:shd w:val="clear" w:color="auto" w:fill="FFFFFF" w:themeFill="background1"/>
              <w:spacing w:line="276" w:lineRule="auto"/>
              <w:rPr>
                <w:rFonts w:ascii="Arial" w:hAnsi="Arial" w:cs="Arial"/>
                <w:sz w:val="20"/>
                <w:szCs w:val="20"/>
              </w:rPr>
            </w:pPr>
            <w:r w:rsidRPr="0079104A">
              <w:rPr>
                <w:rFonts w:ascii="Arial" w:hAnsi="Arial" w:cs="Arial"/>
                <w:sz w:val="20"/>
                <w:szCs w:val="20"/>
              </w:rPr>
              <w:lastRenderedPageBreak/>
              <w:t>Overall, people with T1DM and insulin-treated T2DM had a positive perception about and were keen to adopt tools designed to facilitate the identification, management and prevention of hypoglycaemia while helping to avoid hyperglycaemia and an increased risk of diabetic complications.</w:t>
            </w:r>
          </w:p>
        </w:tc>
      </w:tr>
      <w:tr w:rsidR="003E334D" w:rsidRPr="0079104A" w:rsidTr="0019158C">
        <w:tc>
          <w:tcPr>
            <w:tcW w:w="1418" w:type="dxa"/>
            <w:tcBorders>
              <w:top w:val="nil"/>
              <w:bottom w:val="nil"/>
            </w:tcBorders>
          </w:tcPr>
          <w:p w:rsidR="003E334D" w:rsidRPr="0079104A" w:rsidRDefault="003E334D" w:rsidP="006E7967">
            <w:pPr>
              <w:shd w:val="clear" w:color="auto" w:fill="FFFFFF" w:themeFill="background1"/>
              <w:spacing w:line="276" w:lineRule="auto"/>
              <w:jc w:val="left"/>
              <w:rPr>
                <w:sz w:val="20"/>
                <w:szCs w:val="20"/>
              </w:rPr>
            </w:pPr>
          </w:p>
        </w:tc>
        <w:tc>
          <w:tcPr>
            <w:tcW w:w="1701" w:type="dxa"/>
          </w:tcPr>
          <w:p w:rsidR="003E334D" w:rsidRPr="0079104A" w:rsidRDefault="003E334D" w:rsidP="006E7967">
            <w:pPr>
              <w:shd w:val="clear" w:color="auto" w:fill="FFFFFF" w:themeFill="background1"/>
              <w:spacing w:line="276" w:lineRule="auto"/>
              <w:jc w:val="left"/>
              <w:rPr>
                <w:sz w:val="20"/>
                <w:szCs w:val="20"/>
              </w:rPr>
            </w:pPr>
            <w:r w:rsidRPr="0079104A">
              <w:rPr>
                <w:sz w:val="20"/>
                <w:szCs w:val="20"/>
              </w:rPr>
              <w:t>Hypoglycaemia</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tc>
        <w:tc>
          <w:tcPr>
            <w:tcW w:w="1520" w:type="dxa"/>
          </w:tcPr>
          <w:p w:rsidR="003E334D" w:rsidRPr="0079104A" w:rsidRDefault="003E334D" w:rsidP="006E7967">
            <w:pPr>
              <w:shd w:val="clear" w:color="auto" w:fill="FFFFFF" w:themeFill="background1"/>
              <w:spacing w:line="276" w:lineRule="auto"/>
              <w:jc w:val="left"/>
              <w:rPr>
                <w:rFonts w:eastAsia="Calibri"/>
                <w:sz w:val="20"/>
                <w:szCs w:val="20"/>
              </w:rPr>
            </w:pPr>
            <w:r w:rsidRPr="0079104A">
              <w:rPr>
                <w:sz w:val="20"/>
                <w:szCs w:val="20"/>
              </w:rPr>
              <w:t>Fulcher</w:t>
            </w:r>
            <w:r w:rsidR="00405072">
              <w:rPr>
                <w:sz w:val="20"/>
                <w:szCs w:val="20"/>
              </w:rPr>
              <w:t xml:space="preserve"> [58]</w:t>
            </w:r>
            <w:r w:rsidRPr="0079104A">
              <w:rPr>
                <w:sz w:val="20"/>
                <w:szCs w:val="20"/>
              </w:rPr>
              <w:t xml:space="preserve">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sz w:val="20"/>
                <w:szCs w:val="20"/>
              </w:rPr>
            </w:pPr>
          </w:p>
        </w:tc>
        <w:tc>
          <w:tcPr>
            <w:tcW w:w="3114"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understand the impact of nocturnal and daytime non-severe hypoglycaemic events on healthcare systems, work productivity &amp; QOL in T1DM or T2DM.</w:t>
            </w:r>
          </w:p>
        </w:tc>
        <w:tc>
          <w:tcPr>
            <w:tcW w:w="2698"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T1DM (n=64)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Non-insulin T2DM (n=76) </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(n=160)</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3E334D" w:rsidRPr="0079104A" w:rsidRDefault="003E334D" w:rsidP="006E7967">
            <w:pPr>
              <w:pStyle w:val="Table"/>
              <w:numPr>
                <w:ilvl w:val="0"/>
                <w:numId w:val="8"/>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Findings suggest nocturnal and daytime non-severed hypoglycaemic events have a large financial and psychosocial impact. </w:t>
            </w:r>
          </w:p>
          <w:p w:rsidR="003E334D" w:rsidRPr="0079104A" w:rsidRDefault="003E334D" w:rsidP="006E7967">
            <w:pPr>
              <w:pStyle w:val="Table"/>
              <w:numPr>
                <w:ilvl w:val="0"/>
                <w:numId w:val="8"/>
              </w:numPr>
              <w:shd w:val="clear" w:color="auto" w:fill="FFFFFF" w:themeFill="background1"/>
              <w:spacing w:line="276" w:lineRule="auto"/>
              <w:rPr>
                <w:sz w:val="20"/>
                <w:szCs w:val="20"/>
              </w:rPr>
            </w:pPr>
            <w:r w:rsidRPr="0079104A">
              <w:rPr>
                <w:rFonts w:ascii="Arial" w:hAnsi="Arial" w:cs="Arial"/>
                <w:sz w:val="20"/>
                <w:szCs w:val="20"/>
              </w:rPr>
              <w:t>Diabetes management that minimizes hypoglycaemia while maintaining good glycaemic control might positively impact on the psychological wellbeing of people with diabetes, as well as reducing healthcare costs and increasing work productivity.</w:t>
            </w:r>
          </w:p>
        </w:tc>
      </w:tr>
      <w:tr w:rsidR="003E334D" w:rsidRPr="0079104A" w:rsidTr="0019158C">
        <w:tc>
          <w:tcPr>
            <w:tcW w:w="1418" w:type="dxa"/>
            <w:tcBorders>
              <w:top w:val="nil"/>
              <w:bottom w:val="nil"/>
            </w:tcBorders>
          </w:tcPr>
          <w:p w:rsidR="003E334D" w:rsidRPr="0079104A" w:rsidRDefault="003E334D" w:rsidP="006E7967">
            <w:pPr>
              <w:shd w:val="clear" w:color="auto" w:fill="FFFFFF" w:themeFill="background1"/>
              <w:spacing w:line="276" w:lineRule="auto"/>
              <w:jc w:val="left"/>
              <w:rPr>
                <w:sz w:val="20"/>
                <w:szCs w:val="20"/>
              </w:rPr>
            </w:pPr>
          </w:p>
        </w:tc>
        <w:tc>
          <w:tcPr>
            <w:tcW w:w="1701" w:type="dxa"/>
          </w:tcPr>
          <w:p w:rsidR="003E334D" w:rsidRPr="0079104A" w:rsidRDefault="003E334D" w:rsidP="006E7967">
            <w:pPr>
              <w:shd w:val="clear" w:color="auto" w:fill="FFFFFF" w:themeFill="background1"/>
              <w:spacing w:line="276" w:lineRule="auto"/>
              <w:jc w:val="left"/>
              <w:rPr>
                <w:sz w:val="20"/>
                <w:szCs w:val="20"/>
              </w:rPr>
            </w:pPr>
            <w:r w:rsidRPr="0079104A">
              <w:rPr>
                <w:sz w:val="20"/>
                <w:szCs w:val="20"/>
              </w:rPr>
              <w:t xml:space="preserve">Hypoglycaemia </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tc>
        <w:tc>
          <w:tcPr>
            <w:tcW w:w="1520" w:type="dxa"/>
          </w:tcPr>
          <w:p w:rsidR="003E334D" w:rsidRPr="0079104A" w:rsidRDefault="003E334D" w:rsidP="006E7967">
            <w:pPr>
              <w:shd w:val="clear" w:color="auto" w:fill="FFFFFF" w:themeFill="background1"/>
              <w:spacing w:line="276" w:lineRule="auto"/>
              <w:jc w:val="left"/>
              <w:rPr>
                <w:sz w:val="20"/>
                <w:szCs w:val="20"/>
              </w:rPr>
            </w:pPr>
            <w:r w:rsidRPr="0079104A">
              <w:rPr>
                <w:sz w:val="20"/>
                <w:szCs w:val="20"/>
              </w:rPr>
              <w:t xml:space="preserve">Leiter </w:t>
            </w:r>
            <w:r w:rsidR="00405072">
              <w:rPr>
                <w:sz w:val="20"/>
                <w:szCs w:val="20"/>
              </w:rPr>
              <w:t>[59]</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To assess impact of mild, </w:t>
            </w:r>
            <w:proofErr w:type="gramStart"/>
            <w:r w:rsidRPr="0079104A">
              <w:rPr>
                <w:rFonts w:eastAsia="Calibri"/>
                <w:sz w:val="20"/>
                <w:szCs w:val="20"/>
              </w:rPr>
              <w:t>moderate</w:t>
            </w:r>
            <w:proofErr w:type="gramEnd"/>
            <w:r w:rsidRPr="0079104A">
              <w:rPr>
                <w:rFonts w:eastAsia="Calibri"/>
                <w:sz w:val="20"/>
                <w:szCs w:val="20"/>
              </w:rPr>
              <w:t xml:space="preserve"> and severe hypoglycaemia</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and fear of future episodes on patients with T1DM or insulin-treated T2DM</w:t>
            </w:r>
          </w:p>
        </w:tc>
        <w:tc>
          <w:tcPr>
            <w:tcW w:w="2698"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Adults with insulin treated T2DM (n=335)</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T1DM (n=202)</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(n=133)</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3E334D" w:rsidRPr="0079104A" w:rsidRDefault="003E334D" w:rsidP="006E7967">
            <w:pPr>
              <w:pStyle w:val="Table"/>
              <w:numPr>
                <w:ilvl w:val="0"/>
                <w:numId w:val="8"/>
              </w:numPr>
              <w:shd w:val="clear" w:color="auto" w:fill="FFFFFF" w:themeFill="background1"/>
              <w:spacing w:line="276" w:lineRule="auto"/>
              <w:rPr>
                <w:rFonts w:ascii="Arial" w:hAnsi="Arial" w:cs="Arial"/>
                <w:sz w:val="20"/>
                <w:szCs w:val="20"/>
              </w:rPr>
            </w:pPr>
            <w:r w:rsidRPr="0079104A">
              <w:rPr>
                <w:rFonts w:ascii="Arial" w:hAnsi="Arial" w:cs="Arial"/>
                <w:sz w:val="20"/>
                <w:szCs w:val="20"/>
              </w:rPr>
              <w:t>More T1DM patients reported increased fear of future hypoglycaemia (37.8%) than insulin treated T2DM patients (29.9%).</w:t>
            </w:r>
          </w:p>
          <w:p w:rsidR="003E334D" w:rsidRPr="0079104A" w:rsidRDefault="003E334D" w:rsidP="006E7967">
            <w:pPr>
              <w:pStyle w:val="Table"/>
              <w:numPr>
                <w:ilvl w:val="0"/>
                <w:numId w:val="8"/>
              </w:numPr>
              <w:shd w:val="clear" w:color="auto" w:fill="FFFFFF" w:themeFill="background1"/>
              <w:spacing w:line="276" w:lineRule="auto"/>
              <w:rPr>
                <w:rFonts w:ascii="Arial" w:hAnsi="Arial" w:cs="Arial"/>
                <w:sz w:val="20"/>
                <w:szCs w:val="20"/>
              </w:rPr>
            </w:pPr>
            <w:proofErr w:type="gramStart"/>
            <w:r w:rsidRPr="0079104A">
              <w:rPr>
                <w:rFonts w:ascii="Arial" w:hAnsi="Arial" w:cs="Arial"/>
                <w:sz w:val="20"/>
                <w:szCs w:val="20"/>
              </w:rPr>
              <w:t>Subsequent to</w:t>
            </w:r>
            <w:proofErr w:type="gramEnd"/>
            <w:r w:rsidRPr="0079104A">
              <w:rPr>
                <w:rFonts w:ascii="Arial" w:hAnsi="Arial" w:cs="Arial"/>
                <w:sz w:val="20"/>
                <w:szCs w:val="20"/>
              </w:rPr>
              <w:t xml:space="preserve"> a severe hypoglycaemic episode, 84.2% of T2DM vs 63.6% of T1DM patients reported greater fear of future hypoglycaemia.</w:t>
            </w:r>
          </w:p>
          <w:p w:rsidR="003E334D" w:rsidRPr="0079104A" w:rsidRDefault="003E334D" w:rsidP="006E7967">
            <w:pPr>
              <w:pStyle w:val="Table"/>
              <w:numPr>
                <w:ilvl w:val="0"/>
                <w:numId w:val="8"/>
              </w:numPr>
              <w:shd w:val="clear" w:color="auto" w:fill="FFFFFF" w:themeFill="background1"/>
              <w:spacing w:line="276" w:lineRule="auto"/>
              <w:rPr>
                <w:sz w:val="20"/>
                <w:szCs w:val="20"/>
              </w:rPr>
            </w:pPr>
            <w:r w:rsidRPr="0079104A">
              <w:rPr>
                <w:rFonts w:ascii="Arial" w:hAnsi="Arial" w:cs="Arial"/>
                <w:sz w:val="20"/>
                <w:szCs w:val="20"/>
              </w:rPr>
              <w:t>The most common management strategy for hypoglycaemia of any severity was self-treatment.</w:t>
            </w:r>
          </w:p>
        </w:tc>
      </w:tr>
      <w:tr w:rsidR="003E334D" w:rsidRPr="0079104A" w:rsidTr="0019158C">
        <w:tc>
          <w:tcPr>
            <w:tcW w:w="1418" w:type="dxa"/>
            <w:tcBorders>
              <w:top w:val="nil"/>
              <w:bottom w:val="nil"/>
            </w:tcBorders>
          </w:tcPr>
          <w:p w:rsidR="003E334D" w:rsidRPr="0079104A" w:rsidRDefault="003E334D" w:rsidP="006E7967">
            <w:pPr>
              <w:shd w:val="clear" w:color="auto" w:fill="FFFFFF" w:themeFill="background1"/>
              <w:spacing w:line="276" w:lineRule="auto"/>
              <w:jc w:val="left"/>
              <w:rPr>
                <w:sz w:val="20"/>
                <w:szCs w:val="20"/>
              </w:rPr>
            </w:pPr>
          </w:p>
        </w:tc>
        <w:tc>
          <w:tcPr>
            <w:tcW w:w="1701" w:type="dxa"/>
          </w:tcPr>
          <w:p w:rsidR="003E334D" w:rsidRPr="0079104A" w:rsidRDefault="003E334D" w:rsidP="006E7967">
            <w:pPr>
              <w:shd w:val="clear" w:color="auto" w:fill="FFFFFF" w:themeFill="background1"/>
              <w:spacing w:line="276" w:lineRule="auto"/>
              <w:jc w:val="left"/>
              <w:rPr>
                <w:sz w:val="20"/>
                <w:szCs w:val="20"/>
              </w:rPr>
            </w:pPr>
            <w:r w:rsidRPr="0079104A">
              <w:rPr>
                <w:sz w:val="20"/>
                <w:szCs w:val="20"/>
              </w:rPr>
              <w:t>Hypoglycaemia</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tc>
        <w:tc>
          <w:tcPr>
            <w:tcW w:w="1520" w:type="dxa"/>
          </w:tcPr>
          <w:p w:rsidR="003E334D" w:rsidRPr="0079104A" w:rsidRDefault="003E334D" w:rsidP="006E7967">
            <w:pPr>
              <w:shd w:val="clear" w:color="auto" w:fill="FFFFFF" w:themeFill="background1"/>
              <w:spacing w:line="276" w:lineRule="auto"/>
              <w:jc w:val="left"/>
              <w:rPr>
                <w:sz w:val="20"/>
                <w:szCs w:val="20"/>
              </w:rPr>
            </w:pPr>
            <w:r w:rsidRPr="0079104A">
              <w:rPr>
                <w:sz w:val="20"/>
                <w:szCs w:val="20"/>
              </w:rPr>
              <w:t xml:space="preserve">Mitchell </w:t>
            </w:r>
            <w:r w:rsidR="00405072">
              <w:rPr>
                <w:sz w:val="20"/>
                <w:szCs w:val="20"/>
              </w:rPr>
              <w:t>[62]</w:t>
            </w: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shd w:val="clear" w:color="auto" w:fill="FFFFFF" w:themeFill="background1"/>
              <w:spacing w:line="276" w:lineRule="auto"/>
              <w:jc w:val="left"/>
              <w:rPr>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characterize hypoglycaemic events in T2DM and assess the relationship between the experiences and health outcomes.</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T2DM adults (n=1,329) of which:</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(n=301)</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3E334D" w:rsidRPr="0079104A" w:rsidRDefault="003E334D" w:rsidP="006E7967">
            <w:pPr>
              <w:pStyle w:val="Table"/>
              <w:numPr>
                <w:ilvl w:val="0"/>
                <w:numId w:val="10"/>
              </w:numPr>
              <w:shd w:val="clear" w:color="auto" w:fill="FFFFFF" w:themeFill="background1"/>
              <w:spacing w:line="276" w:lineRule="auto"/>
              <w:rPr>
                <w:rFonts w:ascii="Arial" w:hAnsi="Arial" w:cs="Arial"/>
                <w:sz w:val="20"/>
                <w:szCs w:val="20"/>
              </w:rPr>
            </w:pPr>
            <w:r w:rsidRPr="0079104A">
              <w:rPr>
                <w:rFonts w:ascii="Arial" w:hAnsi="Arial" w:cs="Arial"/>
                <w:sz w:val="20"/>
                <w:szCs w:val="20"/>
              </w:rPr>
              <w:t>The prevalence of ≥1 hypoglycaemic event within a 4-week period was 27.5% for the sample overall, higher among insulin users than those not using insulin (43.5% vs. 22.8%, p&lt; 0.0001).</w:t>
            </w:r>
          </w:p>
          <w:p w:rsidR="003E334D" w:rsidRPr="0079104A" w:rsidRDefault="003E334D" w:rsidP="006E7967">
            <w:pPr>
              <w:pStyle w:val="Table"/>
              <w:numPr>
                <w:ilvl w:val="0"/>
                <w:numId w:val="10"/>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Baseline comparisons showed that worse HbA1c, greater diabetes-related healthcare resource use, greater fear of hypoglycaemia, and impaired health outcomes were associated with experience of </w:t>
            </w:r>
            <w:r w:rsidRPr="0079104A">
              <w:rPr>
                <w:rFonts w:ascii="Arial" w:hAnsi="Arial" w:cs="Arial"/>
                <w:sz w:val="20"/>
                <w:szCs w:val="20"/>
              </w:rPr>
              <w:lastRenderedPageBreak/>
              <w:t>hypoglycaemia in the 4weeks prior to baseline.</w:t>
            </w:r>
          </w:p>
          <w:p w:rsidR="003E334D" w:rsidRPr="0079104A" w:rsidRDefault="003E334D" w:rsidP="006E7967">
            <w:pPr>
              <w:pStyle w:val="ListParagraph"/>
              <w:widowControl w:val="0"/>
              <w:numPr>
                <w:ilvl w:val="0"/>
                <w:numId w:val="10"/>
              </w:numPr>
              <w:shd w:val="clear" w:color="auto" w:fill="FFFFFF" w:themeFill="background1"/>
              <w:autoSpaceDE w:val="0"/>
              <w:autoSpaceDN w:val="0"/>
              <w:adjustRightInd w:val="0"/>
              <w:spacing w:line="276" w:lineRule="auto"/>
              <w:jc w:val="left"/>
              <w:rPr>
                <w:rFonts w:eastAsia="Calibri"/>
                <w:sz w:val="20"/>
                <w:szCs w:val="20"/>
              </w:rPr>
            </w:pPr>
            <w:r w:rsidRPr="0079104A">
              <w:rPr>
                <w:sz w:val="20"/>
                <w:szCs w:val="20"/>
                <w:lang w:eastAsia="en-GB"/>
              </w:rPr>
              <w:t>Hypoglycaemia was associated with worse self-reported glycaemic control, behaviours that contributed to worse glycaemic control, and impairment in patient-reported outcomes.</w:t>
            </w:r>
          </w:p>
        </w:tc>
      </w:tr>
      <w:tr w:rsidR="00571D26" w:rsidRPr="0079104A" w:rsidTr="0019158C">
        <w:tc>
          <w:tcPr>
            <w:tcW w:w="1418" w:type="dxa"/>
            <w:tcBorders>
              <w:top w:val="nil"/>
              <w:bottom w:val="nil"/>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Hypoglycaemia</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Glycaemic control</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shd w:val="clear" w:color="auto" w:fill="FFFFFF" w:themeFill="background1"/>
              <w:spacing w:line="276" w:lineRule="auto"/>
              <w:jc w:val="left"/>
              <w:rPr>
                <w:rFonts w:eastAsia="Calibri"/>
                <w:sz w:val="20"/>
                <w:szCs w:val="20"/>
              </w:rPr>
            </w:pPr>
          </w:p>
        </w:tc>
        <w:tc>
          <w:tcPr>
            <w:tcW w:w="1520"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Shiu</w:t>
            </w:r>
            <w:proofErr w:type="spellEnd"/>
            <w:r w:rsidR="00405072">
              <w:rPr>
                <w:rFonts w:eastAsia="Calibri"/>
                <w:sz w:val="20"/>
                <w:szCs w:val="20"/>
              </w:rPr>
              <w:t xml:space="preserve"> [68]</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examine the relationship between a sense of coherence (SOC), fear of hypoglycaemia and metabolic control to identify whether other variables including</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age, hypoglycaemic </w:t>
            </w:r>
            <w:proofErr w:type="gramStart"/>
            <w:r w:rsidRPr="0079104A">
              <w:rPr>
                <w:rFonts w:eastAsia="Calibri"/>
                <w:sz w:val="20"/>
                <w:szCs w:val="20"/>
              </w:rPr>
              <w:t>experience</w:t>
            </w:r>
            <w:proofErr w:type="gramEnd"/>
            <w:r w:rsidRPr="0079104A">
              <w:rPr>
                <w:rFonts w:eastAsia="Calibri"/>
                <w:sz w:val="20"/>
                <w:szCs w:val="20"/>
              </w:rPr>
              <w:t xml:space="preserve"> and adherence to self-care practice, confounded the findings from two Swedish studies.</w:t>
            </w:r>
          </w:p>
        </w:tc>
        <w:tc>
          <w:tcPr>
            <w:tcW w:w="2698"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Insulin treated T2DM adults (n=72)  </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571D26" w:rsidRPr="0079104A" w:rsidRDefault="00571D26" w:rsidP="006E7967">
            <w:pPr>
              <w:pStyle w:val="ListParagraph"/>
              <w:numPr>
                <w:ilvl w:val="0"/>
                <w:numId w:val="22"/>
              </w:numPr>
              <w:shd w:val="clear" w:color="auto" w:fill="FFFFFF" w:themeFill="background1"/>
              <w:spacing w:line="276" w:lineRule="auto"/>
              <w:jc w:val="left"/>
              <w:rPr>
                <w:sz w:val="20"/>
                <w:szCs w:val="20"/>
                <w:lang w:eastAsia="en-GB"/>
              </w:rPr>
            </w:pPr>
            <w:r w:rsidRPr="0079104A">
              <w:rPr>
                <w:sz w:val="20"/>
                <w:szCs w:val="20"/>
                <w:lang w:eastAsia="en-GB"/>
              </w:rPr>
              <w:t xml:space="preserve">The higher the SOC (a construct explaining good health and positive adjustment which is on a continuum between “ease” and “disease”), the lower the fear of hypoglycaemia. </w:t>
            </w:r>
          </w:p>
          <w:p w:rsidR="00571D26" w:rsidRPr="0079104A" w:rsidRDefault="00571D26" w:rsidP="006E7967">
            <w:pPr>
              <w:pStyle w:val="ListParagraph"/>
              <w:numPr>
                <w:ilvl w:val="0"/>
                <w:numId w:val="22"/>
              </w:numPr>
              <w:shd w:val="clear" w:color="auto" w:fill="FFFFFF" w:themeFill="background1"/>
              <w:spacing w:line="276" w:lineRule="auto"/>
              <w:jc w:val="left"/>
              <w:rPr>
                <w:sz w:val="20"/>
                <w:szCs w:val="20"/>
                <w:lang w:eastAsia="en-GB"/>
              </w:rPr>
            </w:pPr>
            <w:r w:rsidRPr="0079104A">
              <w:rPr>
                <w:sz w:val="20"/>
                <w:szCs w:val="20"/>
                <w:lang w:eastAsia="en-GB"/>
              </w:rPr>
              <w:t xml:space="preserve">There was no significant correlation between SOC and HbA1c. </w:t>
            </w:r>
          </w:p>
          <w:p w:rsidR="00571D26" w:rsidRPr="0079104A" w:rsidRDefault="00571D26" w:rsidP="006E7967">
            <w:pPr>
              <w:pStyle w:val="ListParagraph"/>
              <w:numPr>
                <w:ilvl w:val="0"/>
                <w:numId w:val="22"/>
              </w:numPr>
              <w:shd w:val="clear" w:color="auto" w:fill="FFFFFF" w:themeFill="background1"/>
              <w:spacing w:line="276" w:lineRule="auto"/>
              <w:jc w:val="left"/>
              <w:rPr>
                <w:sz w:val="20"/>
                <w:szCs w:val="20"/>
                <w:lang w:eastAsia="en-GB"/>
              </w:rPr>
            </w:pPr>
            <w:r w:rsidRPr="0079104A">
              <w:rPr>
                <w:sz w:val="20"/>
                <w:szCs w:val="20"/>
                <w:lang w:eastAsia="en-GB"/>
              </w:rPr>
              <w:t>Findings suggested that respondents with high or low SOC demonstrated no significant difference in difficulties in managing their illness.</w:t>
            </w:r>
          </w:p>
          <w:p w:rsidR="00571D26" w:rsidRPr="0079104A" w:rsidRDefault="00571D26" w:rsidP="006E7967">
            <w:pPr>
              <w:pStyle w:val="ListParagraph"/>
              <w:numPr>
                <w:ilvl w:val="0"/>
                <w:numId w:val="22"/>
              </w:numPr>
              <w:shd w:val="clear" w:color="auto" w:fill="FFFFFF" w:themeFill="background1"/>
              <w:spacing w:line="276" w:lineRule="auto"/>
              <w:jc w:val="left"/>
              <w:rPr>
                <w:sz w:val="20"/>
                <w:szCs w:val="20"/>
                <w:lang w:eastAsia="en-GB"/>
              </w:rPr>
            </w:pPr>
            <w:r w:rsidRPr="0079104A">
              <w:rPr>
                <w:sz w:val="20"/>
                <w:szCs w:val="20"/>
                <w:lang w:eastAsia="en-GB"/>
              </w:rPr>
              <w:t>The results agreed with that of the Swedish studies that SOC contributes to lower fear of hypoglycaemia.</w:t>
            </w:r>
          </w:p>
        </w:tc>
      </w:tr>
      <w:tr w:rsidR="003E334D" w:rsidRPr="0079104A" w:rsidTr="0019158C">
        <w:tc>
          <w:tcPr>
            <w:tcW w:w="1418" w:type="dxa"/>
            <w:tcBorders>
              <w:top w:val="nil"/>
              <w:bottom w:val="nil"/>
            </w:tcBorders>
          </w:tcPr>
          <w:p w:rsidR="003E334D" w:rsidRPr="001D7743" w:rsidRDefault="003E334D" w:rsidP="006E7967">
            <w:pPr>
              <w:pStyle w:val="EndNoteBibliography"/>
              <w:shd w:val="clear" w:color="auto" w:fill="FFFFFF" w:themeFill="background1"/>
              <w:spacing w:line="276" w:lineRule="auto"/>
              <w:rPr>
                <w:rFonts w:ascii="Arial" w:hAnsi="Arial" w:cs="Arial"/>
                <w:sz w:val="20"/>
                <w:szCs w:val="20"/>
              </w:rPr>
            </w:pPr>
          </w:p>
        </w:tc>
        <w:tc>
          <w:tcPr>
            <w:tcW w:w="1701" w:type="dxa"/>
          </w:tcPr>
          <w:p w:rsidR="003E334D" w:rsidRPr="0079104A" w:rsidRDefault="003E334D" w:rsidP="006E7967">
            <w:pPr>
              <w:pStyle w:val="EndNoteBibliography"/>
              <w:shd w:val="clear" w:color="auto" w:fill="FFFFFF" w:themeFill="background1"/>
              <w:spacing w:line="276" w:lineRule="auto"/>
              <w:rPr>
                <w:rFonts w:ascii="Arial" w:hAnsi="Arial" w:cs="Arial"/>
                <w:sz w:val="20"/>
                <w:szCs w:val="20"/>
              </w:rPr>
            </w:pPr>
            <w:r w:rsidRPr="0079104A">
              <w:rPr>
                <w:rFonts w:ascii="Arial" w:hAnsi="Arial" w:cs="Arial"/>
                <w:sz w:val="20"/>
                <w:szCs w:val="20"/>
              </w:rPr>
              <w:t>Injecting in public</w:t>
            </w:r>
          </w:p>
          <w:p w:rsidR="003E334D" w:rsidRPr="0079104A" w:rsidRDefault="003E334D" w:rsidP="006E7967">
            <w:pPr>
              <w:pStyle w:val="EndNoteBibliography"/>
              <w:shd w:val="clear" w:color="auto" w:fill="FFFFFF" w:themeFill="background1"/>
              <w:spacing w:line="276" w:lineRule="auto"/>
              <w:rPr>
                <w:rFonts w:ascii="Arial" w:hAnsi="Arial" w:cs="Arial"/>
                <w:sz w:val="20"/>
                <w:szCs w:val="20"/>
              </w:rPr>
            </w:pPr>
          </w:p>
          <w:p w:rsidR="003E334D" w:rsidRPr="0079104A" w:rsidRDefault="003E334D" w:rsidP="006E7967">
            <w:pPr>
              <w:shd w:val="clear" w:color="auto" w:fill="FFFFFF" w:themeFill="background1"/>
              <w:spacing w:line="276" w:lineRule="auto"/>
              <w:jc w:val="left"/>
              <w:rPr>
                <w:sz w:val="20"/>
                <w:szCs w:val="20"/>
              </w:rPr>
            </w:pPr>
          </w:p>
        </w:tc>
        <w:tc>
          <w:tcPr>
            <w:tcW w:w="1520" w:type="dxa"/>
          </w:tcPr>
          <w:p w:rsidR="003E334D" w:rsidRPr="0079104A" w:rsidRDefault="003E334D" w:rsidP="006E7967">
            <w:pPr>
              <w:pStyle w:val="EndNoteBibliography"/>
              <w:shd w:val="clear" w:color="auto" w:fill="FFFFFF" w:themeFill="background1"/>
              <w:spacing w:line="276" w:lineRule="auto"/>
            </w:pPr>
            <w:r w:rsidRPr="0079104A">
              <w:rPr>
                <w:rFonts w:ascii="Arial" w:hAnsi="Arial" w:cs="Arial"/>
                <w:sz w:val="20"/>
                <w:szCs w:val="20"/>
              </w:rPr>
              <w:t xml:space="preserve">Mehmet </w:t>
            </w:r>
            <w:r w:rsidR="00405072">
              <w:rPr>
                <w:rFonts w:ascii="Arial" w:hAnsi="Arial" w:cs="Arial"/>
                <w:sz w:val="20"/>
                <w:szCs w:val="20"/>
              </w:rPr>
              <w:t>[61]</w:t>
            </w:r>
            <w:r w:rsidRPr="0079104A">
              <w:rPr>
                <w:rFonts w:ascii="Arial" w:hAnsi="Arial" w:cs="Arial"/>
                <w:sz w:val="20"/>
                <w:szCs w:val="20"/>
              </w:rPr>
              <w:fldChar w:fldCharType="begin"/>
            </w:r>
            <w:r w:rsidRPr="0079104A">
              <w:rPr>
                <w:rFonts w:ascii="Arial" w:hAnsi="Arial" w:cs="Arial"/>
                <w:sz w:val="20"/>
                <w:szCs w:val="20"/>
              </w:rPr>
              <w:instrText xml:space="preserve"> ADDIN EN.REFLIST </w:instrText>
            </w:r>
            <w:r w:rsidRPr="0079104A">
              <w:rPr>
                <w:rFonts w:ascii="Arial" w:hAnsi="Arial" w:cs="Arial"/>
                <w:sz w:val="20"/>
                <w:szCs w:val="20"/>
              </w:rPr>
              <w:fldChar w:fldCharType="end"/>
            </w:r>
            <w:r w:rsidRPr="0079104A">
              <w:tab/>
            </w:r>
          </w:p>
          <w:p w:rsidR="003E334D" w:rsidRPr="0079104A" w:rsidRDefault="003E334D" w:rsidP="006E7967">
            <w:pPr>
              <w:pStyle w:val="EndNoteBibliography"/>
              <w:shd w:val="clear" w:color="auto" w:fill="FFFFFF" w:themeFill="background1"/>
              <w:spacing w:line="276" w:lineRule="auto"/>
            </w:pPr>
          </w:p>
          <w:p w:rsidR="003E334D" w:rsidRPr="0079104A" w:rsidRDefault="003E334D" w:rsidP="006E7967">
            <w:pPr>
              <w:pStyle w:val="EndNoteBibliography"/>
              <w:shd w:val="clear" w:color="auto" w:fill="FFFFFF" w:themeFill="background1"/>
              <w:spacing w:line="276" w:lineRule="auto"/>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determine if patients report problems with injecting insulin/SMBG in front of others and explore reasons why.</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Pr>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(n=27)</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T1DM (n=49)</w:t>
            </w: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3E334D" w:rsidRPr="0079104A" w:rsidRDefault="003E334D"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3E334D" w:rsidRPr="0079104A" w:rsidRDefault="003E334D" w:rsidP="006E7967">
            <w:pPr>
              <w:pStyle w:val="Table"/>
              <w:numPr>
                <w:ilvl w:val="0"/>
                <w:numId w:val="9"/>
              </w:numPr>
              <w:shd w:val="clear" w:color="auto" w:fill="FFFFFF" w:themeFill="background1"/>
              <w:spacing w:line="276" w:lineRule="auto"/>
              <w:rPr>
                <w:rFonts w:ascii="Arial" w:hAnsi="Arial" w:cs="Arial"/>
                <w:sz w:val="20"/>
                <w:szCs w:val="20"/>
              </w:rPr>
            </w:pPr>
            <w:r w:rsidRPr="0079104A">
              <w:rPr>
                <w:rFonts w:ascii="Arial" w:hAnsi="Arial" w:cs="Arial"/>
                <w:sz w:val="20"/>
                <w:szCs w:val="20"/>
              </w:rPr>
              <w:t>Patients reporting problems injecting had T1DM (n=29) T2DM (n=20).</w:t>
            </w:r>
          </w:p>
          <w:p w:rsidR="003E334D" w:rsidRPr="0079104A" w:rsidRDefault="003E334D" w:rsidP="006E7967">
            <w:pPr>
              <w:pStyle w:val="Table"/>
              <w:numPr>
                <w:ilvl w:val="0"/>
                <w:numId w:val="9"/>
              </w:numPr>
              <w:shd w:val="clear" w:color="auto" w:fill="FFFFFF" w:themeFill="background1"/>
              <w:spacing w:line="276" w:lineRule="auto"/>
              <w:rPr>
                <w:rFonts w:ascii="Arial" w:hAnsi="Arial" w:cs="Arial"/>
                <w:sz w:val="20"/>
                <w:szCs w:val="20"/>
              </w:rPr>
            </w:pPr>
            <w:r w:rsidRPr="0079104A">
              <w:rPr>
                <w:rFonts w:ascii="Arial" w:hAnsi="Arial" w:cs="Arial"/>
                <w:sz w:val="20"/>
                <w:szCs w:val="20"/>
              </w:rPr>
              <w:t>Over 1/3 almost never felt comfortable performing injections/SMBG in public.</w:t>
            </w:r>
          </w:p>
          <w:p w:rsidR="003E334D" w:rsidRPr="0079104A" w:rsidRDefault="003E334D" w:rsidP="006E7967">
            <w:pPr>
              <w:pStyle w:val="Table"/>
              <w:numPr>
                <w:ilvl w:val="0"/>
                <w:numId w:val="9"/>
              </w:numPr>
              <w:shd w:val="clear" w:color="auto" w:fill="FFFFFF" w:themeFill="background1"/>
              <w:spacing w:line="276" w:lineRule="auto"/>
              <w:rPr>
                <w:rFonts w:ascii="Arial" w:hAnsi="Arial" w:cs="Arial"/>
                <w:sz w:val="20"/>
                <w:szCs w:val="20"/>
              </w:rPr>
            </w:pPr>
            <w:r w:rsidRPr="0079104A">
              <w:rPr>
                <w:rFonts w:ascii="Arial" w:hAnsi="Arial" w:cs="Arial"/>
                <w:sz w:val="20"/>
                <w:szCs w:val="20"/>
              </w:rPr>
              <w:t>50% almost never inject insulin in front of work colleagues. Most felt comfortable with injections &amp; SMBG in front of family.</w:t>
            </w:r>
          </w:p>
          <w:p w:rsidR="003E334D" w:rsidRPr="0079104A" w:rsidRDefault="003E334D" w:rsidP="006E7967">
            <w:pPr>
              <w:pStyle w:val="Table"/>
              <w:numPr>
                <w:ilvl w:val="0"/>
                <w:numId w:val="9"/>
              </w:numPr>
              <w:shd w:val="clear" w:color="auto" w:fill="FFFFFF" w:themeFill="background1"/>
              <w:spacing w:line="276" w:lineRule="auto"/>
              <w:rPr>
                <w:rFonts w:ascii="Arial" w:hAnsi="Arial" w:cs="Arial"/>
                <w:sz w:val="20"/>
                <w:szCs w:val="20"/>
              </w:rPr>
            </w:pPr>
            <w:r w:rsidRPr="0079104A">
              <w:rPr>
                <w:rFonts w:ascii="Arial" w:hAnsi="Arial" w:cs="Arial"/>
                <w:sz w:val="20"/>
                <w:szCs w:val="20"/>
              </w:rPr>
              <w:t>Patients of all ages, genders, diabetes type and duration, reported problems injecting &amp; SMBG in front of others. The most common reason was being worried about upsetting or offending others.</w:t>
            </w:r>
          </w:p>
        </w:tc>
      </w:tr>
      <w:tr w:rsidR="001A4282" w:rsidRPr="0079104A" w:rsidTr="0023784C">
        <w:tc>
          <w:tcPr>
            <w:tcW w:w="1418" w:type="dxa"/>
            <w:tcBorders>
              <w:top w:val="nil"/>
              <w:bottom w:val="nil"/>
            </w:tcBorders>
          </w:tcPr>
          <w:p w:rsidR="001A4282" w:rsidRPr="0079104A" w:rsidRDefault="001A4282" w:rsidP="006E7967">
            <w:pPr>
              <w:shd w:val="clear" w:color="auto" w:fill="FFFFFF" w:themeFill="background1"/>
              <w:spacing w:line="276" w:lineRule="auto"/>
              <w:jc w:val="left"/>
              <w:rPr>
                <w:sz w:val="20"/>
                <w:szCs w:val="20"/>
              </w:rPr>
            </w:pPr>
          </w:p>
        </w:tc>
        <w:tc>
          <w:tcPr>
            <w:tcW w:w="1701" w:type="dxa"/>
          </w:tcPr>
          <w:p w:rsidR="001A4282" w:rsidRPr="0079104A" w:rsidRDefault="001A4282" w:rsidP="006E7967">
            <w:pPr>
              <w:shd w:val="clear" w:color="auto" w:fill="FFFFFF" w:themeFill="background1"/>
              <w:spacing w:line="276" w:lineRule="auto"/>
              <w:jc w:val="left"/>
              <w:rPr>
                <w:sz w:val="20"/>
                <w:szCs w:val="20"/>
              </w:rPr>
            </w:pPr>
            <w:r w:rsidRPr="0079104A">
              <w:rPr>
                <w:sz w:val="20"/>
                <w:szCs w:val="20"/>
              </w:rPr>
              <w:t>Injection problems</w:t>
            </w:r>
          </w:p>
          <w:p w:rsidR="001A4282" w:rsidRPr="0079104A" w:rsidRDefault="001A4282" w:rsidP="006E7967">
            <w:pPr>
              <w:shd w:val="clear" w:color="auto" w:fill="FFFFFF" w:themeFill="background1"/>
              <w:spacing w:line="276" w:lineRule="auto"/>
              <w:jc w:val="left"/>
              <w:rPr>
                <w:sz w:val="20"/>
                <w:szCs w:val="20"/>
              </w:rPr>
            </w:pPr>
          </w:p>
          <w:p w:rsidR="001A4282" w:rsidRPr="0079104A" w:rsidRDefault="001A4282" w:rsidP="006E7967">
            <w:pPr>
              <w:shd w:val="clear" w:color="auto" w:fill="FFFFFF" w:themeFill="background1"/>
              <w:spacing w:line="276" w:lineRule="auto"/>
              <w:jc w:val="left"/>
              <w:rPr>
                <w:sz w:val="20"/>
                <w:szCs w:val="20"/>
              </w:rPr>
            </w:pPr>
          </w:p>
        </w:tc>
        <w:tc>
          <w:tcPr>
            <w:tcW w:w="1520" w:type="dxa"/>
          </w:tcPr>
          <w:p w:rsidR="001A4282" w:rsidRPr="0079104A" w:rsidRDefault="001A4282" w:rsidP="006E7967">
            <w:pPr>
              <w:shd w:val="clear" w:color="auto" w:fill="FFFFFF" w:themeFill="background1"/>
              <w:spacing w:line="276" w:lineRule="auto"/>
              <w:jc w:val="left"/>
              <w:rPr>
                <w:sz w:val="20"/>
                <w:szCs w:val="20"/>
              </w:rPr>
            </w:pPr>
            <w:proofErr w:type="spellStart"/>
            <w:r w:rsidRPr="0079104A">
              <w:rPr>
                <w:sz w:val="20"/>
                <w:szCs w:val="20"/>
              </w:rPr>
              <w:t>Mollema</w:t>
            </w:r>
            <w:proofErr w:type="spellEnd"/>
            <w:r w:rsidR="00405072">
              <w:rPr>
                <w:sz w:val="20"/>
                <w:szCs w:val="20"/>
              </w:rPr>
              <w:t xml:space="preserve"> [63]</w:t>
            </w:r>
            <w:r w:rsidRPr="0079104A">
              <w:rPr>
                <w:sz w:val="20"/>
                <w:szCs w:val="20"/>
              </w:rPr>
              <w:t xml:space="preserve"> </w:t>
            </w:r>
          </w:p>
          <w:p w:rsidR="001A4282" w:rsidRPr="0079104A" w:rsidRDefault="001A4282" w:rsidP="006E7967">
            <w:pPr>
              <w:shd w:val="clear" w:color="auto" w:fill="FFFFFF" w:themeFill="background1"/>
              <w:spacing w:line="276" w:lineRule="auto"/>
              <w:jc w:val="left"/>
              <w:rPr>
                <w:sz w:val="20"/>
                <w:szCs w:val="20"/>
              </w:rPr>
            </w:pPr>
          </w:p>
          <w:p w:rsidR="001A4282" w:rsidRPr="0079104A" w:rsidRDefault="001A4282" w:rsidP="006E7967">
            <w:pPr>
              <w:shd w:val="clear" w:color="auto" w:fill="FFFFFF" w:themeFill="background1"/>
              <w:spacing w:line="276" w:lineRule="auto"/>
              <w:jc w:val="left"/>
              <w:rPr>
                <w:sz w:val="20"/>
                <w:szCs w:val="20"/>
              </w:rPr>
            </w:pPr>
          </w:p>
          <w:p w:rsidR="001A4282" w:rsidRPr="0079104A" w:rsidRDefault="001A4282" w:rsidP="006E7967">
            <w:pPr>
              <w:shd w:val="clear" w:color="auto" w:fill="FFFFFF" w:themeFill="background1"/>
              <w:spacing w:line="276" w:lineRule="auto"/>
              <w:jc w:val="left"/>
              <w:rPr>
                <w:sz w:val="20"/>
                <w:szCs w:val="20"/>
              </w:rPr>
            </w:pPr>
          </w:p>
          <w:p w:rsidR="001A4282" w:rsidRPr="0079104A" w:rsidRDefault="001A4282" w:rsidP="006E7967">
            <w:pPr>
              <w:shd w:val="clear" w:color="auto" w:fill="FFFFFF" w:themeFill="background1"/>
              <w:spacing w:line="276" w:lineRule="auto"/>
              <w:jc w:val="left"/>
              <w:rPr>
                <w:i/>
                <w:sz w:val="20"/>
                <w:szCs w:val="20"/>
              </w:rPr>
            </w:pPr>
          </w:p>
        </w:tc>
        <w:tc>
          <w:tcPr>
            <w:tcW w:w="3114" w:type="dxa"/>
          </w:tcPr>
          <w:p w:rsidR="001A4282" w:rsidRPr="0079104A" w:rsidRDefault="001A4282"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lastRenderedPageBreak/>
              <w:t xml:space="preserve">To examine functioning and self-management of insulin treated patients suffering from extreme fear of self-injecting (FSI) and/or </w:t>
            </w:r>
            <w:r w:rsidRPr="0079104A">
              <w:rPr>
                <w:rFonts w:eastAsia="Calibri"/>
                <w:sz w:val="20"/>
                <w:szCs w:val="20"/>
              </w:rPr>
              <w:lastRenderedPageBreak/>
              <w:t>fear of self-testing (FST).</w:t>
            </w:r>
          </w:p>
        </w:tc>
        <w:tc>
          <w:tcPr>
            <w:tcW w:w="2698" w:type="dxa"/>
          </w:tcPr>
          <w:p w:rsidR="001A4282" w:rsidRPr="0079104A" w:rsidRDefault="001A4282"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lastRenderedPageBreak/>
              <w:t>Patients with insulin treated diabetes (n=1,275) of which:</w:t>
            </w:r>
          </w:p>
          <w:p w:rsidR="001A4282" w:rsidRPr="0079104A" w:rsidRDefault="001A4282"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T1DM (n=740)</w:t>
            </w:r>
          </w:p>
          <w:p w:rsidR="001A4282" w:rsidRPr="0079104A" w:rsidRDefault="001A4282"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lastRenderedPageBreak/>
              <w:t>T2DM (n=535)</w:t>
            </w:r>
          </w:p>
          <w:p w:rsidR="001A4282" w:rsidRPr="0079104A" w:rsidRDefault="001A4282"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1A4282" w:rsidRPr="0079104A" w:rsidRDefault="001A4282"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1A4282" w:rsidRPr="0079104A" w:rsidRDefault="001A4282" w:rsidP="006E7967">
            <w:pPr>
              <w:pStyle w:val="Table"/>
              <w:numPr>
                <w:ilvl w:val="0"/>
                <w:numId w:val="11"/>
              </w:numPr>
              <w:shd w:val="clear" w:color="auto" w:fill="FFFFFF" w:themeFill="background1"/>
              <w:spacing w:line="276" w:lineRule="auto"/>
              <w:rPr>
                <w:rFonts w:ascii="Arial" w:hAnsi="Arial" w:cs="Arial"/>
                <w:sz w:val="20"/>
                <w:szCs w:val="20"/>
              </w:rPr>
            </w:pPr>
            <w:r w:rsidRPr="0079104A">
              <w:rPr>
                <w:rFonts w:ascii="Arial" w:hAnsi="Arial" w:cs="Arial"/>
                <w:sz w:val="20"/>
                <w:szCs w:val="20"/>
              </w:rPr>
              <w:lastRenderedPageBreak/>
              <w:t xml:space="preserve">People with extreme FSI/FST scores compared to the other patients reported higher levels of anxiety and depression. This group also reported more fear of hypoglycaemia and diabetes related distress, had </w:t>
            </w:r>
            <w:r w:rsidRPr="0079104A">
              <w:rPr>
                <w:rFonts w:ascii="Arial" w:hAnsi="Arial" w:cs="Arial"/>
                <w:sz w:val="20"/>
                <w:szCs w:val="20"/>
              </w:rPr>
              <w:lastRenderedPageBreak/>
              <w:t>lower levels if general well-being, and reported less frequent SMBG.</w:t>
            </w:r>
          </w:p>
          <w:p w:rsidR="001A4282" w:rsidRPr="0079104A" w:rsidRDefault="001A4282" w:rsidP="006E7967">
            <w:pPr>
              <w:pStyle w:val="Table"/>
              <w:numPr>
                <w:ilvl w:val="0"/>
                <w:numId w:val="11"/>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A second survey showed 11.1% with extreme FSI/FST scores indicating major depression. </w:t>
            </w:r>
          </w:p>
          <w:p w:rsidR="004E6C91" w:rsidRPr="0079104A" w:rsidRDefault="001A4282" w:rsidP="006E7967">
            <w:pPr>
              <w:pStyle w:val="Table"/>
              <w:numPr>
                <w:ilvl w:val="0"/>
                <w:numId w:val="11"/>
              </w:numPr>
              <w:shd w:val="clear" w:color="auto" w:fill="FFFFFF" w:themeFill="background1"/>
              <w:spacing w:line="276" w:lineRule="auto"/>
              <w:rPr>
                <w:sz w:val="20"/>
                <w:szCs w:val="20"/>
              </w:rPr>
            </w:pPr>
            <w:r w:rsidRPr="0079104A">
              <w:rPr>
                <w:rFonts w:ascii="Arial" w:hAnsi="Arial" w:cs="Arial"/>
                <w:sz w:val="20"/>
                <w:szCs w:val="20"/>
              </w:rPr>
              <w:t xml:space="preserve">Extreme levels of FSI and/or FST were associated with high diabetes-related distress, poor general well-being, and psychological comorbidity, and poorer treatment adherence to the diabetes treatment. </w:t>
            </w:r>
          </w:p>
        </w:tc>
      </w:tr>
      <w:tr w:rsidR="00571D26" w:rsidRPr="0079104A" w:rsidTr="0019158C">
        <w:tc>
          <w:tcPr>
            <w:tcW w:w="1418" w:type="dxa"/>
            <w:tcBorders>
              <w:top w:val="nil"/>
              <w:bottom w:val="nil"/>
            </w:tcBorders>
          </w:tcPr>
          <w:p w:rsidR="00571D26" w:rsidRPr="0079104A" w:rsidRDefault="00571D26" w:rsidP="006E7967">
            <w:pPr>
              <w:shd w:val="clear" w:color="auto" w:fill="FFFFFF" w:themeFill="background1"/>
              <w:spacing w:line="276" w:lineRule="auto"/>
              <w:jc w:val="left"/>
              <w:rPr>
                <w:sz w:val="20"/>
                <w:szCs w:val="20"/>
              </w:rPr>
            </w:pPr>
          </w:p>
        </w:tc>
        <w:tc>
          <w:tcPr>
            <w:tcW w:w="1701" w:type="dxa"/>
            <w:tcBorders>
              <w:top w:val="single" w:sz="4" w:space="0" w:color="auto"/>
              <w:bottom w:val="single" w:sz="4" w:space="0" w:color="auto"/>
            </w:tcBorders>
          </w:tcPr>
          <w:p w:rsidR="00571D26" w:rsidRPr="0079104A" w:rsidRDefault="00571D26" w:rsidP="006E7967">
            <w:pPr>
              <w:shd w:val="clear" w:color="auto" w:fill="FFFFFF" w:themeFill="background1"/>
              <w:spacing w:line="276" w:lineRule="auto"/>
              <w:jc w:val="left"/>
              <w:rPr>
                <w:sz w:val="20"/>
                <w:szCs w:val="20"/>
              </w:rPr>
            </w:pPr>
            <w:r w:rsidRPr="0079104A">
              <w:rPr>
                <w:sz w:val="20"/>
                <w:szCs w:val="20"/>
              </w:rPr>
              <w:t>Injection problems</w:t>
            </w:r>
          </w:p>
          <w:p w:rsidR="00571D26" w:rsidRPr="0079104A" w:rsidRDefault="00571D26" w:rsidP="006E7967">
            <w:pPr>
              <w:shd w:val="clear" w:color="auto" w:fill="FFFFFF" w:themeFill="background1"/>
              <w:spacing w:line="276" w:lineRule="auto"/>
              <w:jc w:val="left"/>
              <w:rPr>
                <w:sz w:val="20"/>
                <w:szCs w:val="20"/>
              </w:rPr>
            </w:pPr>
          </w:p>
          <w:p w:rsidR="00571D26" w:rsidRPr="0079104A" w:rsidRDefault="00571D26" w:rsidP="006E7967">
            <w:pPr>
              <w:shd w:val="clear" w:color="auto" w:fill="FFFFFF" w:themeFill="background1"/>
              <w:spacing w:line="276" w:lineRule="auto"/>
              <w:jc w:val="left"/>
              <w:rPr>
                <w:sz w:val="20"/>
                <w:szCs w:val="20"/>
              </w:rPr>
            </w:pPr>
          </w:p>
        </w:tc>
        <w:tc>
          <w:tcPr>
            <w:tcW w:w="1520" w:type="dxa"/>
            <w:tcBorders>
              <w:top w:val="single" w:sz="4" w:space="0" w:color="auto"/>
              <w:bottom w:val="single" w:sz="4" w:space="0" w:color="auto"/>
            </w:tcBorders>
          </w:tcPr>
          <w:p w:rsidR="004E6C91" w:rsidRDefault="00571D26" w:rsidP="006E7967">
            <w:pPr>
              <w:shd w:val="clear" w:color="auto" w:fill="FFFFFF" w:themeFill="background1"/>
              <w:spacing w:line="276" w:lineRule="auto"/>
              <w:jc w:val="left"/>
              <w:rPr>
                <w:sz w:val="20"/>
                <w:szCs w:val="20"/>
              </w:rPr>
            </w:pPr>
            <w:proofErr w:type="spellStart"/>
            <w:r w:rsidRPr="0079104A">
              <w:rPr>
                <w:sz w:val="20"/>
                <w:szCs w:val="20"/>
              </w:rPr>
              <w:t>Zambanini</w:t>
            </w:r>
            <w:proofErr w:type="spellEnd"/>
          </w:p>
          <w:p w:rsidR="00571D26" w:rsidRPr="0079104A" w:rsidRDefault="00405072" w:rsidP="006E7967">
            <w:pPr>
              <w:shd w:val="clear" w:color="auto" w:fill="FFFFFF" w:themeFill="background1"/>
              <w:spacing w:line="276" w:lineRule="auto"/>
              <w:jc w:val="left"/>
              <w:rPr>
                <w:sz w:val="20"/>
                <w:szCs w:val="20"/>
              </w:rPr>
            </w:pPr>
            <w:r>
              <w:rPr>
                <w:sz w:val="20"/>
                <w:szCs w:val="20"/>
              </w:rPr>
              <w:t>[71]</w:t>
            </w:r>
          </w:p>
          <w:p w:rsidR="00571D26" w:rsidRPr="0079104A" w:rsidRDefault="00571D26" w:rsidP="006E7967">
            <w:pPr>
              <w:shd w:val="clear" w:color="auto" w:fill="FFFFFF" w:themeFill="background1"/>
              <w:spacing w:line="276" w:lineRule="auto"/>
              <w:jc w:val="left"/>
              <w:rPr>
                <w:sz w:val="20"/>
                <w:szCs w:val="20"/>
              </w:rPr>
            </w:pPr>
          </w:p>
          <w:p w:rsidR="00571D26" w:rsidRPr="0079104A" w:rsidRDefault="00571D26" w:rsidP="006E7967">
            <w:pPr>
              <w:shd w:val="clear" w:color="auto" w:fill="FFFFFF" w:themeFill="background1"/>
              <w:spacing w:line="276" w:lineRule="auto"/>
              <w:jc w:val="left"/>
              <w:rPr>
                <w:sz w:val="20"/>
                <w:szCs w:val="20"/>
              </w:rPr>
            </w:pPr>
          </w:p>
        </w:tc>
        <w:tc>
          <w:tcPr>
            <w:tcW w:w="3114" w:type="dxa"/>
            <w:tcBorders>
              <w:top w:val="single" w:sz="4" w:space="0" w:color="auto"/>
              <w:bottom w:val="single" w:sz="4" w:space="0" w:color="auto"/>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assess: prevalence of phobia and anxiety-related to insulin injections; association between insulin injection anxiety symptoms with level of general anxiety in the study group; and evaluate their influence of, on glycaemic control.</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top w:val="single" w:sz="4" w:space="0" w:color="auto"/>
              <w:bottom w:val="single" w:sz="4" w:space="0" w:color="auto"/>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Insulin treated patients (n=115) of which: </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T1DM (n=80) and Insulin T2DM (n=35)</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top w:val="single" w:sz="4" w:space="0" w:color="auto"/>
              <w:bottom w:val="single" w:sz="4" w:space="0" w:color="auto"/>
            </w:tcBorders>
          </w:tcPr>
          <w:p w:rsidR="00571D26" w:rsidRPr="0079104A" w:rsidRDefault="00571D26" w:rsidP="006E7967">
            <w:pPr>
              <w:pStyle w:val="Table"/>
              <w:numPr>
                <w:ilvl w:val="0"/>
                <w:numId w:val="17"/>
              </w:numPr>
              <w:shd w:val="clear" w:color="auto" w:fill="FFFFFF" w:themeFill="background1"/>
              <w:spacing w:line="276" w:lineRule="auto"/>
              <w:rPr>
                <w:rFonts w:ascii="Arial" w:hAnsi="Arial" w:cs="Arial"/>
                <w:sz w:val="20"/>
                <w:szCs w:val="20"/>
              </w:rPr>
            </w:pPr>
            <w:r w:rsidRPr="0079104A">
              <w:rPr>
                <w:rFonts w:ascii="Arial" w:hAnsi="Arial" w:cs="Arial"/>
                <w:sz w:val="20"/>
                <w:szCs w:val="20"/>
              </w:rPr>
              <w:t>Patients with T1DM were most likely to inject 4 times a day than those with T2DM (44; 55% vs. 4; 11%)</w:t>
            </w:r>
          </w:p>
          <w:p w:rsidR="00571D26" w:rsidRPr="0079104A" w:rsidRDefault="00571D26" w:rsidP="006E7967">
            <w:pPr>
              <w:pStyle w:val="Table"/>
              <w:numPr>
                <w:ilvl w:val="0"/>
                <w:numId w:val="17"/>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Injections had been avoided secondary to anxiety in 14% in both T1DM and T2DM. 42% expressed concern at having to inject more frequently. </w:t>
            </w:r>
          </w:p>
          <w:p w:rsidR="00571D26" w:rsidRPr="0079104A" w:rsidRDefault="00571D26" w:rsidP="006E7967">
            <w:pPr>
              <w:pStyle w:val="Table"/>
              <w:numPr>
                <w:ilvl w:val="0"/>
                <w:numId w:val="17"/>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An injection anxiety score </w:t>
            </w:r>
            <w:r w:rsidR="006E7967">
              <w:rPr>
                <w:rFonts w:ascii="Arial" w:hAnsi="Arial" w:cs="Arial"/>
                <w:sz w:val="20"/>
                <w:szCs w:val="20"/>
              </w:rPr>
              <w:t>(</w:t>
            </w:r>
            <w:r w:rsidRPr="0079104A">
              <w:rPr>
                <w:rFonts w:ascii="Arial" w:hAnsi="Arial" w:cs="Arial"/>
                <w:sz w:val="20"/>
                <w:szCs w:val="20"/>
              </w:rPr>
              <w:t>IAS</w:t>
            </w:r>
            <w:r w:rsidR="006E7967">
              <w:rPr>
                <w:rFonts w:ascii="Arial" w:hAnsi="Arial" w:cs="Arial"/>
                <w:sz w:val="20"/>
                <w:szCs w:val="20"/>
              </w:rPr>
              <w:t>)</w:t>
            </w:r>
            <w:r w:rsidRPr="0079104A">
              <w:rPr>
                <w:rFonts w:ascii="Arial" w:hAnsi="Arial" w:cs="Arial"/>
                <w:sz w:val="20"/>
                <w:szCs w:val="20"/>
              </w:rPr>
              <w:t xml:space="preserve"> of ≥3 was seen in 28% of patients (21 had T1DM [27% of all T1DM] and 12 with T2DM [34% of all T2DM]). Of these, 66% injected insulin 1-2 times a day, and 45% had avoided injections, and 70% would be bothered by more frequent injections.</w:t>
            </w:r>
          </w:p>
          <w:p w:rsidR="00571D26" w:rsidRPr="0079104A" w:rsidRDefault="00571D26" w:rsidP="006E7967">
            <w:pPr>
              <w:pStyle w:val="Table"/>
              <w:numPr>
                <w:ilvl w:val="0"/>
                <w:numId w:val="17"/>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A </w:t>
            </w:r>
            <w:r w:rsidR="006E7967">
              <w:rPr>
                <w:rFonts w:ascii="Arial" w:hAnsi="Arial" w:cs="Arial"/>
                <w:sz w:val="20"/>
                <w:szCs w:val="20"/>
              </w:rPr>
              <w:t>general anxiety score (</w:t>
            </w:r>
            <w:r w:rsidRPr="0079104A">
              <w:rPr>
                <w:rFonts w:ascii="Arial" w:hAnsi="Arial" w:cs="Arial"/>
                <w:sz w:val="20"/>
                <w:szCs w:val="20"/>
              </w:rPr>
              <w:t>GAS</w:t>
            </w:r>
            <w:r w:rsidR="006E7967">
              <w:rPr>
                <w:rFonts w:ascii="Arial" w:hAnsi="Arial" w:cs="Arial"/>
                <w:sz w:val="20"/>
                <w:szCs w:val="20"/>
              </w:rPr>
              <w:t>)</w:t>
            </w:r>
            <w:r w:rsidRPr="0079104A">
              <w:rPr>
                <w:rFonts w:ascii="Arial" w:hAnsi="Arial" w:cs="Arial"/>
                <w:sz w:val="20"/>
                <w:szCs w:val="20"/>
              </w:rPr>
              <w:t xml:space="preserve"> of ≥8 was seen in 25% (22 had T1DM [27% of all T1DM] and 7 had T2DM [20% of all T2DM])</w:t>
            </w:r>
          </w:p>
          <w:p w:rsidR="00571D26" w:rsidRPr="0079104A" w:rsidRDefault="00571D26" w:rsidP="006E7967">
            <w:pPr>
              <w:pStyle w:val="Table"/>
              <w:numPr>
                <w:ilvl w:val="0"/>
                <w:numId w:val="17"/>
              </w:numPr>
              <w:shd w:val="clear" w:color="auto" w:fill="FFFFFF" w:themeFill="background1"/>
              <w:spacing w:line="276" w:lineRule="auto"/>
              <w:rPr>
                <w:rFonts w:ascii="Arial" w:hAnsi="Arial" w:cs="Arial"/>
                <w:sz w:val="20"/>
                <w:szCs w:val="20"/>
              </w:rPr>
            </w:pPr>
            <w:r w:rsidRPr="0079104A">
              <w:rPr>
                <w:rFonts w:ascii="Arial" w:hAnsi="Arial" w:cs="Arial"/>
                <w:sz w:val="20"/>
                <w:szCs w:val="20"/>
              </w:rPr>
              <w:t>No significant correlation was seen with HbA1c and IAS or GAS in T1DM or T2DM.</w:t>
            </w:r>
          </w:p>
        </w:tc>
      </w:tr>
      <w:tr w:rsidR="00571D26" w:rsidRPr="0079104A" w:rsidTr="0019158C">
        <w:tc>
          <w:tcPr>
            <w:tcW w:w="1418" w:type="dxa"/>
            <w:tcBorders>
              <w:top w:val="nil"/>
              <w:bottom w:val="nil"/>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intensification</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shd w:val="clear" w:color="auto" w:fill="FFFFFF" w:themeFill="background1"/>
              <w:spacing w:line="276" w:lineRule="auto"/>
              <w:jc w:val="left"/>
              <w:rPr>
                <w:rFonts w:eastAsia="Calibri"/>
                <w:sz w:val="20"/>
                <w:szCs w:val="20"/>
              </w:rPr>
            </w:pPr>
          </w:p>
        </w:tc>
        <w:tc>
          <w:tcPr>
            <w:tcW w:w="1520"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Cefalu</w:t>
            </w:r>
            <w:proofErr w:type="spellEnd"/>
            <w:r w:rsidR="00405072">
              <w:rPr>
                <w:rFonts w:eastAsia="Calibri"/>
                <w:sz w:val="20"/>
                <w:szCs w:val="20"/>
              </w:rPr>
              <w:t xml:space="preserve"> [55]</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To understand patients’ perspectives to achieving good glycaemic control and determine how their perceptions of insulin may affect their decisions to initiate or intensify insulin. </w:t>
            </w:r>
          </w:p>
        </w:tc>
        <w:tc>
          <w:tcPr>
            <w:tcW w:w="2698"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T2DM adults (n=1,444) </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of which:</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(n=469)</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571D26" w:rsidRPr="0079104A" w:rsidRDefault="00571D26" w:rsidP="006E7967">
            <w:pPr>
              <w:pStyle w:val="Table"/>
              <w:numPr>
                <w:ilvl w:val="0"/>
                <w:numId w:val="6"/>
              </w:numPr>
              <w:shd w:val="clear" w:color="auto" w:fill="FFFFFF" w:themeFill="background1"/>
              <w:spacing w:line="276" w:lineRule="auto"/>
              <w:rPr>
                <w:rFonts w:ascii="Arial" w:hAnsi="Arial" w:cs="Arial"/>
                <w:sz w:val="20"/>
                <w:szCs w:val="20"/>
              </w:rPr>
            </w:pPr>
            <w:r w:rsidRPr="0079104A">
              <w:rPr>
                <w:rFonts w:ascii="Arial" w:hAnsi="Arial" w:cs="Arial"/>
                <w:sz w:val="20"/>
                <w:szCs w:val="20"/>
              </w:rPr>
              <w:t>54%-60% were not aware of their recent HbA1c or declined to answer.</w:t>
            </w:r>
          </w:p>
          <w:p w:rsidR="00571D26" w:rsidRPr="0079104A" w:rsidRDefault="00571D26" w:rsidP="006E7967">
            <w:pPr>
              <w:pStyle w:val="Table"/>
              <w:numPr>
                <w:ilvl w:val="0"/>
                <w:numId w:val="6"/>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Of those on insulin, 120 /175 (69%) reporting HbA1c ≥7%, was unrelated to using pens or syringes. </w:t>
            </w:r>
          </w:p>
          <w:p w:rsidR="00571D26" w:rsidRPr="0079104A" w:rsidRDefault="00571D26" w:rsidP="006E7967">
            <w:pPr>
              <w:pStyle w:val="Table"/>
              <w:numPr>
                <w:ilvl w:val="0"/>
                <w:numId w:val="6"/>
              </w:numPr>
              <w:shd w:val="clear" w:color="auto" w:fill="FFFFFF" w:themeFill="background1"/>
              <w:spacing w:line="276" w:lineRule="auto"/>
              <w:rPr>
                <w:rFonts w:ascii="Arial" w:hAnsi="Arial" w:cs="Arial"/>
                <w:sz w:val="20"/>
                <w:szCs w:val="20"/>
              </w:rPr>
            </w:pPr>
            <w:r w:rsidRPr="0079104A">
              <w:rPr>
                <w:rFonts w:ascii="Arial" w:hAnsi="Arial" w:cs="Arial"/>
                <w:sz w:val="20"/>
                <w:szCs w:val="20"/>
              </w:rPr>
              <w:t>The majority wished there was another way to take insulin whether currently using insulin or not.</w:t>
            </w:r>
          </w:p>
          <w:p w:rsidR="00571D26" w:rsidRPr="0079104A" w:rsidRDefault="00571D26" w:rsidP="006E7967">
            <w:pPr>
              <w:pStyle w:val="Table"/>
              <w:numPr>
                <w:ilvl w:val="0"/>
                <w:numId w:val="6"/>
              </w:numPr>
              <w:shd w:val="clear" w:color="auto" w:fill="FFFFFF" w:themeFill="background1"/>
              <w:spacing w:line="276" w:lineRule="auto"/>
              <w:rPr>
                <w:sz w:val="20"/>
                <w:szCs w:val="20"/>
              </w:rPr>
            </w:pPr>
            <w:r w:rsidRPr="0079104A">
              <w:rPr>
                <w:rFonts w:ascii="Arial" w:hAnsi="Arial" w:cs="Arial"/>
                <w:sz w:val="20"/>
                <w:szCs w:val="20"/>
              </w:rPr>
              <w:lastRenderedPageBreak/>
              <w:t>Improving patients’ perceptions and acceptance of insulin could encourage earlier insulin use and assist in achieving and maintaining long term glucose control.</w:t>
            </w:r>
          </w:p>
        </w:tc>
      </w:tr>
      <w:tr w:rsidR="00571D26" w:rsidRPr="0079104A" w:rsidTr="0019158C">
        <w:tc>
          <w:tcPr>
            <w:tcW w:w="1418" w:type="dxa"/>
            <w:tcBorders>
              <w:top w:val="nil"/>
              <w:bottom w:val="nil"/>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Borders>
              <w:top w:val="single" w:sz="4" w:space="0" w:color="auto"/>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adherence</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shd w:val="clear" w:color="auto" w:fill="FFFFFF" w:themeFill="background1"/>
              <w:spacing w:line="276" w:lineRule="auto"/>
              <w:jc w:val="left"/>
              <w:rPr>
                <w:rFonts w:eastAsia="Calibri"/>
                <w:sz w:val="20"/>
                <w:szCs w:val="20"/>
              </w:rPr>
            </w:pPr>
          </w:p>
        </w:tc>
        <w:tc>
          <w:tcPr>
            <w:tcW w:w="1520" w:type="dxa"/>
            <w:tcBorders>
              <w:top w:val="single" w:sz="4" w:space="0" w:color="auto"/>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Ary</w:t>
            </w:r>
            <w:proofErr w:type="spellEnd"/>
            <w:r w:rsidR="00405072">
              <w:rPr>
                <w:rFonts w:eastAsia="Calibri"/>
                <w:sz w:val="20"/>
                <w:szCs w:val="20"/>
              </w:rPr>
              <w:t xml:space="preserve"> [50]</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top w:val="single" w:sz="4" w:space="0" w:color="auto"/>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assess levels of regime adherence and reasons for non-adherence.</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top w:val="single" w:sz="4" w:space="0" w:color="auto"/>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Patients with</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T1DM (n=24)</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Non-insulin T2DM (n=125)</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T2DM (n=59)</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top w:val="single" w:sz="4" w:space="0" w:color="auto"/>
            </w:tcBorders>
          </w:tcPr>
          <w:p w:rsidR="00571D26" w:rsidRPr="0079104A" w:rsidRDefault="00571D26" w:rsidP="006E7967">
            <w:pPr>
              <w:widowControl w:val="0"/>
              <w:numPr>
                <w:ilvl w:val="0"/>
                <w:numId w:val="1"/>
              </w:numPr>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The top four reasons for insulin non-compliance were being in a bus/plane/car (23%), away from home (13%), being in a restaurant (10%), and on a trip (10%) </w:t>
            </w:r>
          </w:p>
          <w:p w:rsidR="00571D26" w:rsidRPr="0079104A" w:rsidRDefault="00571D26" w:rsidP="006E7967">
            <w:pPr>
              <w:widowControl w:val="0"/>
              <w:numPr>
                <w:ilvl w:val="0"/>
                <w:numId w:val="1"/>
              </w:numPr>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Most frequent barriers were being in a bus/plane/car in transit (14%), negative physical reactions (11%) and being in a restaurant (8%)</w:t>
            </w:r>
          </w:p>
        </w:tc>
      </w:tr>
      <w:tr w:rsidR="00571D26" w:rsidRPr="0079104A" w:rsidTr="0019158C">
        <w:tc>
          <w:tcPr>
            <w:tcW w:w="1418" w:type="dxa"/>
            <w:tcBorders>
              <w:top w:val="nil"/>
              <w:bottom w:val="nil"/>
            </w:tcBorders>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adherence</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shd w:val="clear" w:color="auto" w:fill="FFFFFF" w:themeFill="background1"/>
              <w:spacing w:line="276" w:lineRule="auto"/>
              <w:jc w:val="left"/>
              <w:rPr>
                <w:rFonts w:eastAsia="Calibri"/>
                <w:sz w:val="20"/>
                <w:szCs w:val="20"/>
              </w:rPr>
            </w:pPr>
          </w:p>
        </w:tc>
        <w:tc>
          <w:tcPr>
            <w:tcW w:w="1520"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Peyrot</w:t>
            </w:r>
            <w:proofErr w:type="spellEnd"/>
            <w:r w:rsidRPr="0079104A">
              <w:rPr>
                <w:rFonts w:eastAsia="Calibri"/>
                <w:sz w:val="20"/>
                <w:szCs w:val="20"/>
              </w:rPr>
              <w:t xml:space="preserve"> </w:t>
            </w:r>
            <w:r w:rsidR="00405072">
              <w:rPr>
                <w:rFonts w:eastAsia="Calibri"/>
                <w:sz w:val="20"/>
                <w:szCs w:val="20"/>
              </w:rPr>
              <w:t>[65]</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To examine factors associated with insulin injection omission/ non-adherence </w:t>
            </w:r>
          </w:p>
        </w:tc>
        <w:tc>
          <w:tcPr>
            <w:tcW w:w="2698" w:type="dxa"/>
          </w:tcPr>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treated DM adults (n=1,530) of which:</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T1DM (n=110) </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T2DM (n=1,420)</w:t>
            </w:r>
          </w:p>
          <w:p w:rsidR="00571D26" w:rsidRPr="0079104A" w:rsidRDefault="00571D26"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571D26" w:rsidRPr="0079104A" w:rsidRDefault="00571D26" w:rsidP="006E7967">
            <w:pPr>
              <w:pStyle w:val="Table"/>
              <w:numPr>
                <w:ilvl w:val="0"/>
                <w:numId w:val="13"/>
              </w:numPr>
              <w:shd w:val="clear" w:color="auto" w:fill="FFFFFF" w:themeFill="background1"/>
              <w:spacing w:line="276" w:lineRule="auto"/>
              <w:rPr>
                <w:rFonts w:ascii="Arial" w:hAnsi="Arial" w:cs="Arial"/>
                <w:sz w:val="20"/>
                <w:szCs w:val="20"/>
              </w:rPr>
            </w:pPr>
            <w:r w:rsidRPr="0079104A">
              <w:rPr>
                <w:rFonts w:ascii="Arial" w:hAnsi="Arial" w:cs="Arial"/>
                <w:sz w:val="20"/>
                <w:szCs w:val="20"/>
              </w:rPr>
              <w:t>35% reported one or more days of insulin omission/non-adherence.</w:t>
            </w:r>
          </w:p>
          <w:p w:rsidR="00571D26" w:rsidRPr="0079104A" w:rsidRDefault="00571D26" w:rsidP="006E7967">
            <w:pPr>
              <w:pStyle w:val="Table"/>
              <w:numPr>
                <w:ilvl w:val="0"/>
                <w:numId w:val="13"/>
              </w:numPr>
              <w:shd w:val="clear" w:color="auto" w:fill="FFFFFF" w:themeFill="background1"/>
              <w:spacing w:line="276" w:lineRule="auto"/>
              <w:rPr>
                <w:rFonts w:ascii="Arial" w:hAnsi="Arial" w:cs="Arial"/>
                <w:sz w:val="20"/>
                <w:szCs w:val="20"/>
              </w:rPr>
            </w:pPr>
            <w:r w:rsidRPr="0079104A">
              <w:rPr>
                <w:rFonts w:ascii="Arial" w:hAnsi="Arial" w:cs="Arial"/>
                <w:sz w:val="20"/>
                <w:szCs w:val="20"/>
              </w:rPr>
              <w:t>Omission/non-adherence differed widely across countries (range=20–44%); Most risk factors had similar relationships with insulin omission/non-adherence across countries.</w:t>
            </w:r>
          </w:p>
          <w:p w:rsidR="00571D26" w:rsidRPr="0079104A" w:rsidRDefault="00571D26" w:rsidP="006E7967">
            <w:pPr>
              <w:pStyle w:val="Table"/>
              <w:numPr>
                <w:ilvl w:val="0"/>
                <w:numId w:val="13"/>
              </w:numPr>
              <w:shd w:val="clear" w:color="auto" w:fill="FFFFFF" w:themeFill="background1"/>
              <w:spacing w:line="276" w:lineRule="auto"/>
              <w:rPr>
                <w:rFonts w:ascii="Arial" w:hAnsi="Arial" w:cs="Arial"/>
                <w:sz w:val="20"/>
                <w:szCs w:val="20"/>
              </w:rPr>
            </w:pPr>
            <w:r w:rsidRPr="0079104A">
              <w:rPr>
                <w:rFonts w:ascii="Arial" w:hAnsi="Arial" w:cs="Arial"/>
                <w:sz w:val="20"/>
                <w:szCs w:val="20"/>
              </w:rPr>
              <w:t>Omission/non-adherence was more frequent among respondents who were male, younger, had T2DM or more frequent hypoglycaemia, were less successful with other treatment tasks, regarded insulin adherence as less important, had more practical/logistical barriers and difficulties with insulin adherence, were concerned that insulin treatment required lifestyle changes or were dissatisfied with flexibility of injection timing.</w:t>
            </w:r>
          </w:p>
        </w:tc>
      </w:tr>
      <w:tr w:rsidR="006710B4" w:rsidRPr="0079104A" w:rsidTr="00610D9F">
        <w:tc>
          <w:tcPr>
            <w:tcW w:w="1418" w:type="dxa"/>
            <w:tcBorders>
              <w:top w:val="nil"/>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Borders>
              <w:bottom w:val="single" w:sz="4" w:space="0" w:color="auto"/>
            </w:tcBorders>
          </w:tcPr>
          <w:p w:rsidR="006710B4" w:rsidRPr="0079104A" w:rsidRDefault="00CB774B"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w:t>
            </w:r>
            <w:r w:rsidR="006710B4" w:rsidRPr="0079104A">
              <w:rPr>
                <w:rFonts w:eastAsia="Calibri"/>
                <w:sz w:val="20"/>
                <w:szCs w:val="20"/>
              </w:rPr>
              <w:t xml:space="preserve">erceptions </w:t>
            </w:r>
            <w:r w:rsidRPr="0079104A">
              <w:rPr>
                <w:rFonts w:eastAsia="Calibri"/>
                <w:sz w:val="20"/>
                <w:szCs w:val="20"/>
              </w:rPr>
              <w:t>of T2DM</w:t>
            </w:r>
            <w:r w:rsidR="006710B4" w:rsidRPr="0079104A">
              <w:rPr>
                <w:rFonts w:eastAsia="Calibri"/>
                <w:sz w:val="20"/>
                <w:szCs w:val="20"/>
              </w:rPr>
              <w:t xml:space="preserve">  </w:t>
            </w:r>
          </w:p>
        </w:tc>
        <w:tc>
          <w:tcPr>
            <w:tcW w:w="1520"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sz w:val="20"/>
                <w:szCs w:val="20"/>
              </w:rPr>
              <w:t>Mosnier-Pudar</w:t>
            </w:r>
            <w:proofErr w:type="spellEnd"/>
            <w:r w:rsidRPr="0079104A">
              <w:rPr>
                <w:sz w:val="20"/>
                <w:szCs w:val="20"/>
              </w:rPr>
              <w:t xml:space="preserve"> </w:t>
            </w:r>
            <w:r w:rsidR="00405072">
              <w:rPr>
                <w:sz w:val="20"/>
                <w:szCs w:val="20"/>
              </w:rPr>
              <w:t>[64]</w:t>
            </w:r>
          </w:p>
        </w:tc>
        <w:tc>
          <w:tcPr>
            <w:tcW w:w="3114"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describe T2DM from the patient’s standpoint in a representative French panel</w:t>
            </w:r>
          </w:p>
        </w:tc>
        <w:tc>
          <w:tcPr>
            <w:tcW w:w="2698"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T2DM Patients (n=1,092)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of which:</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Non-Insulin (n=885)</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Insulin T2DM (n=207) </w:t>
            </w:r>
          </w:p>
        </w:tc>
        <w:tc>
          <w:tcPr>
            <w:tcW w:w="5142" w:type="dxa"/>
            <w:tcBorders>
              <w:bottom w:val="single" w:sz="4" w:space="0" w:color="auto"/>
            </w:tcBorders>
          </w:tcPr>
          <w:p w:rsidR="00EE682B" w:rsidRPr="0079104A" w:rsidRDefault="00EE682B" w:rsidP="006E7967">
            <w:pPr>
              <w:pStyle w:val="Table"/>
              <w:numPr>
                <w:ilvl w:val="0"/>
                <w:numId w:val="12"/>
              </w:numPr>
              <w:shd w:val="clear" w:color="auto" w:fill="FFFFFF" w:themeFill="background1"/>
              <w:spacing w:line="276" w:lineRule="auto"/>
              <w:rPr>
                <w:rFonts w:ascii="Arial" w:hAnsi="Arial" w:cs="Arial"/>
                <w:sz w:val="20"/>
                <w:szCs w:val="20"/>
              </w:rPr>
            </w:pPr>
            <w:r w:rsidRPr="0079104A">
              <w:rPr>
                <w:rFonts w:ascii="Arial" w:hAnsi="Arial" w:cs="Arial"/>
                <w:sz w:val="20"/>
                <w:szCs w:val="20"/>
              </w:rPr>
              <w:t>Mean time from diagnosis to insulin was 13.8 years</w:t>
            </w:r>
          </w:p>
          <w:p w:rsidR="006710B4" w:rsidRPr="0079104A" w:rsidRDefault="00CB774B" w:rsidP="006E7967">
            <w:pPr>
              <w:pStyle w:val="Table"/>
              <w:numPr>
                <w:ilvl w:val="0"/>
                <w:numId w:val="12"/>
              </w:numPr>
              <w:shd w:val="clear" w:color="auto" w:fill="FFFFFF" w:themeFill="background1"/>
              <w:spacing w:line="276" w:lineRule="auto"/>
              <w:rPr>
                <w:rFonts w:ascii="Arial" w:hAnsi="Arial" w:cs="Arial"/>
                <w:sz w:val="20"/>
                <w:szCs w:val="20"/>
              </w:rPr>
            </w:pPr>
            <w:r w:rsidRPr="0079104A">
              <w:rPr>
                <w:rFonts w:ascii="Arial" w:hAnsi="Arial" w:cs="Arial"/>
                <w:sz w:val="20"/>
                <w:szCs w:val="20"/>
              </w:rPr>
              <w:t>Disease knowledge improved with treatment intensification and experience. It was greater in insulin-treated patients than in patients with OHAs.</w:t>
            </w:r>
          </w:p>
          <w:p w:rsidR="00CB774B" w:rsidRPr="0079104A" w:rsidRDefault="00CB774B" w:rsidP="006E7967">
            <w:pPr>
              <w:pStyle w:val="Table"/>
              <w:numPr>
                <w:ilvl w:val="0"/>
                <w:numId w:val="12"/>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50% perceived T2DM as serious including </w:t>
            </w:r>
            <w:r w:rsidR="00EE682B" w:rsidRPr="0079104A">
              <w:rPr>
                <w:rFonts w:ascii="Arial" w:hAnsi="Arial" w:cs="Arial"/>
                <w:sz w:val="20"/>
                <w:szCs w:val="20"/>
              </w:rPr>
              <w:t>those</w:t>
            </w:r>
            <w:r w:rsidRPr="0079104A">
              <w:rPr>
                <w:rFonts w:ascii="Arial" w:hAnsi="Arial" w:cs="Arial"/>
                <w:sz w:val="20"/>
                <w:szCs w:val="20"/>
              </w:rPr>
              <w:t xml:space="preserve"> </w:t>
            </w:r>
            <w:r w:rsidRPr="0079104A">
              <w:rPr>
                <w:rFonts w:ascii="Arial" w:hAnsi="Arial" w:cs="Arial"/>
                <w:sz w:val="20"/>
                <w:szCs w:val="20"/>
              </w:rPr>
              <w:lastRenderedPageBreak/>
              <w:t>treated with insulin</w:t>
            </w:r>
            <w:r w:rsidR="00EE682B" w:rsidRPr="0079104A">
              <w:rPr>
                <w:rFonts w:ascii="Arial" w:hAnsi="Arial" w:cs="Arial"/>
                <w:sz w:val="20"/>
                <w:szCs w:val="20"/>
              </w:rPr>
              <w:t>/</w:t>
            </w:r>
          </w:p>
          <w:p w:rsidR="006710B4" w:rsidRPr="0079104A" w:rsidRDefault="00CB774B" w:rsidP="006E7967">
            <w:pPr>
              <w:pStyle w:val="Table"/>
              <w:numPr>
                <w:ilvl w:val="0"/>
                <w:numId w:val="12"/>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The impact on daily life tended to be greater in patients with longer disease duration, poorer glycaemic control, in women and those treated with insulin. </w:t>
            </w:r>
          </w:p>
          <w:p w:rsidR="00EE682B" w:rsidRPr="0079104A" w:rsidRDefault="00CB774B" w:rsidP="006E7967">
            <w:pPr>
              <w:pStyle w:val="Table"/>
              <w:numPr>
                <w:ilvl w:val="0"/>
                <w:numId w:val="12"/>
              </w:numPr>
              <w:shd w:val="clear" w:color="auto" w:fill="FFFFFF" w:themeFill="background1"/>
              <w:spacing w:line="276" w:lineRule="auto"/>
              <w:rPr>
                <w:rFonts w:ascii="Arial" w:hAnsi="Arial" w:cs="Arial"/>
                <w:sz w:val="20"/>
                <w:szCs w:val="20"/>
              </w:rPr>
            </w:pPr>
            <w:r w:rsidRPr="0079104A">
              <w:rPr>
                <w:rFonts w:ascii="Arial" w:hAnsi="Arial" w:cs="Arial"/>
                <w:sz w:val="20"/>
                <w:szCs w:val="20"/>
              </w:rPr>
              <w:t>Patients became partners in their healthcare process and engaged in a more bilateral patient-provider relationship when</w:t>
            </w:r>
            <w:r w:rsidR="00EE682B" w:rsidRPr="0079104A">
              <w:rPr>
                <w:rFonts w:ascii="Arial" w:hAnsi="Arial" w:cs="Arial"/>
                <w:sz w:val="20"/>
                <w:szCs w:val="20"/>
              </w:rPr>
              <w:t xml:space="preserve"> on insulin </w:t>
            </w:r>
          </w:p>
          <w:p w:rsidR="00CB774B" w:rsidRPr="0079104A" w:rsidRDefault="00EE682B" w:rsidP="006E7967">
            <w:pPr>
              <w:pStyle w:val="Table"/>
              <w:shd w:val="clear" w:color="auto" w:fill="FFFFFF" w:themeFill="background1"/>
              <w:spacing w:line="276" w:lineRule="auto"/>
              <w:ind w:left="227"/>
              <w:rPr>
                <w:rFonts w:ascii="Arial" w:hAnsi="Arial" w:cs="Arial"/>
                <w:sz w:val="20"/>
                <w:szCs w:val="20"/>
              </w:rPr>
            </w:pPr>
            <w:r w:rsidRPr="0079104A">
              <w:rPr>
                <w:rFonts w:ascii="Arial" w:hAnsi="Arial" w:cs="Arial"/>
                <w:sz w:val="20"/>
                <w:szCs w:val="20"/>
              </w:rPr>
              <w:t>(40% vs. 24%)</w:t>
            </w:r>
          </w:p>
        </w:tc>
      </w:tr>
      <w:tr w:rsidR="004F5DA5" w:rsidRPr="0079104A" w:rsidTr="00706C8D">
        <w:trPr>
          <w:trHeight w:val="305"/>
        </w:trPr>
        <w:tc>
          <w:tcPr>
            <w:tcW w:w="1418" w:type="dxa"/>
            <w:tcBorders>
              <w:top w:val="single" w:sz="4" w:space="0" w:color="auto"/>
              <w:bottom w:val="nil"/>
            </w:tcBorders>
          </w:tcPr>
          <w:p w:rsidR="004F5DA5" w:rsidRPr="0079104A" w:rsidRDefault="004F5DA5"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Borders>
              <w:top w:val="single" w:sz="4" w:space="0" w:color="auto"/>
              <w:bottom w:val="nil"/>
            </w:tcBorders>
          </w:tcPr>
          <w:p w:rsidR="004F5DA5" w:rsidRPr="0079104A" w:rsidRDefault="004F5DA5"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520" w:type="dxa"/>
            <w:tcBorders>
              <w:top w:val="single" w:sz="4" w:space="0" w:color="auto"/>
              <w:bottom w:val="nil"/>
            </w:tcBorders>
          </w:tcPr>
          <w:p w:rsidR="004F5DA5" w:rsidRPr="0079104A" w:rsidRDefault="004F5DA5"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top w:val="single" w:sz="4" w:space="0" w:color="auto"/>
              <w:bottom w:val="nil"/>
            </w:tcBorders>
          </w:tcPr>
          <w:p w:rsidR="004F5DA5" w:rsidRPr="0079104A" w:rsidRDefault="004F5DA5"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top w:val="single" w:sz="4" w:space="0" w:color="auto"/>
              <w:bottom w:val="nil"/>
            </w:tcBorders>
          </w:tcPr>
          <w:p w:rsidR="004F5DA5" w:rsidRPr="0079104A" w:rsidRDefault="004F5DA5"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top w:val="single" w:sz="4" w:space="0" w:color="auto"/>
              <w:bottom w:val="nil"/>
            </w:tcBorders>
          </w:tcPr>
          <w:p w:rsidR="004F5DA5" w:rsidRPr="0079104A" w:rsidRDefault="004F5DA5" w:rsidP="006E7967">
            <w:pPr>
              <w:pStyle w:val="ListParagraph"/>
              <w:shd w:val="clear" w:color="auto" w:fill="FFFFFF" w:themeFill="background1"/>
              <w:spacing w:line="276" w:lineRule="auto"/>
              <w:ind w:left="227"/>
              <w:jc w:val="left"/>
              <w:rPr>
                <w:sz w:val="20"/>
                <w:szCs w:val="20"/>
              </w:rPr>
            </w:pPr>
          </w:p>
        </w:tc>
      </w:tr>
      <w:tr w:rsidR="006710B4" w:rsidRPr="0079104A" w:rsidTr="00610D9F">
        <w:tc>
          <w:tcPr>
            <w:tcW w:w="1418" w:type="dxa"/>
            <w:tcBorders>
              <w:top w:val="nil"/>
              <w:bottom w:val="nil"/>
            </w:tcBorders>
          </w:tcPr>
          <w:p w:rsidR="006710B4" w:rsidRPr="0079104A" w:rsidRDefault="00706C8D"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PATIENTS &amp; HCPs</w:t>
            </w:r>
          </w:p>
        </w:tc>
        <w:tc>
          <w:tcPr>
            <w:tcW w:w="1701" w:type="dxa"/>
            <w:tcBorders>
              <w:top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Hypoglycaemia</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520" w:type="dxa"/>
            <w:tcBorders>
              <w:top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Brod</w:t>
            </w:r>
            <w:proofErr w:type="spellEnd"/>
            <w:r w:rsidRPr="0079104A">
              <w:rPr>
                <w:rFonts w:eastAsia="Calibri"/>
                <w:sz w:val="20"/>
                <w:szCs w:val="20"/>
              </w:rPr>
              <w:t xml:space="preserve"> </w:t>
            </w:r>
            <w:r w:rsidR="00405072">
              <w:rPr>
                <w:rFonts w:eastAsia="Calibri"/>
                <w:sz w:val="20"/>
                <w:szCs w:val="20"/>
              </w:rPr>
              <w:t>[51]</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top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estimate the prevalence of self-treated hypoglycaemia in patients using basal analogues.</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identify demographic treatment-related and behavioural risk factors.</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describe patient and physician responses to these.</w:t>
            </w:r>
          </w:p>
        </w:tc>
        <w:tc>
          <w:tcPr>
            <w:tcW w:w="2698" w:type="dxa"/>
            <w:tcBorders>
              <w:top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T2DM Patients using basal insulin analogues (n=3,042)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Physicians (n=1,222):</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Specialists (45%)</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PCPs (55%)</w:t>
            </w:r>
          </w:p>
        </w:tc>
        <w:tc>
          <w:tcPr>
            <w:tcW w:w="5142" w:type="dxa"/>
            <w:tcBorders>
              <w:top w:val="nil"/>
            </w:tcBorders>
          </w:tcPr>
          <w:p w:rsidR="006710B4" w:rsidRPr="0079104A" w:rsidRDefault="006710B4" w:rsidP="006E7967">
            <w:pPr>
              <w:pStyle w:val="ListParagraph"/>
              <w:numPr>
                <w:ilvl w:val="0"/>
                <w:numId w:val="2"/>
              </w:numPr>
              <w:shd w:val="clear" w:color="auto" w:fill="FFFFFF" w:themeFill="background1"/>
              <w:spacing w:line="276" w:lineRule="auto"/>
              <w:jc w:val="left"/>
              <w:rPr>
                <w:sz w:val="20"/>
                <w:szCs w:val="20"/>
              </w:rPr>
            </w:pPr>
            <w:r w:rsidRPr="0079104A">
              <w:rPr>
                <w:sz w:val="20"/>
                <w:szCs w:val="20"/>
              </w:rPr>
              <w:t xml:space="preserve">Self-treated hypoglycaemia was common in approximately one third of patients using insulin analogues. </w:t>
            </w:r>
          </w:p>
          <w:p w:rsidR="006710B4" w:rsidRPr="0079104A" w:rsidRDefault="006710B4" w:rsidP="006E7967">
            <w:pPr>
              <w:pStyle w:val="ListParagraph"/>
              <w:numPr>
                <w:ilvl w:val="0"/>
                <w:numId w:val="2"/>
              </w:numPr>
              <w:shd w:val="clear" w:color="auto" w:fill="FFFFFF" w:themeFill="background1"/>
              <w:spacing w:line="276" w:lineRule="auto"/>
              <w:jc w:val="left"/>
              <w:rPr>
                <w:sz w:val="20"/>
                <w:szCs w:val="20"/>
              </w:rPr>
            </w:pPr>
            <w:bookmarkStart w:id="1" w:name="_Hlk501819271"/>
            <w:r w:rsidRPr="0079104A">
              <w:rPr>
                <w:sz w:val="20"/>
                <w:szCs w:val="20"/>
              </w:rPr>
              <w:t>Self-treated hypoglycaemia was associated with clinically significant effects on patient well-being and functioning, patient and physician management and healthcare utilisation.</w:t>
            </w:r>
            <w:bookmarkEnd w:id="1"/>
          </w:p>
        </w:tc>
      </w:tr>
      <w:tr w:rsidR="006710B4" w:rsidRPr="0079104A" w:rsidTr="0019158C">
        <w:tc>
          <w:tcPr>
            <w:tcW w:w="1418" w:type="dxa"/>
            <w:tcBorders>
              <w:top w:val="nil"/>
              <w:bottom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lang w:val="en-US"/>
              </w:rPr>
            </w:pPr>
          </w:p>
        </w:tc>
        <w:tc>
          <w:tcPr>
            <w:tcW w:w="1701"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lang w:val="en-US"/>
              </w:rPr>
            </w:pPr>
            <w:r w:rsidRPr="0079104A">
              <w:rPr>
                <w:rFonts w:eastAsia="Calibri"/>
                <w:sz w:val="20"/>
                <w:szCs w:val="20"/>
                <w:lang w:val="en-US"/>
              </w:rPr>
              <w:t>Insulin dosing irregularities</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lang w:val="en-US"/>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lang w:val="en-US"/>
              </w:rPr>
            </w:pPr>
          </w:p>
        </w:tc>
        <w:tc>
          <w:tcPr>
            <w:tcW w:w="1520"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lang w:val="en-US"/>
              </w:rPr>
            </w:pPr>
            <w:proofErr w:type="spellStart"/>
            <w:r w:rsidRPr="0079104A">
              <w:rPr>
                <w:rFonts w:eastAsia="Calibri"/>
                <w:sz w:val="20"/>
                <w:szCs w:val="20"/>
                <w:lang w:val="en-US"/>
              </w:rPr>
              <w:t>Brod</w:t>
            </w:r>
            <w:proofErr w:type="spellEnd"/>
            <w:r w:rsidRPr="0079104A">
              <w:rPr>
                <w:rFonts w:eastAsia="Calibri"/>
                <w:sz w:val="20"/>
                <w:szCs w:val="20"/>
                <w:lang w:val="en-US"/>
              </w:rPr>
              <w:t xml:space="preserve"> </w:t>
            </w:r>
            <w:r w:rsidR="00405072">
              <w:rPr>
                <w:rFonts w:eastAsia="Calibri"/>
                <w:sz w:val="20"/>
                <w:szCs w:val="20"/>
                <w:lang w:val="en-US"/>
              </w:rPr>
              <w:t>[52]</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lang w:eastAsia="en-GB"/>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lang w:eastAsia="en-GB"/>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lang w:eastAsia="en-GB"/>
              </w:rPr>
              <w:t>.</w:t>
            </w:r>
          </w:p>
        </w:tc>
        <w:tc>
          <w:tcPr>
            <w:tcW w:w="3114"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To describe basal insulin analogue dosing irregularities; the effect on patient functioning, </w:t>
            </w:r>
            <w:proofErr w:type="gramStart"/>
            <w:r w:rsidRPr="0079104A">
              <w:rPr>
                <w:rFonts w:eastAsia="Calibri"/>
                <w:sz w:val="20"/>
                <w:szCs w:val="20"/>
              </w:rPr>
              <w:t>well-being</w:t>
            </w:r>
            <w:proofErr w:type="gramEnd"/>
            <w:r w:rsidRPr="0079104A">
              <w:rPr>
                <w:rFonts w:eastAsia="Calibri"/>
                <w:sz w:val="20"/>
                <w:szCs w:val="20"/>
              </w:rPr>
              <w:t xml:space="preserve"> and management; and the identification of patients most at risk in the study.</w:t>
            </w:r>
          </w:p>
        </w:tc>
        <w:tc>
          <w:tcPr>
            <w:tcW w:w="2698"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T2DM Patients using basal insulin analogues (n=3,042)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Physicians (n=1,222):</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Specialists (45%)</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PCPs (55%)</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6710B4" w:rsidRPr="0079104A" w:rsidRDefault="006710B4" w:rsidP="006E7967">
            <w:pPr>
              <w:pStyle w:val="Table"/>
              <w:numPr>
                <w:ilvl w:val="0"/>
                <w:numId w:val="3"/>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Basal insulin dosing irregularities including missed, </w:t>
            </w:r>
            <w:proofErr w:type="gramStart"/>
            <w:r w:rsidRPr="0079104A">
              <w:rPr>
                <w:rFonts w:ascii="Arial" w:hAnsi="Arial" w:cs="Arial"/>
                <w:sz w:val="20"/>
                <w:szCs w:val="20"/>
              </w:rPr>
              <w:t>mistimed</w:t>
            </w:r>
            <w:proofErr w:type="gramEnd"/>
            <w:r w:rsidRPr="0079104A">
              <w:rPr>
                <w:rFonts w:ascii="Arial" w:hAnsi="Arial" w:cs="Arial"/>
                <w:sz w:val="20"/>
                <w:szCs w:val="20"/>
              </w:rPr>
              <w:t xml:space="preserve"> and reduced doses were common. </w:t>
            </w:r>
          </w:p>
          <w:p w:rsidR="006710B4" w:rsidRPr="0079104A" w:rsidRDefault="006710B4" w:rsidP="006E7967">
            <w:pPr>
              <w:pStyle w:val="Table"/>
              <w:numPr>
                <w:ilvl w:val="0"/>
                <w:numId w:val="3"/>
              </w:numPr>
              <w:shd w:val="clear" w:color="auto" w:fill="FFFFFF" w:themeFill="background1"/>
              <w:spacing w:line="276" w:lineRule="auto"/>
              <w:rPr>
                <w:rFonts w:ascii="Arial" w:hAnsi="Arial" w:cs="Arial"/>
                <w:sz w:val="20"/>
                <w:szCs w:val="20"/>
              </w:rPr>
            </w:pPr>
            <w:r w:rsidRPr="0079104A">
              <w:rPr>
                <w:rFonts w:ascii="Arial" w:hAnsi="Arial" w:cs="Arial"/>
                <w:sz w:val="20"/>
                <w:szCs w:val="20"/>
              </w:rPr>
              <w:t>A significant proportion of patients also report undertaking these irregular dosing behaviours at a frequency that would be considered by prescribers to negatively impact diabetes management.</w:t>
            </w:r>
          </w:p>
          <w:p w:rsidR="004203B1" w:rsidRPr="0079104A" w:rsidRDefault="004203B1" w:rsidP="006E7967">
            <w:pPr>
              <w:pStyle w:val="Table"/>
              <w:numPr>
                <w:ilvl w:val="0"/>
                <w:numId w:val="3"/>
              </w:numPr>
              <w:shd w:val="clear" w:color="auto" w:fill="FFFFFF" w:themeFill="background1"/>
              <w:spacing w:line="276" w:lineRule="auto"/>
              <w:rPr>
                <w:rFonts w:ascii="Arial" w:hAnsi="Arial" w:cs="Arial"/>
                <w:sz w:val="20"/>
                <w:szCs w:val="20"/>
              </w:rPr>
            </w:pPr>
            <w:bookmarkStart w:id="2" w:name="_Hlk501217925"/>
            <w:r w:rsidRPr="0079104A">
              <w:rPr>
                <w:rFonts w:ascii="Arial" w:hAnsi="Arial" w:cs="Arial"/>
                <w:sz w:val="20"/>
                <w:szCs w:val="20"/>
              </w:rPr>
              <w:t>Physicians reported that the frequency of basal insulin dosing irregularities in the last 30 days that they perceived to have a significant impact on glucose control was missed, mistimed, or reduced</w:t>
            </w:r>
          </w:p>
          <w:p w:rsidR="006710B4" w:rsidRPr="0079104A" w:rsidRDefault="004203B1" w:rsidP="006E7967">
            <w:pPr>
              <w:pStyle w:val="Table"/>
              <w:shd w:val="clear" w:color="auto" w:fill="FFFFFF" w:themeFill="background1"/>
              <w:spacing w:line="276" w:lineRule="auto"/>
              <w:ind w:left="227"/>
              <w:rPr>
                <w:rFonts w:ascii="Arial" w:hAnsi="Arial" w:cs="Arial"/>
                <w:sz w:val="20"/>
                <w:szCs w:val="20"/>
              </w:rPr>
            </w:pPr>
            <w:r w:rsidRPr="0079104A">
              <w:rPr>
                <w:rFonts w:ascii="Arial" w:hAnsi="Arial" w:cs="Arial"/>
                <w:sz w:val="20"/>
                <w:szCs w:val="20"/>
              </w:rPr>
              <w:t xml:space="preserve">basal insulin doses for patients treated with a basal </w:t>
            </w:r>
            <w:r w:rsidRPr="0079104A">
              <w:rPr>
                <w:rFonts w:ascii="Arial" w:hAnsi="Arial" w:cs="Arial"/>
                <w:sz w:val="20"/>
                <w:szCs w:val="20"/>
              </w:rPr>
              <w:lastRenderedPageBreak/>
              <w:t>insulin or a basal-bolus regime.</w:t>
            </w:r>
            <w:bookmarkEnd w:id="2"/>
          </w:p>
        </w:tc>
      </w:tr>
      <w:tr w:rsidR="006710B4" w:rsidRPr="0079104A" w:rsidTr="0019158C">
        <w:tc>
          <w:tcPr>
            <w:tcW w:w="1418" w:type="dxa"/>
            <w:tcBorders>
              <w:top w:val="nil"/>
              <w:bottom w:val="nil"/>
            </w:tcBorders>
          </w:tcPr>
          <w:p w:rsidR="006710B4" w:rsidRPr="0079104A" w:rsidRDefault="006710B4" w:rsidP="006E7967">
            <w:pPr>
              <w:shd w:val="clear" w:color="auto" w:fill="FFFFFF" w:themeFill="background1"/>
              <w:spacing w:line="276" w:lineRule="auto"/>
              <w:jc w:val="left"/>
              <w:rPr>
                <w:sz w:val="20"/>
                <w:szCs w:val="20"/>
              </w:rPr>
            </w:pPr>
          </w:p>
        </w:tc>
        <w:tc>
          <w:tcPr>
            <w:tcW w:w="1701" w:type="dxa"/>
          </w:tcPr>
          <w:p w:rsidR="006710B4" w:rsidRPr="0079104A" w:rsidRDefault="006710B4" w:rsidP="006E7967">
            <w:pPr>
              <w:shd w:val="clear" w:color="auto" w:fill="FFFFFF" w:themeFill="background1"/>
              <w:spacing w:line="276" w:lineRule="auto"/>
              <w:jc w:val="left"/>
              <w:rPr>
                <w:sz w:val="20"/>
                <w:szCs w:val="20"/>
              </w:rPr>
            </w:pPr>
            <w:r w:rsidRPr="0079104A">
              <w:rPr>
                <w:sz w:val="20"/>
                <w:szCs w:val="20"/>
              </w:rPr>
              <w:t xml:space="preserve">Dosing irregularities </w:t>
            </w:r>
          </w:p>
          <w:p w:rsidR="006710B4" w:rsidRPr="0079104A" w:rsidRDefault="006710B4" w:rsidP="006E7967">
            <w:pPr>
              <w:shd w:val="clear" w:color="auto" w:fill="FFFFFF" w:themeFill="background1"/>
              <w:spacing w:line="276" w:lineRule="auto"/>
              <w:jc w:val="left"/>
              <w:rPr>
                <w:sz w:val="20"/>
                <w:szCs w:val="20"/>
              </w:rPr>
            </w:pPr>
          </w:p>
          <w:p w:rsidR="006710B4" w:rsidRPr="0079104A" w:rsidRDefault="006710B4" w:rsidP="006E7967">
            <w:pPr>
              <w:shd w:val="clear" w:color="auto" w:fill="FFFFFF" w:themeFill="background1"/>
              <w:spacing w:line="276" w:lineRule="auto"/>
              <w:jc w:val="left"/>
              <w:rPr>
                <w:sz w:val="20"/>
                <w:szCs w:val="20"/>
              </w:rPr>
            </w:pPr>
            <w:r w:rsidRPr="0079104A">
              <w:rPr>
                <w:sz w:val="20"/>
                <w:szCs w:val="20"/>
              </w:rPr>
              <w:t>Hypoglycaemia</w:t>
            </w:r>
          </w:p>
          <w:p w:rsidR="006710B4" w:rsidRPr="0079104A" w:rsidRDefault="006710B4" w:rsidP="006E7967">
            <w:pPr>
              <w:shd w:val="clear" w:color="auto" w:fill="FFFFFF" w:themeFill="background1"/>
              <w:spacing w:line="276" w:lineRule="auto"/>
              <w:jc w:val="left"/>
              <w:rPr>
                <w:sz w:val="20"/>
                <w:szCs w:val="20"/>
              </w:rPr>
            </w:pPr>
          </w:p>
          <w:p w:rsidR="006710B4" w:rsidRPr="0079104A" w:rsidRDefault="006710B4" w:rsidP="006E7967">
            <w:pPr>
              <w:shd w:val="clear" w:color="auto" w:fill="FFFFFF" w:themeFill="background1"/>
              <w:spacing w:line="276" w:lineRule="auto"/>
              <w:jc w:val="left"/>
              <w:rPr>
                <w:sz w:val="20"/>
                <w:szCs w:val="20"/>
              </w:rPr>
            </w:pPr>
          </w:p>
        </w:tc>
        <w:tc>
          <w:tcPr>
            <w:tcW w:w="1520" w:type="dxa"/>
          </w:tcPr>
          <w:p w:rsidR="006710B4" w:rsidRPr="0079104A" w:rsidRDefault="006710B4" w:rsidP="006E7967">
            <w:pPr>
              <w:shd w:val="clear" w:color="auto" w:fill="FFFFFF" w:themeFill="background1"/>
              <w:spacing w:line="276" w:lineRule="auto"/>
              <w:jc w:val="left"/>
              <w:rPr>
                <w:sz w:val="20"/>
                <w:szCs w:val="20"/>
              </w:rPr>
            </w:pPr>
            <w:r w:rsidRPr="0079104A">
              <w:rPr>
                <w:sz w:val="20"/>
                <w:szCs w:val="20"/>
              </w:rPr>
              <w:t>Leiter</w:t>
            </w:r>
            <w:r w:rsidR="00405072">
              <w:rPr>
                <w:sz w:val="20"/>
                <w:szCs w:val="20"/>
              </w:rPr>
              <w:t xml:space="preserve"> [60]</w:t>
            </w:r>
          </w:p>
          <w:p w:rsidR="006710B4" w:rsidRPr="0079104A" w:rsidRDefault="006710B4" w:rsidP="006E7967">
            <w:pPr>
              <w:shd w:val="clear" w:color="auto" w:fill="FFFFFF" w:themeFill="background1"/>
              <w:spacing w:line="276" w:lineRule="auto"/>
              <w:jc w:val="left"/>
              <w:rPr>
                <w:rFonts w:eastAsia="Calibri"/>
                <w:sz w:val="20"/>
                <w:szCs w:val="20"/>
              </w:rPr>
            </w:pPr>
          </w:p>
          <w:p w:rsidR="006710B4" w:rsidRPr="0079104A" w:rsidRDefault="006710B4" w:rsidP="006E7967">
            <w:pPr>
              <w:shd w:val="clear" w:color="auto" w:fill="FFFFFF" w:themeFill="background1"/>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assess the frequency and impact of dosing irregularities and self-treated hypoglycaemia in T2DM patients treated with insulin analogues in the GAPP2 study.</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Patients with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treated T2DM (n=156)</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Physicians (n=202)</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Of which:</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PCPs (n=160)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Specialists (n=42)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6710B4" w:rsidRPr="0079104A" w:rsidRDefault="006710B4" w:rsidP="006E7967">
            <w:pPr>
              <w:pStyle w:val="Table"/>
              <w:numPr>
                <w:ilvl w:val="0"/>
                <w:numId w:val="8"/>
              </w:numPr>
              <w:shd w:val="clear" w:color="auto" w:fill="FFFFFF" w:themeFill="background1"/>
              <w:spacing w:line="276" w:lineRule="auto"/>
              <w:rPr>
                <w:sz w:val="20"/>
                <w:szCs w:val="20"/>
              </w:rPr>
            </w:pPr>
            <w:r w:rsidRPr="0079104A">
              <w:rPr>
                <w:rFonts w:ascii="Arial" w:hAnsi="Arial" w:cs="Arial"/>
                <w:sz w:val="20"/>
                <w:szCs w:val="20"/>
              </w:rPr>
              <w:t>Concern about hypoglycaemia was the most common reason for intentional dosing irregularities by patients</w:t>
            </w:r>
            <w:r w:rsidRPr="0079104A">
              <w:rPr>
                <w:sz w:val="20"/>
                <w:szCs w:val="20"/>
              </w:rPr>
              <w:t>.</w:t>
            </w:r>
          </w:p>
          <w:p w:rsidR="006710B4" w:rsidRPr="0079104A" w:rsidRDefault="006710B4" w:rsidP="006E7967">
            <w:pPr>
              <w:pStyle w:val="ListParagraph"/>
              <w:widowControl w:val="0"/>
              <w:numPr>
                <w:ilvl w:val="0"/>
                <w:numId w:val="8"/>
              </w:numPr>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26% of patients reported experiencing a dosing irregularity (missed, </w:t>
            </w:r>
            <w:proofErr w:type="gramStart"/>
            <w:r w:rsidRPr="0079104A">
              <w:rPr>
                <w:rFonts w:eastAsia="Calibri"/>
                <w:sz w:val="20"/>
                <w:szCs w:val="20"/>
              </w:rPr>
              <w:t>mistimed</w:t>
            </w:r>
            <w:proofErr w:type="gramEnd"/>
            <w:r w:rsidRPr="0079104A">
              <w:rPr>
                <w:rFonts w:eastAsia="Calibri"/>
                <w:sz w:val="20"/>
                <w:szCs w:val="20"/>
              </w:rPr>
              <w:t xml:space="preserve"> or reduced a basal insulin dose) in the previous 30 days.</w:t>
            </w:r>
          </w:p>
          <w:p w:rsidR="006710B4" w:rsidRPr="0079104A" w:rsidRDefault="006710B4" w:rsidP="006E7967">
            <w:pPr>
              <w:pStyle w:val="ListParagraph"/>
              <w:widowControl w:val="0"/>
              <w:numPr>
                <w:ilvl w:val="0"/>
                <w:numId w:val="8"/>
              </w:numPr>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Up to 60% reported risk for hypoglycaemia as the reason for intentional dosing irregularities.</w:t>
            </w:r>
          </w:p>
          <w:p w:rsidR="006710B4" w:rsidRPr="0079104A" w:rsidRDefault="006710B4" w:rsidP="006E7967">
            <w:pPr>
              <w:pStyle w:val="ListParagraph"/>
              <w:widowControl w:val="0"/>
              <w:numPr>
                <w:ilvl w:val="0"/>
                <w:numId w:val="8"/>
              </w:numPr>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80% reported experiencing a self-treated hypoglycaemic event, and 33% recalled having at least one event in the previous month. </w:t>
            </w:r>
          </w:p>
          <w:p w:rsidR="006710B4" w:rsidRPr="0079104A" w:rsidRDefault="006710B4" w:rsidP="006E7967">
            <w:pPr>
              <w:pStyle w:val="ListParagraph"/>
              <w:widowControl w:val="0"/>
              <w:numPr>
                <w:ilvl w:val="0"/>
                <w:numId w:val="8"/>
              </w:numPr>
              <w:shd w:val="clear" w:color="auto" w:fill="FFFFFF" w:themeFill="background1"/>
              <w:autoSpaceDE w:val="0"/>
              <w:autoSpaceDN w:val="0"/>
              <w:adjustRightInd w:val="0"/>
              <w:spacing w:line="276" w:lineRule="auto"/>
              <w:jc w:val="left"/>
              <w:rPr>
                <w:rFonts w:eastAsia="Calibri"/>
                <w:sz w:val="20"/>
                <w:szCs w:val="20"/>
              </w:rPr>
            </w:pPr>
            <w:bookmarkStart w:id="3" w:name="_Hlk501818329"/>
            <w:r w:rsidRPr="0079104A">
              <w:rPr>
                <w:rFonts w:eastAsia="Calibri"/>
                <w:sz w:val="20"/>
                <w:szCs w:val="20"/>
              </w:rPr>
              <w:t>HCPs recorded similar levels of patient-reported dosing irregularities</w:t>
            </w:r>
            <w:bookmarkEnd w:id="3"/>
            <w:r w:rsidRPr="0079104A">
              <w:rPr>
                <w:rFonts w:eastAsia="Calibri"/>
                <w:sz w:val="20"/>
                <w:szCs w:val="20"/>
              </w:rPr>
              <w:t>.</w:t>
            </w:r>
          </w:p>
          <w:p w:rsidR="006710B4" w:rsidRPr="0079104A" w:rsidRDefault="006710B4" w:rsidP="006E7967">
            <w:pPr>
              <w:pStyle w:val="ListParagraph"/>
              <w:widowControl w:val="0"/>
              <w:numPr>
                <w:ilvl w:val="0"/>
                <w:numId w:val="8"/>
              </w:numPr>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Over 90% indicated they recommended patients to temporarily reduce their insulin doses to deal with hypoglycaemia.</w:t>
            </w:r>
          </w:p>
        </w:tc>
      </w:tr>
      <w:tr w:rsidR="006710B4" w:rsidRPr="00E4079E" w:rsidTr="0019158C">
        <w:tc>
          <w:tcPr>
            <w:tcW w:w="1418" w:type="dxa"/>
            <w:tcBorders>
              <w:top w:val="nil"/>
              <w:bottom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adherence</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520"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Peyrot</w:t>
            </w:r>
            <w:proofErr w:type="spellEnd"/>
            <w:r w:rsidRPr="0079104A">
              <w:rPr>
                <w:rFonts w:eastAsia="Calibri"/>
                <w:sz w:val="20"/>
                <w:szCs w:val="20"/>
              </w:rPr>
              <w:t xml:space="preserve"> </w:t>
            </w:r>
            <w:r w:rsidR="00405072">
              <w:rPr>
                <w:rFonts w:eastAsia="Calibri"/>
                <w:sz w:val="20"/>
                <w:szCs w:val="20"/>
              </w:rPr>
              <w:t>[66]</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shd w:val="clear" w:color="auto" w:fill="FFFFFF" w:themeFill="background1"/>
              <w:spacing w:line="276" w:lineRule="auto"/>
              <w:jc w:val="left"/>
              <w:rPr>
                <w:sz w:val="20"/>
                <w:szCs w:val="20"/>
              </w:rPr>
            </w:pPr>
          </w:p>
          <w:p w:rsidR="006710B4" w:rsidRPr="0079104A" w:rsidRDefault="006710B4" w:rsidP="006E7967">
            <w:pPr>
              <w:shd w:val="clear" w:color="auto" w:fill="FFFFFF" w:themeFill="background1"/>
              <w:spacing w:line="276" w:lineRule="auto"/>
              <w:jc w:val="left"/>
              <w:rPr>
                <w:sz w:val="20"/>
                <w:szCs w:val="20"/>
              </w:rPr>
            </w:pPr>
          </w:p>
          <w:p w:rsidR="006710B4" w:rsidRPr="0079104A" w:rsidRDefault="006710B4" w:rsidP="006E7967">
            <w:pPr>
              <w:shd w:val="clear" w:color="auto" w:fill="FFFFFF" w:themeFill="background1"/>
              <w:spacing w:line="276" w:lineRule="auto"/>
              <w:jc w:val="left"/>
              <w:rPr>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 </w:t>
            </w:r>
          </w:p>
        </w:tc>
        <w:tc>
          <w:tcPr>
            <w:tcW w:w="3114"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To examine patient and physician beliefs regarding insulin therapy and degree to which patients adhere to insulin regimes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treated DM adults (n=1,530)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of which:</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T1DM (n=180)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T2DM (n=1,350)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Physicians (n=1,250) of which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Specialists (n=600)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PCPs (n=650)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Pr>
          <w:p w:rsidR="006710B4" w:rsidRPr="00E4079E" w:rsidRDefault="006710B4" w:rsidP="006E7967">
            <w:pPr>
              <w:pStyle w:val="Table"/>
              <w:numPr>
                <w:ilvl w:val="0"/>
                <w:numId w:val="14"/>
              </w:numPr>
              <w:shd w:val="clear" w:color="auto" w:fill="FFFFFF" w:themeFill="background1"/>
              <w:spacing w:line="276" w:lineRule="auto"/>
              <w:rPr>
                <w:rFonts w:ascii="Arial" w:hAnsi="Arial" w:cs="Arial"/>
                <w:sz w:val="20"/>
                <w:szCs w:val="20"/>
              </w:rPr>
            </w:pPr>
            <w:r w:rsidRPr="00E4079E">
              <w:rPr>
                <w:rFonts w:ascii="Arial" w:hAnsi="Arial" w:cs="Arial"/>
                <w:sz w:val="20"/>
                <w:szCs w:val="20"/>
              </w:rPr>
              <w:t>More patients reported positive than negative impact on life, except finances (P&lt;0.05) but the trend was stronger for patients with</w:t>
            </w:r>
            <w:r w:rsidR="00F51640" w:rsidRPr="00E4079E">
              <w:rPr>
                <w:rFonts w:ascii="Arial" w:hAnsi="Arial" w:cs="Arial"/>
                <w:sz w:val="20"/>
                <w:szCs w:val="20"/>
              </w:rPr>
              <w:t xml:space="preserve"> T1DM</w:t>
            </w:r>
            <w:r w:rsidRPr="00E4079E">
              <w:rPr>
                <w:rFonts w:ascii="Arial" w:hAnsi="Arial" w:cs="Arial"/>
                <w:sz w:val="20"/>
                <w:szCs w:val="20"/>
              </w:rPr>
              <w:t xml:space="preserve"> </w:t>
            </w:r>
            <w:r w:rsidR="00F51640" w:rsidRPr="00E4079E">
              <w:rPr>
                <w:rFonts w:ascii="Arial" w:hAnsi="Arial" w:cs="Arial"/>
                <w:sz w:val="20"/>
                <w:szCs w:val="20"/>
              </w:rPr>
              <w:t>than with T2DM.</w:t>
            </w:r>
          </w:p>
          <w:p w:rsidR="006710B4" w:rsidRPr="00E4079E" w:rsidRDefault="006710B4" w:rsidP="006E7967">
            <w:pPr>
              <w:pStyle w:val="Table"/>
              <w:numPr>
                <w:ilvl w:val="0"/>
                <w:numId w:val="14"/>
              </w:numPr>
              <w:shd w:val="clear" w:color="auto" w:fill="FFFFFF" w:themeFill="background1"/>
              <w:spacing w:line="276" w:lineRule="auto"/>
              <w:rPr>
                <w:rFonts w:ascii="Arial" w:hAnsi="Arial" w:cs="Arial"/>
                <w:sz w:val="20"/>
                <w:szCs w:val="20"/>
              </w:rPr>
            </w:pPr>
            <w:r w:rsidRPr="00E4079E">
              <w:rPr>
                <w:rFonts w:ascii="Arial" w:hAnsi="Arial" w:cs="Arial"/>
                <w:sz w:val="20"/>
                <w:szCs w:val="20"/>
              </w:rPr>
              <w:t xml:space="preserve">33.2% of patients reported insulin omission ⁄ non-adherence at least 1 day in the last month with average of 3.3 days. </w:t>
            </w:r>
          </w:p>
          <w:p w:rsidR="006710B4" w:rsidRPr="00E4079E" w:rsidRDefault="006710B4" w:rsidP="006E7967">
            <w:pPr>
              <w:pStyle w:val="Table"/>
              <w:numPr>
                <w:ilvl w:val="0"/>
                <w:numId w:val="14"/>
              </w:numPr>
              <w:shd w:val="clear" w:color="auto" w:fill="FFFFFF" w:themeFill="background1"/>
              <w:spacing w:line="276" w:lineRule="auto"/>
              <w:rPr>
                <w:rFonts w:ascii="Arial" w:hAnsi="Arial" w:cs="Arial"/>
                <w:sz w:val="20"/>
                <w:szCs w:val="20"/>
              </w:rPr>
            </w:pPr>
            <w:bookmarkStart w:id="4" w:name="_Hlk501818209"/>
            <w:r w:rsidRPr="00E4079E">
              <w:rPr>
                <w:rFonts w:ascii="Arial" w:hAnsi="Arial" w:cs="Arial"/>
                <w:sz w:val="20"/>
                <w:szCs w:val="20"/>
              </w:rPr>
              <w:t>72.5% of physicians reported their typical patient does not take their insulin as prescribed, with a mean 4.3 days per month of basal insulin omission ⁄ non-adherence and 5.7 days /month of prandial Insulin omission ⁄ non-adherence.</w:t>
            </w:r>
          </w:p>
          <w:p w:rsidR="006710B4" w:rsidRPr="00E4079E" w:rsidRDefault="006710B4" w:rsidP="006E7967">
            <w:pPr>
              <w:pStyle w:val="Table"/>
              <w:numPr>
                <w:ilvl w:val="0"/>
                <w:numId w:val="14"/>
              </w:numPr>
              <w:shd w:val="clear" w:color="auto" w:fill="FFFFFF" w:themeFill="background1"/>
              <w:spacing w:line="276" w:lineRule="auto"/>
              <w:rPr>
                <w:rFonts w:ascii="Arial" w:hAnsi="Arial" w:cs="Arial"/>
                <w:sz w:val="20"/>
                <w:szCs w:val="20"/>
              </w:rPr>
            </w:pPr>
            <w:bookmarkStart w:id="5" w:name="_Hlk501218684"/>
            <w:bookmarkEnd w:id="4"/>
            <w:r w:rsidRPr="00E4079E">
              <w:rPr>
                <w:rFonts w:ascii="Arial" w:hAnsi="Arial" w:cs="Arial"/>
                <w:sz w:val="20"/>
                <w:szCs w:val="20"/>
              </w:rPr>
              <w:t xml:space="preserve">Patients &amp; providers indicated same five most common reasons for omission⁄ non-adherence: too busy; travelling; skipped meals; stress ⁄ emotional </w:t>
            </w:r>
            <w:r w:rsidRPr="00E4079E">
              <w:rPr>
                <w:rFonts w:ascii="Arial" w:hAnsi="Arial" w:cs="Arial"/>
                <w:sz w:val="20"/>
                <w:szCs w:val="20"/>
              </w:rPr>
              <w:lastRenderedPageBreak/>
              <w:t xml:space="preserve">problems; public embarrassment. </w:t>
            </w:r>
          </w:p>
          <w:bookmarkEnd w:id="5"/>
          <w:p w:rsidR="006710B4" w:rsidRPr="00E4079E" w:rsidRDefault="006710B4" w:rsidP="006E7967">
            <w:pPr>
              <w:pStyle w:val="Table"/>
              <w:numPr>
                <w:ilvl w:val="0"/>
                <w:numId w:val="14"/>
              </w:numPr>
              <w:shd w:val="clear" w:color="auto" w:fill="FFFFFF" w:themeFill="background1"/>
              <w:spacing w:line="276" w:lineRule="auto"/>
              <w:rPr>
                <w:rFonts w:ascii="Arial" w:hAnsi="Arial" w:cs="Arial"/>
                <w:sz w:val="20"/>
                <w:szCs w:val="20"/>
              </w:rPr>
            </w:pPr>
            <w:r w:rsidRPr="00E4079E">
              <w:rPr>
                <w:rFonts w:ascii="Arial" w:hAnsi="Arial" w:cs="Arial"/>
                <w:sz w:val="20"/>
                <w:szCs w:val="20"/>
              </w:rPr>
              <w:t>Most physicians reported many insulin-treated patients did not have adequate glucose control (87.6%) and would treat more aggressively if not for concern about hypoglycaemia (75.5%).</w:t>
            </w:r>
          </w:p>
          <w:p w:rsidR="006710B4" w:rsidRPr="00E4079E" w:rsidRDefault="006710B4" w:rsidP="006E7967">
            <w:pPr>
              <w:pStyle w:val="Table"/>
              <w:numPr>
                <w:ilvl w:val="0"/>
                <w:numId w:val="14"/>
              </w:numPr>
              <w:shd w:val="clear" w:color="auto" w:fill="FFFFFF" w:themeFill="background1"/>
              <w:spacing w:line="276" w:lineRule="auto"/>
              <w:rPr>
                <w:rFonts w:ascii="Arial" w:hAnsi="Arial" w:cs="Arial"/>
                <w:sz w:val="20"/>
                <w:szCs w:val="20"/>
              </w:rPr>
            </w:pPr>
            <w:r w:rsidRPr="00E4079E">
              <w:rPr>
                <w:rFonts w:ascii="Arial" w:hAnsi="Arial" w:cs="Arial"/>
                <w:sz w:val="20"/>
                <w:szCs w:val="20"/>
              </w:rPr>
              <w:t>Though a majority of patients (and physicians) regarded insulin treatment as restrictive, more patients saw insulin treatment as having positive than negative impacts.</w:t>
            </w:r>
          </w:p>
        </w:tc>
      </w:tr>
      <w:tr w:rsidR="006710B4" w:rsidRPr="0079104A" w:rsidTr="00610D9F">
        <w:tc>
          <w:tcPr>
            <w:tcW w:w="1418" w:type="dxa"/>
            <w:tcBorders>
              <w:top w:val="nil"/>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Injection problems</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520"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Rubin</w:t>
            </w:r>
            <w:r w:rsidR="00405072">
              <w:rPr>
                <w:rFonts w:eastAsia="Calibri"/>
                <w:sz w:val="20"/>
                <w:szCs w:val="20"/>
              </w:rPr>
              <w:t xml:space="preserve"> [67]</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compare patients’ perceptions of injection-related problems with clinicians’ estimates of those problems.</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Insulin treated adults (n=501) of which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T2DM (n=385)</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PCPs (n=101)</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Endocrinologists (n=100)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Diabetes Educators (n=100)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bottom w:val="single" w:sz="4" w:space="0" w:color="auto"/>
            </w:tcBorders>
          </w:tcPr>
          <w:p w:rsidR="006710B4" w:rsidRPr="0079104A" w:rsidRDefault="006710B4" w:rsidP="006E7967">
            <w:pPr>
              <w:pStyle w:val="Table"/>
              <w:numPr>
                <w:ilvl w:val="0"/>
                <w:numId w:val="15"/>
              </w:numPr>
              <w:shd w:val="clear" w:color="auto" w:fill="FFFFFF" w:themeFill="background1"/>
              <w:spacing w:line="276" w:lineRule="auto"/>
              <w:rPr>
                <w:rFonts w:ascii="Arial" w:hAnsi="Arial" w:cs="Arial"/>
                <w:sz w:val="20"/>
                <w:szCs w:val="20"/>
              </w:rPr>
            </w:pPr>
            <w:proofErr w:type="gramStart"/>
            <w:r w:rsidRPr="0079104A">
              <w:rPr>
                <w:rFonts w:ascii="Arial" w:hAnsi="Arial" w:cs="Arial"/>
                <w:sz w:val="20"/>
                <w:szCs w:val="20"/>
              </w:rPr>
              <w:t>The majority of</w:t>
            </w:r>
            <w:proofErr w:type="gramEnd"/>
            <w:r w:rsidRPr="0079104A">
              <w:rPr>
                <w:rFonts w:ascii="Arial" w:hAnsi="Arial" w:cs="Arial"/>
                <w:sz w:val="20"/>
                <w:szCs w:val="20"/>
              </w:rPr>
              <w:t xml:space="preserve"> patients would like to reduce numbers of injections taken each day. </w:t>
            </w:r>
          </w:p>
          <w:p w:rsidR="006710B4" w:rsidRPr="0079104A" w:rsidRDefault="006710B4" w:rsidP="006E7967">
            <w:pPr>
              <w:pStyle w:val="Table"/>
              <w:numPr>
                <w:ilvl w:val="0"/>
                <w:numId w:val="15"/>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Almost 50% would be more likely to take insulin regularly if a product were available to ease pain. A smaller proportion reported: injections were serious burden, they were dissatisfied with way of taking insulin, injections had a substantial negative impact on QOL, they skipped injections they should take, or injection-related problems affected injection number they were willing to take. </w:t>
            </w:r>
          </w:p>
          <w:p w:rsidR="006710B4" w:rsidRPr="0079104A" w:rsidRDefault="00441BDD" w:rsidP="006E7967">
            <w:pPr>
              <w:pStyle w:val="Table"/>
              <w:numPr>
                <w:ilvl w:val="0"/>
                <w:numId w:val="16"/>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Awareness of products among </w:t>
            </w:r>
            <w:r w:rsidR="00404722">
              <w:rPr>
                <w:rFonts w:ascii="Arial" w:hAnsi="Arial" w:cs="Arial"/>
                <w:sz w:val="20"/>
                <w:szCs w:val="20"/>
              </w:rPr>
              <w:t>HCPs</w:t>
            </w:r>
            <w:r w:rsidRPr="0079104A">
              <w:rPr>
                <w:rFonts w:ascii="Arial" w:hAnsi="Arial" w:cs="Arial"/>
                <w:sz w:val="20"/>
                <w:szCs w:val="20"/>
              </w:rPr>
              <w:t xml:space="preserve"> was high, but not effectively communicated to patients.</w:t>
            </w:r>
          </w:p>
        </w:tc>
      </w:tr>
      <w:tr w:rsidR="0019158C" w:rsidRPr="0079104A" w:rsidTr="00610D9F">
        <w:tc>
          <w:tcPr>
            <w:tcW w:w="1418" w:type="dxa"/>
            <w:tcBorders>
              <w:top w:val="single" w:sz="4" w:space="0" w:color="auto"/>
              <w:bottom w:val="nil"/>
            </w:tcBorders>
          </w:tcPr>
          <w:p w:rsidR="0019158C" w:rsidRPr="0079104A" w:rsidRDefault="0019158C" w:rsidP="006E7967">
            <w:pPr>
              <w:shd w:val="clear" w:color="auto" w:fill="FFFFFF" w:themeFill="background1"/>
              <w:spacing w:line="276" w:lineRule="auto"/>
              <w:jc w:val="left"/>
              <w:rPr>
                <w:sz w:val="20"/>
                <w:szCs w:val="20"/>
              </w:rPr>
            </w:pPr>
          </w:p>
        </w:tc>
        <w:tc>
          <w:tcPr>
            <w:tcW w:w="1701" w:type="dxa"/>
            <w:tcBorders>
              <w:top w:val="single" w:sz="4" w:space="0" w:color="auto"/>
              <w:bottom w:val="nil"/>
            </w:tcBorders>
          </w:tcPr>
          <w:p w:rsidR="0019158C" w:rsidRPr="0079104A" w:rsidRDefault="0019158C" w:rsidP="006E7967">
            <w:pPr>
              <w:shd w:val="clear" w:color="auto" w:fill="FFFFFF" w:themeFill="background1"/>
              <w:spacing w:line="276" w:lineRule="auto"/>
              <w:jc w:val="left"/>
              <w:rPr>
                <w:sz w:val="20"/>
                <w:szCs w:val="20"/>
              </w:rPr>
            </w:pPr>
          </w:p>
        </w:tc>
        <w:tc>
          <w:tcPr>
            <w:tcW w:w="1520" w:type="dxa"/>
            <w:tcBorders>
              <w:top w:val="single" w:sz="4" w:space="0" w:color="auto"/>
              <w:bottom w:val="nil"/>
            </w:tcBorders>
          </w:tcPr>
          <w:p w:rsidR="0019158C" w:rsidRPr="0079104A" w:rsidRDefault="0019158C" w:rsidP="006E7967">
            <w:pPr>
              <w:shd w:val="clear" w:color="auto" w:fill="FFFFFF" w:themeFill="background1"/>
              <w:spacing w:line="276" w:lineRule="auto"/>
              <w:jc w:val="left"/>
              <w:rPr>
                <w:sz w:val="20"/>
                <w:szCs w:val="20"/>
              </w:rPr>
            </w:pPr>
          </w:p>
        </w:tc>
        <w:tc>
          <w:tcPr>
            <w:tcW w:w="3114" w:type="dxa"/>
            <w:tcBorders>
              <w:top w:val="single" w:sz="4" w:space="0" w:color="auto"/>
              <w:bottom w:val="nil"/>
            </w:tcBorders>
          </w:tcPr>
          <w:p w:rsidR="0019158C" w:rsidRPr="0079104A" w:rsidRDefault="0019158C"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top w:val="single" w:sz="4" w:space="0" w:color="auto"/>
              <w:bottom w:val="nil"/>
            </w:tcBorders>
          </w:tcPr>
          <w:p w:rsidR="0019158C" w:rsidRPr="0079104A" w:rsidRDefault="0019158C"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top w:val="single" w:sz="4" w:space="0" w:color="auto"/>
              <w:bottom w:val="nil"/>
            </w:tcBorders>
          </w:tcPr>
          <w:p w:rsidR="0019158C" w:rsidRPr="0079104A" w:rsidRDefault="0019158C" w:rsidP="006E7967">
            <w:pPr>
              <w:pStyle w:val="Table"/>
              <w:shd w:val="clear" w:color="auto" w:fill="FFFFFF" w:themeFill="background1"/>
              <w:spacing w:line="276" w:lineRule="auto"/>
              <w:rPr>
                <w:rFonts w:ascii="Arial" w:hAnsi="Arial" w:cs="Arial"/>
                <w:sz w:val="20"/>
                <w:szCs w:val="20"/>
              </w:rPr>
            </w:pPr>
          </w:p>
        </w:tc>
      </w:tr>
      <w:tr w:rsidR="006710B4" w:rsidRPr="0079104A" w:rsidTr="00610D9F">
        <w:tc>
          <w:tcPr>
            <w:tcW w:w="1418" w:type="dxa"/>
            <w:tcBorders>
              <w:top w:val="nil"/>
              <w:bottom w:val="nil"/>
            </w:tcBorders>
          </w:tcPr>
          <w:p w:rsidR="00610D9F" w:rsidRPr="0079104A" w:rsidRDefault="00610D9F" w:rsidP="006E7967">
            <w:pPr>
              <w:shd w:val="clear" w:color="auto" w:fill="FFFFFF" w:themeFill="background1"/>
              <w:spacing w:line="276" w:lineRule="auto"/>
              <w:jc w:val="left"/>
              <w:rPr>
                <w:sz w:val="20"/>
                <w:szCs w:val="20"/>
              </w:rPr>
            </w:pPr>
            <w:r w:rsidRPr="0079104A">
              <w:rPr>
                <w:sz w:val="20"/>
                <w:szCs w:val="20"/>
              </w:rPr>
              <w:t xml:space="preserve">HCPs </w:t>
            </w:r>
          </w:p>
          <w:p w:rsidR="006710B4" w:rsidRPr="0079104A" w:rsidRDefault="00610D9F" w:rsidP="006E7967">
            <w:pPr>
              <w:shd w:val="clear" w:color="auto" w:fill="FFFFFF" w:themeFill="background1"/>
              <w:spacing w:line="276" w:lineRule="auto"/>
              <w:jc w:val="left"/>
              <w:rPr>
                <w:sz w:val="20"/>
                <w:szCs w:val="20"/>
              </w:rPr>
            </w:pPr>
            <w:r w:rsidRPr="0079104A">
              <w:rPr>
                <w:sz w:val="20"/>
                <w:szCs w:val="20"/>
              </w:rPr>
              <w:t>ONLY</w:t>
            </w:r>
          </w:p>
        </w:tc>
        <w:tc>
          <w:tcPr>
            <w:tcW w:w="1701" w:type="dxa"/>
            <w:tcBorders>
              <w:top w:val="nil"/>
            </w:tcBorders>
          </w:tcPr>
          <w:p w:rsidR="006710B4" w:rsidRPr="0079104A" w:rsidRDefault="006710B4" w:rsidP="006E7967">
            <w:pPr>
              <w:shd w:val="clear" w:color="auto" w:fill="FFFFFF" w:themeFill="background1"/>
              <w:spacing w:line="276" w:lineRule="auto"/>
              <w:jc w:val="left"/>
              <w:rPr>
                <w:sz w:val="20"/>
                <w:szCs w:val="20"/>
              </w:rPr>
            </w:pPr>
            <w:r w:rsidRPr="0079104A">
              <w:rPr>
                <w:sz w:val="20"/>
                <w:szCs w:val="20"/>
              </w:rPr>
              <w:t>Insulin intensification</w:t>
            </w:r>
          </w:p>
          <w:p w:rsidR="006710B4" w:rsidRPr="0079104A" w:rsidRDefault="006710B4" w:rsidP="006E7967">
            <w:pPr>
              <w:shd w:val="clear" w:color="auto" w:fill="FFFFFF" w:themeFill="background1"/>
              <w:spacing w:line="276" w:lineRule="auto"/>
              <w:jc w:val="left"/>
              <w:rPr>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sz w:val="20"/>
                <w:szCs w:val="20"/>
              </w:rPr>
            </w:pPr>
          </w:p>
        </w:tc>
        <w:tc>
          <w:tcPr>
            <w:tcW w:w="1520" w:type="dxa"/>
            <w:tcBorders>
              <w:top w:val="nil"/>
            </w:tcBorders>
          </w:tcPr>
          <w:p w:rsidR="006710B4" w:rsidRPr="0079104A" w:rsidRDefault="006710B4" w:rsidP="006E7967">
            <w:pPr>
              <w:shd w:val="clear" w:color="auto" w:fill="FFFFFF" w:themeFill="background1"/>
              <w:spacing w:line="276" w:lineRule="auto"/>
              <w:jc w:val="left"/>
              <w:rPr>
                <w:i/>
                <w:sz w:val="20"/>
                <w:szCs w:val="20"/>
              </w:rPr>
            </w:pPr>
            <w:proofErr w:type="spellStart"/>
            <w:r w:rsidRPr="0079104A">
              <w:rPr>
                <w:sz w:val="20"/>
                <w:szCs w:val="20"/>
              </w:rPr>
              <w:t>Cuddihy</w:t>
            </w:r>
            <w:proofErr w:type="spellEnd"/>
            <w:r w:rsidR="00405072">
              <w:rPr>
                <w:sz w:val="20"/>
                <w:szCs w:val="20"/>
              </w:rPr>
              <w:t xml:space="preserve"> [56]</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top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investigate the opinions of PCPs (primary care professionals) and diabetes specialists on their perceived role in tackling T2DM and the challenges they face, particularly to insulin intensification.</w:t>
            </w:r>
          </w:p>
        </w:tc>
        <w:tc>
          <w:tcPr>
            <w:tcW w:w="2698" w:type="dxa"/>
            <w:tcBorders>
              <w:top w:val="nil"/>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Diabetes specialist physicians (n=300)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PCPs (n=300) </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top w:val="nil"/>
            </w:tcBorders>
          </w:tcPr>
          <w:p w:rsidR="006710B4" w:rsidRPr="0079104A" w:rsidRDefault="006710B4" w:rsidP="006E7967">
            <w:pPr>
              <w:pStyle w:val="Table"/>
              <w:shd w:val="clear" w:color="auto" w:fill="FFFFFF" w:themeFill="background1"/>
              <w:spacing w:line="276" w:lineRule="auto"/>
              <w:rPr>
                <w:rFonts w:ascii="Arial" w:hAnsi="Arial" w:cs="Arial"/>
                <w:sz w:val="20"/>
                <w:szCs w:val="20"/>
              </w:rPr>
            </w:pPr>
            <w:r w:rsidRPr="0079104A">
              <w:rPr>
                <w:rFonts w:ascii="Arial" w:hAnsi="Arial" w:cs="Arial"/>
                <w:sz w:val="20"/>
                <w:szCs w:val="20"/>
              </w:rPr>
              <w:t>Insulin intensification is defined as “adding a different insulin or an additional injection to the current insulin regimen”</w:t>
            </w:r>
          </w:p>
          <w:p w:rsidR="006710B4" w:rsidRPr="0079104A" w:rsidRDefault="006710B4" w:rsidP="006E7967">
            <w:pPr>
              <w:pStyle w:val="Table"/>
              <w:numPr>
                <w:ilvl w:val="0"/>
                <w:numId w:val="18"/>
              </w:numPr>
              <w:shd w:val="clear" w:color="auto" w:fill="FFFFFF" w:themeFill="background1"/>
              <w:spacing w:line="276" w:lineRule="auto"/>
              <w:rPr>
                <w:rFonts w:ascii="Arial" w:hAnsi="Arial" w:cs="Arial"/>
                <w:sz w:val="20"/>
                <w:szCs w:val="20"/>
              </w:rPr>
            </w:pPr>
            <w:r w:rsidRPr="0079104A">
              <w:rPr>
                <w:rFonts w:ascii="Arial" w:hAnsi="Arial" w:cs="Arial"/>
                <w:sz w:val="20"/>
                <w:szCs w:val="20"/>
              </w:rPr>
              <w:t>21% of all PCPs never initiate and/or modify insulin for T2DM.</w:t>
            </w:r>
          </w:p>
          <w:p w:rsidR="006710B4" w:rsidRPr="00E4079E" w:rsidRDefault="006710B4" w:rsidP="006E7967">
            <w:pPr>
              <w:pStyle w:val="Table"/>
              <w:numPr>
                <w:ilvl w:val="0"/>
                <w:numId w:val="18"/>
              </w:numPr>
              <w:spacing w:line="276" w:lineRule="auto"/>
              <w:rPr>
                <w:rFonts w:ascii="Arial" w:hAnsi="Arial" w:cs="Arial"/>
                <w:sz w:val="20"/>
                <w:szCs w:val="20"/>
              </w:rPr>
            </w:pPr>
            <w:r w:rsidRPr="00E4079E">
              <w:rPr>
                <w:rFonts w:ascii="Arial" w:hAnsi="Arial" w:cs="Arial"/>
                <w:sz w:val="20"/>
                <w:szCs w:val="20"/>
              </w:rPr>
              <w:t>Main barriers of insulin intensification cited were lack of experience and lack of time to educate patients.</w:t>
            </w:r>
          </w:p>
          <w:p w:rsidR="006710B4" w:rsidRPr="00E4079E" w:rsidRDefault="006710B4" w:rsidP="006E7967">
            <w:pPr>
              <w:pStyle w:val="Table"/>
              <w:numPr>
                <w:ilvl w:val="0"/>
                <w:numId w:val="18"/>
              </w:numPr>
              <w:spacing w:line="276" w:lineRule="auto"/>
              <w:rPr>
                <w:rFonts w:ascii="Arial" w:hAnsi="Arial" w:cs="Arial"/>
                <w:sz w:val="20"/>
                <w:szCs w:val="20"/>
              </w:rPr>
            </w:pPr>
            <w:r w:rsidRPr="00E4079E">
              <w:rPr>
                <w:rFonts w:ascii="Arial" w:hAnsi="Arial" w:cs="Arial"/>
                <w:sz w:val="20"/>
                <w:szCs w:val="20"/>
              </w:rPr>
              <w:t xml:space="preserve">There was also discord between PCPs and specialists regarding who they considered primarily </w:t>
            </w:r>
            <w:r w:rsidRPr="00E4079E">
              <w:rPr>
                <w:rFonts w:ascii="Arial" w:hAnsi="Arial" w:cs="Arial"/>
                <w:sz w:val="20"/>
                <w:szCs w:val="20"/>
              </w:rPr>
              <w:lastRenderedPageBreak/>
              <w:t>responsible for insulin intensification.</w:t>
            </w:r>
          </w:p>
          <w:p w:rsidR="006710B4" w:rsidRPr="0079104A" w:rsidRDefault="006710B4" w:rsidP="006E7967">
            <w:pPr>
              <w:pStyle w:val="Table"/>
              <w:numPr>
                <w:ilvl w:val="0"/>
                <w:numId w:val="18"/>
              </w:numPr>
              <w:spacing w:line="276" w:lineRule="auto"/>
              <w:rPr>
                <w:rFonts w:ascii="Arial" w:hAnsi="Arial" w:cs="Arial"/>
                <w:sz w:val="20"/>
                <w:szCs w:val="20"/>
              </w:rPr>
            </w:pPr>
            <w:bookmarkStart w:id="6" w:name="_Hlk501816228"/>
            <w:r w:rsidRPr="00E4079E">
              <w:rPr>
                <w:rFonts w:ascii="Arial" w:hAnsi="Arial" w:cs="Arial"/>
                <w:sz w:val="20"/>
                <w:szCs w:val="20"/>
              </w:rPr>
              <w:t>Better collaboration between primary and secondary</w:t>
            </w:r>
            <w:r w:rsidRPr="0079104A">
              <w:rPr>
                <w:rFonts w:ascii="Arial" w:hAnsi="Arial" w:cs="Arial"/>
                <w:sz w:val="20"/>
                <w:szCs w:val="20"/>
              </w:rPr>
              <w:t xml:space="preserve"> care was considered one of the most important factors in improving insulin treatment of T2DM..</w:t>
            </w:r>
            <w:bookmarkEnd w:id="6"/>
          </w:p>
        </w:tc>
      </w:tr>
      <w:tr w:rsidR="006710B4" w:rsidRPr="0079104A" w:rsidTr="0019158C">
        <w:tc>
          <w:tcPr>
            <w:tcW w:w="1418" w:type="dxa"/>
            <w:tcBorders>
              <w:top w:val="nil"/>
              <w:bottom w:val="nil"/>
            </w:tcBorders>
          </w:tcPr>
          <w:p w:rsidR="009D4CFE" w:rsidRPr="0079104A" w:rsidRDefault="009D4CFE" w:rsidP="006E7967">
            <w:pPr>
              <w:shd w:val="clear" w:color="auto" w:fill="FFFFFF" w:themeFill="background1"/>
              <w:spacing w:line="276" w:lineRule="auto"/>
              <w:jc w:val="left"/>
              <w:rPr>
                <w:sz w:val="20"/>
                <w:szCs w:val="20"/>
              </w:rPr>
            </w:pPr>
            <w:r w:rsidRPr="0079104A">
              <w:rPr>
                <w:sz w:val="20"/>
                <w:szCs w:val="20"/>
              </w:rPr>
              <w:lastRenderedPageBreak/>
              <w:t xml:space="preserve">HCPs </w:t>
            </w:r>
          </w:p>
          <w:p w:rsidR="006710B4" w:rsidRPr="0079104A" w:rsidRDefault="009D4CFE"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sz w:val="20"/>
                <w:szCs w:val="20"/>
              </w:rPr>
              <w:t>ONLY</w:t>
            </w:r>
          </w:p>
        </w:tc>
        <w:tc>
          <w:tcPr>
            <w:tcW w:w="1701"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HCP perception of nurse involvement</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520"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roofErr w:type="spellStart"/>
            <w:r w:rsidRPr="0079104A">
              <w:rPr>
                <w:rFonts w:eastAsia="Calibri"/>
                <w:sz w:val="20"/>
                <w:szCs w:val="20"/>
              </w:rPr>
              <w:t>Siminerio</w:t>
            </w:r>
            <w:proofErr w:type="spellEnd"/>
            <w:r w:rsidR="00405072">
              <w:rPr>
                <w:rFonts w:eastAsia="Calibri"/>
                <w:sz w:val="20"/>
                <w:szCs w:val="20"/>
              </w:rPr>
              <w:t xml:space="preserve"> [69]</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examine nurse and</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physician perceptions of nurse involvement in diabetes care.</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General Nurses(n=51)</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DSNs (n=50)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Generalist Physicians (n=166)</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Diabetes Specialist Physicians (n=50)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bottom w:val="single" w:sz="4" w:space="0" w:color="auto"/>
            </w:tcBorders>
          </w:tcPr>
          <w:p w:rsidR="006710B4" w:rsidRPr="0079104A" w:rsidRDefault="006710B4" w:rsidP="006E7967">
            <w:pPr>
              <w:pStyle w:val="Table"/>
              <w:numPr>
                <w:ilvl w:val="0"/>
                <w:numId w:val="19"/>
              </w:numPr>
              <w:shd w:val="clear" w:color="auto" w:fill="FFFFFF" w:themeFill="background1"/>
              <w:spacing w:line="276" w:lineRule="auto"/>
              <w:rPr>
                <w:rFonts w:ascii="Arial" w:hAnsi="Arial" w:cs="Arial"/>
                <w:sz w:val="20"/>
                <w:szCs w:val="20"/>
              </w:rPr>
            </w:pPr>
            <w:r w:rsidRPr="0079104A">
              <w:rPr>
                <w:rFonts w:ascii="Arial" w:hAnsi="Arial" w:cs="Arial"/>
                <w:sz w:val="20"/>
                <w:szCs w:val="20"/>
              </w:rPr>
              <w:t>Nurses &amp; physicians agreed nurses should take a larger role in managing diabetes.</w:t>
            </w:r>
          </w:p>
          <w:p w:rsidR="006710B4" w:rsidRPr="0079104A" w:rsidRDefault="006710B4" w:rsidP="006E7967">
            <w:pPr>
              <w:pStyle w:val="Table"/>
              <w:numPr>
                <w:ilvl w:val="0"/>
                <w:numId w:val="19"/>
              </w:numPr>
              <w:shd w:val="clear" w:color="auto" w:fill="FFFFFF" w:themeFill="background1"/>
              <w:spacing w:line="276" w:lineRule="auto"/>
              <w:rPr>
                <w:rFonts w:ascii="Arial" w:hAnsi="Arial" w:cs="Arial"/>
                <w:sz w:val="20"/>
                <w:szCs w:val="20"/>
              </w:rPr>
            </w:pPr>
            <w:r w:rsidRPr="0079104A">
              <w:rPr>
                <w:rFonts w:ascii="Arial" w:hAnsi="Arial" w:cs="Arial"/>
                <w:sz w:val="20"/>
                <w:szCs w:val="20"/>
              </w:rPr>
              <w:t xml:space="preserve">Most common difference identified between nurses &amp; physicians were that nurses provide better education, spend more time with patients, were better listeners, and knew their patients better than physicians. </w:t>
            </w:r>
          </w:p>
          <w:p w:rsidR="006710B4" w:rsidRPr="0079104A" w:rsidRDefault="006710B4" w:rsidP="006E7967">
            <w:pPr>
              <w:pStyle w:val="Table"/>
              <w:numPr>
                <w:ilvl w:val="0"/>
                <w:numId w:val="19"/>
              </w:numPr>
              <w:shd w:val="clear" w:color="auto" w:fill="FFFFFF" w:themeFill="background1"/>
              <w:spacing w:line="276" w:lineRule="auto"/>
              <w:rPr>
                <w:rFonts w:ascii="Arial" w:hAnsi="Arial" w:cs="Arial"/>
                <w:sz w:val="20"/>
                <w:szCs w:val="20"/>
              </w:rPr>
            </w:pPr>
            <w:r w:rsidRPr="0079104A">
              <w:rPr>
                <w:rFonts w:ascii="Arial" w:hAnsi="Arial" w:cs="Arial"/>
                <w:sz w:val="20"/>
                <w:szCs w:val="20"/>
              </w:rPr>
              <w:t>Specialist nurses talk to patients about self-management, teach medicine management (including insulin therapy), have a higher level of involvement in prescribing, and are more willing to take on additional responsibilities than generalist nurses.</w:t>
            </w:r>
          </w:p>
        </w:tc>
      </w:tr>
      <w:tr w:rsidR="006710B4" w:rsidTr="0019158C">
        <w:tc>
          <w:tcPr>
            <w:tcW w:w="1418" w:type="dxa"/>
            <w:tcBorders>
              <w:top w:val="nil"/>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701" w:type="dxa"/>
            <w:tcBorders>
              <w:top w:val="single" w:sz="4" w:space="0" w:color="auto"/>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Insulin management in general practice</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1520" w:type="dxa"/>
            <w:tcBorders>
              <w:top w:val="single" w:sz="4" w:space="0" w:color="auto"/>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 xml:space="preserve">Van </w:t>
            </w:r>
            <w:proofErr w:type="spellStart"/>
            <w:r w:rsidRPr="0079104A">
              <w:rPr>
                <w:rFonts w:eastAsia="Calibri"/>
                <w:sz w:val="20"/>
                <w:szCs w:val="20"/>
              </w:rPr>
              <w:t>Avendonk</w:t>
            </w:r>
            <w:proofErr w:type="spellEnd"/>
            <w:r w:rsidRPr="0079104A">
              <w:rPr>
                <w:rFonts w:eastAsia="Calibri"/>
                <w:sz w:val="20"/>
                <w:szCs w:val="20"/>
              </w:rPr>
              <w:t xml:space="preserve"> </w:t>
            </w:r>
            <w:r w:rsidR="00405072">
              <w:rPr>
                <w:rFonts w:eastAsia="Calibri"/>
                <w:sz w:val="20"/>
                <w:szCs w:val="20"/>
              </w:rPr>
              <w:t>[70]</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3114" w:type="dxa"/>
            <w:tcBorders>
              <w:top w:val="single" w:sz="4" w:space="0" w:color="auto"/>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To investigate the organisation of insulin therapy in general practice and assess factors associated with providing insulin in T2DM patients.</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2698" w:type="dxa"/>
            <w:tcBorders>
              <w:top w:val="single" w:sz="4" w:space="0" w:color="auto"/>
              <w:bottom w:val="single" w:sz="4" w:space="0" w:color="auto"/>
            </w:tcBorders>
          </w:tcPr>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r w:rsidRPr="0079104A">
              <w:rPr>
                <w:rFonts w:eastAsia="Calibri"/>
                <w:sz w:val="20"/>
                <w:szCs w:val="20"/>
              </w:rPr>
              <w:t>Dutch GPs (n=1,621)</w:t>
            </w: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6710B4" w:rsidRPr="0079104A" w:rsidRDefault="006710B4"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E02305" w:rsidRPr="0079104A" w:rsidRDefault="00E02305" w:rsidP="006E7967">
            <w:pPr>
              <w:widowControl w:val="0"/>
              <w:shd w:val="clear" w:color="auto" w:fill="FFFFFF" w:themeFill="background1"/>
              <w:autoSpaceDE w:val="0"/>
              <w:autoSpaceDN w:val="0"/>
              <w:adjustRightInd w:val="0"/>
              <w:spacing w:line="276" w:lineRule="auto"/>
              <w:jc w:val="left"/>
              <w:rPr>
                <w:rFonts w:eastAsia="Calibri"/>
                <w:sz w:val="20"/>
                <w:szCs w:val="20"/>
              </w:rPr>
            </w:pPr>
          </w:p>
          <w:p w:rsidR="00173020" w:rsidRPr="0079104A" w:rsidRDefault="00173020" w:rsidP="006E7967">
            <w:pPr>
              <w:widowControl w:val="0"/>
              <w:shd w:val="clear" w:color="auto" w:fill="FFFFFF" w:themeFill="background1"/>
              <w:autoSpaceDE w:val="0"/>
              <w:autoSpaceDN w:val="0"/>
              <w:adjustRightInd w:val="0"/>
              <w:spacing w:line="276" w:lineRule="auto"/>
              <w:jc w:val="left"/>
              <w:rPr>
                <w:rFonts w:eastAsia="Calibri"/>
                <w:sz w:val="20"/>
                <w:szCs w:val="20"/>
              </w:rPr>
            </w:pPr>
          </w:p>
        </w:tc>
        <w:tc>
          <w:tcPr>
            <w:tcW w:w="5142" w:type="dxa"/>
            <w:tcBorders>
              <w:top w:val="single" w:sz="4" w:space="0" w:color="auto"/>
              <w:bottom w:val="single" w:sz="4" w:space="0" w:color="auto"/>
            </w:tcBorders>
          </w:tcPr>
          <w:p w:rsidR="006710B4" w:rsidRPr="0079104A" w:rsidRDefault="006710B4" w:rsidP="006E7967">
            <w:pPr>
              <w:pStyle w:val="Table"/>
              <w:numPr>
                <w:ilvl w:val="0"/>
                <w:numId w:val="20"/>
              </w:numPr>
              <w:shd w:val="clear" w:color="auto" w:fill="FFFFFF" w:themeFill="background1"/>
              <w:spacing w:line="276" w:lineRule="auto"/>
              <w:rPr>
                <w:rFonts w:ascii="Arial" w:hAnsi="Arial" w:cs="Arial"/>
                <w:sz w:val="20"/>
                <w:szCs w:val="20"/>
              </w:rPr>
            </w:pPr>
            <w:r w:rsidRPr="0079104A">
              <w:rPr>
                <w:rFonts w:ascii="Arial" w:hAnsi="Arial" w:cs="Arial"/>
                <w:sz w:val="20"/>
                <w:szCs w:val="20"/>
              </w:rPr>
              <w:t>67% of GPs start insulin in patients with T2DM.</w:t>
            </w:r>
          </w:p>
          <w:p w:rsidR="006710B4" w:rsidRPr="0079104A" w:rsidRDefault="006710B4" w:rsidP="006E7967">
            <w:pPr>
              <w:pStyle w:val="Table"/>
              <w:numPr>
                <w:ilvl w:val="0"/>
                <w:numId w:val="20"/>
              </w:numPr>
              <w:shd w:val="clear" w:color="auto" w:fill="FFFFFF" w:themeFill="background1"/>
              <w:spacing w:line="276" w:lineRule="auto"/>
              <w:rPr>
                <w:rFonts w:ascii="Arial" w:hAnsi="Arial" w:cs="Arial"/>
                <w:sz w:val="20"/>
                <w:szCs w:val="20"/>
              </w:rPr>
            </w:pPr>
            <w:r w:rsidRPr="0079104A">
              <w:rPr>
                <w:rFonts w:ascii="Arial" w:hAnsi="Arial" w:cs="Arial"/>
                <w:sz w:val="20"/>
                <w:szCs w:val="20"/>
              </w:rPr>
              <w:t>Male GPs, GPs &gt; 40 years, and GPs working in a health centre are more inclined to start insulin themselves.</w:t>
            </w:r>
          </w:p>
          <w:p w:rsidR="006710B4" w:rsidRPr="0079104A" w:rsidRDefault="006710B4" w:rsidP="006E7967">
            <w:pPr>
              <w:pStyle w:val="Table"/>
              <w:numPr>
                <w:ilvl w:val="0"/>
                <w:numId w:val="20"/>
              </w:numPr>
              <w:shd w:val="clear" w:color="auto" w:fill="FFFFFF" w:themeFill="background1"/>
              <w:spacing w:line="276" w:lineRule="auto"/>
              <w:rPr>
                <w:rFonts w:ascii="Arial" w:hAnsi="Arial" w:cs="Arial"/>
                <w:sz w:val="20"/>
                <w:szCs w:val="20"/>
              </w:rPr>
            </w:pPr>
            <w:r w:rsidRPr="0079104A">
              <w:rPr>
                <w:rFonts w:ascii="Arial" w:hAnsi="Arial" w:cs="Arial"/>
                <w:sz w:val="20"/>
                <w:szCs w:val="20"/>
              </w:rPr>
              <w:t>GPs working in urban regions less often start insulin than GPs in rural areas.</w:t>
            </w:r>
          </w:p>
          <w:p w:rsidR="006710B4" w:rsidRPr="0079104A" w:rsidRDefault="006710B4" w:rsidP="006E7967">
            <w:pPr>
              <w:pStyle w:val="Table"/>
              <w:numPr>
                <w:ilvl w:val="0"/>
                <w:numId w:val="20"/>
              </w:numPr>
              <w:shd w:val="clear" w:color="auto" w:fill="FFFFFF" w:themeFill="background1"/>
              <w:spacing w:line="276" w:lineRule="auto"/>
              <w:rPr>
                <w:rFonts w:ascii="Arial" w:hAnsi="Arial" w:cs="Arial"/>
                <w:sz w:val="20"/>
                <w:szCs w:val="20"/>
              </w:rPr>
            </w:pPr>
            <w:r w:rsidRPr="0079104A">
              <w:rPr>
                <w:rFonts w:ascii="Arial" w:hAnsi="Arial" w:cs="Arial"/>
                <w:sz w:val="20"/>
                <w:szCs w:val="20"/>
              </w:rPr>
              <w:t>The most often mentioned barriers for starting and/or monitoring insulin therapy in general practice are lack of knowledge of insulin therapy, lack of time and insufficient financial incentives.</w:t>
            </w:r>
          </w:p>
          <w:p w:rsidR="006710B4" w:rsidRPr="0079104A" w:rsidRDefault="006710B4" w:rsidP="006E7967">
            <w:pPr>
              <w:pStyle w:val="Table"/>
              <w:numPr>
                <w:ilvl w:val="0"/>
                <w:numId w:val="20"/>
              </w:numPr>
              <w:shd w:val="clear" w:color="auto" w:fill="FFFFFF" w:themeFill="background1"/>
              <w:spacing w:line="276" w:lineRule="auto"/>
              <w:rPr>
                <w:sz w:val="20"/>
                <w:szCs w:val="20"/>
              </w:rPr>
            </w:pPr>
            <w:r w:rsidRPr="0079104A">
              <w:rPr>
                <w:rFonts w:ascii="Arial" w:hAnsi="Arial" w:cs="Arial"/>
                <w:sz w:val="20"/>
                <w:szCs w:val="20"/>
              </w:rPr>
              <w:t>The presence of a practice nurse and diabetes clinics is positively associated with providing insulin therapy in general practice</w:t>
            </w:r>
          </w:p>
        </w:tc>
      </w:tr>
    </w:tbl>
    <w:p w:rsidR="003E6EF4" w:rsidRDefault="0015064B" w:rsidP="00B3796F">
      <w:pPr>
        <w:spacing w:line="276" w:lineRule="auto"/>
      </w:pPr>
      <w:bookmarkStart w:id="7" w:name="_GoBack"/>
      <w:r>
        <w:lastRenderedPageBreak/>
        <w:t>Key: DSN = diabetes specialist nurse; PN = practice nurse; GP = general practitioner; HCP = health care professional;</w:t>
      </w:r>
      <w:r w:rsidR="006A4024">
        <w:t xml:space="preserve"> NSNHEs = Non-severe nocturnal hypoglycaemic events;</w:t>
      </w:r>
      <w:r>
        <w:t xml:space="preserve"> OHAs = oral hypoglycaemic agents; PCPs = primary care physicians; QOL = quality of life; SMBG = self-monitoring of blood glucose; T1DM = type 1 diabetes mellitus; T2DM = type 2 diabetes mellitus; Insulin T2DM = insulin treated type 2 diabetes mellitus.</w:t>
      </w:r>
      <w:bookmarkEnd w:id="7"/>
    </w:p>
    <w:sectPr w:rsidR="003E6EF4" w:rsidSect="00610D9F">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F4F27"/>
    <w:multiLevelType w:val="hybridMultilevel"/>
    <w:tmpl w:val="9E8E5AF8"/>
    <w:lvl w:ilvl="0" w:tplc="4A2AA32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D456A"/>
    <w:multiLevelType w:val="hybridMultilevel"/>
    <w:tmpl w:val="1ACA07B6"/>
    <w:lvl w:ilvl="0" w:tplc="27DC7242">
      <w:start w:val="1"/>
      <w:numFmt w:val="bullet"/>
      <w:lvlText w:val=""/>
      <w:lvlJc w:val="left"/>
      <w:pPr>
        <w:ind w:left="227" w:hanging="227"/>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7B26A0"/>
    <w:multiLevelType w:val="hybridMultilevel"/>
    <w:tmpl w:val="DDB612FA"/>
    <w:lvl w:ilvl="0" w:tplc="620E200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346C7"/>
    <w:multiLevelType w:val="hybridMultilevel"/>
    <w:tmpl w:val="2CB8FC74"/>
    <w:lvl w:ilvl="0" w:tplc="4A2AA32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D1E37"/>
    <w:multiLevelType w:val="hybridMultilevel"/>
    <w:tmpl w:val="B5B470F8"/>
    <w:lvl w:ilvl="0" w:tplc="4A2AA32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2206D"/>
    <w:multiLevelType w:val="hybridMultilevel"/>
    <w:tmpl w:val="68ECB7E4"/>
    <w:lvl w:ilvl="0" w:tplc="A378DFE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70E42"/>
    <w:multiLevelType w:val="hybridMultilevel"/>
    <w:tmpl w:val="68D67246"/>
    <w:lvl w:ilvl="0" w:tplc="4A2AA32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F5441"/>
    <w:multiLevelType w:val="hybridMultilevel"/>
    <w:tmpl w:val="B606AEE0"/>
    <w:lvl w:ilvl="0" w:tplc="A378DFE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F29A3"/>
    <w:multiLevelType w:val="hybridMultilevel"/>
    <w:tmpl w:val="05FCD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792199"/>
    <w:multiLevelType w:val="hybridMultilevel"/>
    <w:tmpl w:val="34343AF8"/>
    <w:lvl w:ilvl="0" w:tplc="620E200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D7431"/>
    <w:multiLevelType w:val="hybridMultilevel"/>
    <w:tmpl w:val="83524AEE"/>
    <w:lvl w:ilvl="0" w:tplc="4A2AA32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5C3F32"/>
    <w:multiLevelType w:val="hybridMultilevel"/>
    <w:tmpl w:val="56B25462"/>
    <w:lvl w:ilvl="0" w:tplc="A378DFE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E77D4A"/>
    <w:multiLevelType w:val="hybridMultilevel"/>
    <w:tmpl w:val="AA1EF616"/>
    <w:lvl w:ilvl="0" w:tplc="4A2AA32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82CF8"/>
    <w:multiLevelType w:val="hybridMultilevel"/>
    <w:tmpl w:val="A27618FC"/>
    <w:lvl w:ilvl="0" w:tplc="2C86892E">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20D63"/>
    <w:multiLevelType w:val="hybridMultilevel"/>
    <w:tmpl w:val="B3DEDD76"/>
    <w:lvl w:ilvl="0" w:tplc="A378DFE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513253"/>
    <w:multiLevelType w:val="hybridMultilevel"/>
    <w:tmpl w:val="9372100C"/>
    <w:lvl w:ilvl="0" w:tplc="2C86892E">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7301A9"/>
    <w:multiLevelType w:val="hybridMultilevel"/>
    <w:tmpl w:val="8E3E4C7A"/>
    <w:lvl w:ilvl="0" w:tplc="620E200C">
      <w:start w:val="1"/>
      <w:numFmt w:val="bullet"/>
      <w:lvlText w:val=""/>
      <w:lvlJc w:val="left"/>
      <w:pPr>
        <w:ind w:left="227" w:hanging="227"/>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DFA1BF3"/>
    <w:multiLevelType w:val="hybridMultilevel"/>
    <w:tmpl w:val="D812DA8E"/>
    <w:lvl w:ilvl="0" w:tplc="4A2AA328">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BE6530"/>
    <w:multiLevelType w:val="hybridMultilevel"/>
    <w:tmpl w:val="B3F4359A"/>
    <w:lvl w:ilvl="0" w:tplc="A378DFE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242BA1"/>
    <w:multiLevelType w:val="hybridMultilevel"/>
    <w:tmpl w:val="2D14AD64"/>
    <w:lvl w:ilvl="0" w:tplc="A378DFEC">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E778B7"/>
    <w:multiLevelType w:val="hybridMultilevel"/>
    <w:tmpl w:val="3BE8C40C"/>
    <w:lvl w:ilvl="0" w:tplc="2C86892E">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DD0FAB"/>
    <w:multiLevelType w:val="hybridMultilevel"/>
    <w:tmpl w:val="99BA059C"/>
    <w:lvl w:ilvl="0" w:tplc="2C86892E">
      <w:start w:val="1"/>
      <w:numFmt w:val="bullet"/>
      <w:lvlText w:val=""/>
      <w:lvlJc w:val="left"/>
      <w:pPr>
        <w:ind w:left="227" w:hanging="22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6"/>
  </w:num>
  <w:num w:numId="4">
    <w:abstractNumId w:val="3"/>
  </w:num>
  <w:num w:numId="5">
    <w:abstractNumId w:val="4"/>
  </w:num>
  <w:num w:numId="6">
    <w:abstractNumId w:val="12"/>
  </w:num>
  <w:num w:numId="7">
    <w:abstractNumId w:val="10"/>
  </w:num>
  <w:num w:numId="8">
    <w:abstractNumId w:val="18"/>
  </w:num>
  <w:num w:numId="9">
    <w:abstractNumId w:val="19"/>
  </w:num>
  <w:num w:numId="10">
    <w:abstractNumId w:val="7"/>
  </w:num>
  <w:num w:numId="11">
    <w:abstractNumId w:val="14"/>
  </w:num>
  <w:num w:numId="12">
    <w:abstractNumId w:val="5"/>
  </w:num>
  <w:num w:numId="13">
    <w:abstractNumId w:val="20"/>
  </w:num>
  <w:num w:numId="14">
    <w:abstractNumId w:val="15"/>
  </w:num>
  <w:num w:numId="15">
    <w:abstractNumId w:val="13"/>
  </w:num>
  <w:num w:numId="16">
    <w:abstractNumId w:val="21"/>
  </w:num>
  <w:num w:numId="17">
    <w:abstractNumId w:val="1"/>
  </w:num>
  <w:num w:numId="18">
    <w:abstractNumId w:val="16"/>
  </w:num>
  <w:num w:numId="19">
    <w:abstractNumId w:val="2"/>
  </w:num>
  <w:num w:numId="20">
    <w:abstractNumId w:val="9"/>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64B"/>
    <w:rsid w:val="000036F3"/>
    <w:rsid w:val="00014BF4"/>
    <w:rsid w:val="00023A50"/>
    <w:rsid w:val="00051965"/>
    <w:rsid w:val="000A2654"/>
    <w:rsid w:val="000E387F"/>
    <w:rsid w:val="000F1F2E"/>
    <w:rsid w:val="000F54D2"/>
    <w:rsid w:val="00112D0D"/>
    <w:rsid w:val="0015064B"/>
    <w:rsid w:val="00173020"/>
    <w:rsid w:val="0019158C"/>
    <w:rsid w:val="001A4282"/>
    <w:rsid w:val="001B3E17"/>
    <w:rsid w:val="001B5BF5"/>
    <w:rsid w:val="001D7743"/>
    <w:rsid w:val="0023784C"/>
    <w:rsid w:val="00237EC1"/>
    <w:rsid w:val="00267548"/>
    <w:rsid w:val="002C44FD"/>
    <w:rsid w:val="002E06AB"/>
    <w:rsid w:val="002F4C9A"/>
    <w:rsid w:val="002F7E55"/>
    <w:rsid w:val="002F7F4A"/>
    <w:rsid w:val="00334CA2"/>
    <w:rsid w:val="00355BFB"/>
    <w:rsid w:val="003666E2"/>
    <w:rsid w:val="00373001"/>
    <w:rsid w:val="00390D4C"/>
    <w:rsid w:val="003E3271"/>
    <w:rsid w:val="003E334D"/>
    <w:rsid w:val="003E6EF4"/>
    <w:rsid w:val="004028D6"/>
    <w:rsid w:val="00404722"/>
    <w:rsid w:val="00405072"/>
    <w:rsid w:val="004203B1"/>
    <w:rsid w:val="00435959"/>
    <w:rsid w:val="00441BDD"/>
    <w:rsid w:val="00473C23"/>
    <w:rsid w:val="004818EA"/>
    <w:rsid w:val="004E6C91"/>
    <w:rsid w:val="004F5DA5"/>
    <w:rsid w:val="00541F4C"/>
    <w:rsid w:val="005642C0"/>
    <w:rsid w:val="00571D26"/>
    <w:rsid w:val="0058191A"/>
    <w:rsid w:val="005C0BF7"/>
    <w:rsid w:val="005E6340"/>
    <w:rsid w:val="005F1619"/>
    <w:rsid w:val="00610D9F"/>
    <w:rsid w:val="00617B21"/>
    <w:rsid w:val="006710B4"/>
    <w:rsid w:val="006A4024"/>
    <w:rsid w:val="006B6C6C"/>
    <w:rsid w:val="006C51F4"/>
    <w:rsid w:val="006D0BB4"/>
    <w:rsid w:val="006E7967"/>
    <w:rsid w:val="006F7C0D"/>
    <w:rsid w:val="00706C8D"/>
    <w:rsid w:val="0072684A"/>
    <w:rsid w:val="00762446"/>
    <w:rsid w:val="00783764"/>
    <w:rsid w:val="007906CB"/>
    <w:rsid w:val="0079104A"/>
    <w:rsid w:val="00794FEA"/>
    <w:rsid w:val="007A4CCC"/>
    <w:rsid w:val="007B178F"/>
    <w:rsid w:val="007B53FD"/>
    <w:rsid w:val="007C0893"/>
    <w:rsid w:val="007C5A84"/>
    <w:rsid w:val="007E6819"/>
    <w:rsid w:val="00813A8D"/>
    <w:rsid w:val="008549F3"/>
    <w:rsid w:val="0086696D"/>
    <w:rsid w:val="00872FEE"/>
    <w:rsid w:val="008C0C79"/>
    <w:rsid w:val="0092482D"/>
    <w:rsid w:val="009400F0"/>
    <w:rsid w:val="009429AA"/>
    <w:rsid w:val="00997332"/>
    <w:rsid w:val="009C4240"/>
    <w:rsid w:val="009D4034"/>
    <w:rsid w:val="009D4CFE"/>
    <w:rsid w:val="009F22AC"/>
    <w:rsid w:val="00A11022"/>
    <w:rsid w:val="00A13B88"/>
    <w:rsid w:val="00A310BF"/>
    <w:rsid w:val="00A452C4"/>
    <w:rsid w:val="00A966F1"/>
    <w:rsid w:val="00AC0F9F"/>
    <w:rsid w:val="00AD1364"/>
    <w:rsid w:val="00AD4484"/>
    <w:rsid w:val="00B022C6"/>
    <w:rsid w:val="00B3796F"/>
    <w:rsid w:val="00B418D1"/>
    <w:rsid w:val="00B70841"/>
    <w:rsid w:val="00B97D20"/>
    <w:rsid w:val="00BB1C51"/>
    <w:rsid w:val="00BB4F9F"/>
    <w:rsid w:val="00C07F28"/>
    <w:rsid w:val="00C14C0B"/>
    <w:rsid w:val="00C46245"/>
    <w:rsid w:val="00C569F5"/>
    <w:rsid w:val="00C801DE"/>
    <w:rsid w:val="00CB774B"/>
    <w:rsid w:val="00D176C5"/>
    <w:rsid w:val="00D21883"/>
    <w:rsid w:val="00D657E2"/>
    <w:rsid w:val="00E02305"/>
    <w:rsid w:val="00E266C8"/>
    <w:rsid w:val="00E4079E"/>
    <w:rsid w:val="00E706C4"/>
    <w:rsid w:val="00E92EB2"/>
    <w:rsid w:val="00ED79B2"/>
    <w:rsid w:val="00EE2B5D"/>
    <w:rsid w:val="00EE682B"/>
    <w:rsid w:val="00F17B67"/>
    <w:rsid w:val="00F3797F"/>
    <w:rsid w:val="00F401C4"/>
    <w:rsid w:val="00F51640"/>
    <w:rsid w:val="00FD1B8C"/>
    <w:rsid w:val="00FD7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DE37B"/>
  <w15:chartTrackingRefBased/>
  <w15:docId w15:val="{757E3D4F-81B0-448D-BB3A-54C6AD69B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CFE"/>
    <w:pPr>
      <w:jc w:val="both"/>
    </w:pPr>
  </w:style>
  <w:style w:type="paragraph" w:styleId="Heading1">
    <w:name w:val="heading 1"/>
    <w:basedOn w:val="Normal"/>
    <w:next w:val="Normal"/>
    <w:link w:val="Heading1Char"/>
    <w:uiPriority w:val="9"/>
    <w:qFormat/>
    <w:rsid w:val="006D0BB4"/>
    <w:pPr>
      <w:outlineLvl w:val="0"/>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BB4"/>
    <w:rPr>
      <w:b/>
      <w:sz w:val="28"/>
      <w:szCs w:val="28"/>
    </w:rPr>
  </w:style>
  <w:style w:type="paragraph" w:customStyle="1" w:styleId="EndNoteBibliography">
    <w:name w:val="EndNote Bibliography"/>
    <w:basedOn w:val="Normal"/>
    <w:link w:val="EndNoteBibliographyChar"/>
    <w:rsid w:val="0015064B"/>
    <w:pPr>
      <w:widowControl w:val="0"/>
      <w:autoSpaceDE w:val="0"/>
      <w:autoSpaceDN w:val="0"/>
      <w:adjustRightInd w:val="0"/>
      <w:spacing w:line="240" w:lineRule="auto"/>
      <w:jc w:val="left"/>
    </w:pPr>
    <w:rPr>
      <w:rFonts w:ascii="Times New Roman" w:eastAsia="Calibri" w:hAnsi="Times New Roman" w:cs="Times New Roman"/>
    </w:rPr>
  </w:style>
  <w:style w:type="character" w:customStyle="1" w:styleId="EndNoteBibliographyChar">
    <w:name w:val="EndNote Bibliography Char"/>
    <w:link w:val="EndNoteBibliography"/>
    <w:rsid w:val="0015064B"/>
    <w:rPr>
      <w:rFonts w:ascii="Times New Roman" w:eastAsia="Calibri" w:hAnsi="Times New Roman" w:cs="Times New Roman"/>
    </w:rPr>
  </w:style>
  <w:style w:type="paragraph" w:styleId="Caption">
    <w:name w:val="caption"/>
    <w:basedOn w:val="Normal"/>
    <w:next w:val="Normal"/>
    <w:uiPriority w:val="35"/>
    <w:unhideWhenUsed/>
    <w:qFormat/>
    <w:rsid w:val="0015064B"/>
    <w:pPr>
      <w:spacing w:after="200" w:line="240" w:lineRule="auto"/>
    </w:pPr>
    <w:rPr>
      <w:i/>
      <w:iCs/>
      <w:color w:val="44546A" w:themeColor="text2"/>
      <w:sz w:val="18"/>
      <w:szCs w:val="18"/>
    </w:rPr>
  </w:style>
  <w:style w:type="paragraph" w:styleId="ListParagraph">
    <w:name w:val="List Paragraph"/>
    <w:basedOn w:val="Normal"/>
    <w:uiPriority w:val="34"/>
    <w:qFormat/>
    <w:rsid w:val="002F4C9A"/>
    <w:pPr>
      <w:ind w:left="720"/>
      <w:contextualSpacing/>
    </w:pPr>
  </w:style>
  <w:style w:type="paragraph" w:customStyle="1" w:styleId="Table">
    <w:name w:val="Table"/>
    <w:basedOn w:val="Normal"/>
    <w:link w:val="TableChar"/>
    <w:qFormat/>
    <w:rsid w:val="002F4C9A"/>
    <w:pPr>
      <w:widowControl w:val="0"/>
      <w:autoSpaceDE w:val="0"/>
      <w:autoSpaceDN w:val="0"/>
      <w:adjustRightInd w:val="0"/>
      <w:spacing w:line="240" w:lineRule="auto"/>
      <w:jc w:val="left"/>
    </w:pPr>
    <w:rPr>
      <w:rFonts w:ascii="Times New Roman" w:eastAsia="Calibri" w:hAnsi="Times New Roman" w:cs="Times New Roman"/>
    </w:rPr>
  </w:style>
  <w:style w:type="character" w:customStyle="1" w:styleId="TableChar">
    <w:name w:val="Table Char"/>
    <w:basedOn w:val="DefaultParagraphFont"/>
    <w:link w:val="Table"/>
    <w:rsid w:val="002F4C9A"/>
    <w:rPr>
      <w:rFonts w:ascii="Times New Roman" w:eastAsia="Calibri" w:hAnsi="Times New Roman" w:cs="Times New Roman"/>
    </w:rPr>
  </w:style>
  <w:style w:type="paragraph" w:styleId="BalloonText">
    <w:name w:val="Balloon Text"/>
    <w:basedOn w:val="Normal"/>
    <w:link w:val="BalloonTextChar"/>
    <w:uiPriority w:val="99"/>
    <w:semiHidden/>
    <w:unhideWhenUsed/>
    <w:rsid w:val="00A310B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0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901513">
      <w:bodyDiv w:val="1"/>
      <w:marLeft w:val="0"/>
      <w:marRight w:val="0"/>
      <w:marTop w:val="0"/>
      <w:marBottom w:val="0"/>
      <w:divBdr>
        <w:top w:val="none" w:sz="0" w:space="0" w:color="auto"/>
        <w:left w:val="none" w:sz="0" w:space="0" w:color="auto"/>
        <w:bottom w:val="none" w:sz="0" w:space="0" w:color="auto"/>
        <w:right w:val="none" w:sz="0" w:space="0" w:color="auto"/>
      </w:divBdr>
    </w:div>
    <w:div w:id="362217616">
      <w:bodyDiv w:val="1"/>
      <w:marLeft w:val="0"/>
      <w:marRight w:val="0"/>
      <w:marTop w:val="0"/>
      <w:marBottom w:val="0"/>
      <w:divBdr>
        <w:top w:val="none" w:sz="0" w:space="0" w:color="auto"/>
        <w:left w:val="none" w:sz="0" w:space="0" w:color="auto"/>
        <w:bottom w:val="none" w:sz="0" w:space="0" w:color="auto"/>
        <w:right w:val="none" w:sz="0" w:space="0" w:color="auto"/>
      </w:divBdr>
    </w:div>
    <w:div w:id="402261987">
      <w:bodyDiv w:val="1"/>
      <w:marLeft w:val="0"/>
      <w:marRight w:val="0"/>
      <w:marTop w:val="0"/>
      <w:marBottom w:val="0"/>
      <w:divBdr>
        <w:top w:val="none" w:sz="0" w:space="0" w:color="auto"/>
        <w:left w:val="none" w:sz="0" w:space="0" w:color="auto"/>
        <w:bottom w:val="none" w:sz="0" w:space="0" w:color="auto"/>
        <w:right w:val="none" w:sz="0" w:space="0" w:color="auto"/>
      </w:divBdr>
    </w:div>
    <w:div w:id="451175998">
      <w:bodyDiv w:val="1"/>
      <w:marLeft w:val="0"/>
      <w:marRight w:val="0"/>
      <w:marTop w:val="0"/>
      <w:marBottom w:val="0"/>
      <w:divBdr>
        <w:top w:val="none" w:sz="0" w:space="0" w:color="auto"/>
        <w:left w:val="none" w:sz="0" w:space="0" w:color="auto"/>
        <w:bottom w:val="none" w:sz="0" w:space="0" w:color="auto"/>
        <w:right w:val="none" w:sz="0" w:space="0" w:color="auto"/>
      </w:divBdr>
    </w:div>
    <w:div w:id="531918480">
      <w:bodyDiv w:val="1"/>
      <w:marLeft w:val="0"/>
      <w:marRight w:val="0"/>
      <w:marTop w:val="0"/>
      <w:marBottom w:val="0"/>
      <w:divBdr>
        <w:top w:val="none" w:sz="0" w:space="0" w:color="auto"/>
        <w:left w:val="none" w:sz="0" w:space="0" w:color="auto"/>
        <w:bottom w:val="none" w:sz="0" w:space="0" w:color="auto"/>
        <w:right w:val="none" w:sz="0" w:space="0" w:color="auto"/>
      </w:divBdr>
    </w:div>
    <w:div w:id="641427521">
      <w:bodyDiv w:val="1"/>
      <w:marLeft w:val="0"/>
      <w:marRight w:val="0"/>
      <w:marTop w:val="0"/>
      <w:marBottom w:val="0"/>
      <w:divBdr>
        <w:top w:val="none" w:sz="0" w:space="0" w:color="auto"/>
        <w:left w:val="none" w:sz="0" w:space="0" w:color="auto"/>
        <w:bottom w:val="none" w:sz="0" w:space="0" w:color="auto"/>
        <w:right w:val="none" w:sz="0" w:space="0" w:color="auto"/>
      </w:divBdr>
    </w:div>
    <w:div w:id="672102698">
      <w:bodyDiv w:val="1"/>
      <w:marLeft w:val="0"/>
      <w:marRight w:val="0"/>
      <w:marTop w:val="0"/>
      <w:marBottom w:val="0"/>
      <w:divBdr>
        <w:top w:val="none" w:sz="0" w:space="0" w:color="auto"/>
        <w:left w:val="none" w:sz="0" w:space="0" w:color="auto"/>
        <w:bottom w:val="none" w:sz="0" w:space="0" w:color="auto"/>
        <w:right w:val="none" w:sz="0" w:space="0" w:color="auto"/>
      </w:divBdr>
    </w:div>
    <w:div w:id="674841209">
      <w:bodyDiv w:val="1"/>
      <w:marLeft w:val="0"/>
      <w:marRight w:val="0"/>
      <w:marTop w:val="0"/>
      <w:marBottom w:val="0"/>
      <w:divBdr>
        <w:top w:val="none" w:sz="0" w:space="0" w:color="auto"/>
        <w:left w:val="none" w:sz="0" w:space="0" w:color="auto"/>
        <w:bottom w:val="none" w:sz="0" w:space="0" w:color="auto"/>
        <w:right w:val="none" w:sz="0" w:space="0" w:color="auto"/>
      </w:divBdr>
    </w:div>
    <w:div w:id="774789662">
      <w:bodyDiv w:val="1"/>
      <w:marLeft w:val="0"/>
      <w:marRight w:val="0"/>
      <w:marTop w:val="0"/>
      <w:marBottom w:val="0"/>
      <w:divBdr>
        <w:top w:val="none" w:sz="0" w:space="0" w:color="auto"/>
        <w:left w:val="none" w:sz="0" w:space="0" w:color="auto"/>
        <w:bottom w:val="none" w:sz="0" w:space="0" w:color="auto"/>
        <w:right w:val="none" w:sz="0" w:space="0" w:color="auto"/>
      </w:divBdr>
    </w:div>
    <w:div w:id="788082757">
      <w:bodyDiv w:val="1"/>
      <w:marLeft w:val="0"/>
      <w:marRight w:val="0"/>
      <w:marTop w:val="0"/>
      <w:marBottom w:val="0"/>
      <w:divBdr>
        <w:top w:val="none" w:sz="0" w:space="0" w:color="auto"/>
        <w:left w:val="none" w:sz="0" w:space="0" w:color="auto"/>
        <w:bottom w:val="none" w:sz="0" w:space="0" w:color="auto"/>
        <w:right w:val="none" w:sz="0" w:space="0" w:color="auto"/>
      </w:divBdr>
    </w:div>
    <w:div w:id="856191755">
      <w:bodyDiv w:val="1"/>
      <w:marLeft w:val="0"/>
      <w:marRight w:val="0"/>
      <w:marTop w:val="0"/>
      <w:marBottom w:val="0"/>
      <w:divBdr>
        <w:top w:val="none" w:sz="0" w:space="0" w:color="auto"/>
        <w:left w:val="none" w:sz="0" w:space="0" w:color="auto"/>
        <w:bottom w:val="none" w:sz="0" w:space="0" w:color="auto"/>
        <w:right w:val="none" w:sz="0" w:space="0" w:color="auto"/>
      </w:divBdr>
    </w:div>
    <w:div w:id="913468820">
      <w:bodyDiv w:val="1"/>
      <w:marLeft w:val="0"/>
      <w:marRight w:val="0"/>
      <w:marTop w:val="0"/>
      <w:marBottom w:val="0"/>
      <w:divBdr>
        <w:top w:val="none" w:sz="0" w:space="0" w:color="auto"/>
        <w:left w:val="none" w:sz="0" w:space="0" w:color="auto"/>
        <w:bottom w:val="none" w:sz="0" w:space="0" w:color="auto"/>
        <w:right w:val="none" w:sz="0" w:space="0" w:color="auto"/>
      </w:divBdr>
    </w:div>
    <w:div w:id="919367690">
      <w:bodyDiv w:val="1"/>
      <w:marLeft w:val="0"/>
      <w:marRight w:val="0"/>
      <w:marTop w:val="0"/>
      <w:marBottom w:val="0"/>
      <w:divBdr>
        <w:top w:val="none" w:sz="0" w:space="0" w:color="auto"/>
        <w:left w:val="none" w:sz="0" w:space="0" w:color="auto"/>
        <w:bottom w:val="none" w:sz="0" w:space="0" w:color="auto"/>
        <w:right w:val="none" w:sz="0" w:space="0" w:color="auto"/>
      </w:divBdr>
    </w:div>
    <w:div w:id="1030305055">
      <w:bodyDiv w:val="1"/>
      <w:marLeft w:val="0"/>
      <w:marRight w:val="0"/>
      <w:marTop w:val="0"/>
      <w:marBottom w:val="0"/>
      <w:divBdr>
        <w:top w:val="none" w:sz="0" w:space="0" w:color="auto"/>
        <w:left w:val="none" w:sz="0" w:space="0" w:color="auto"/>
        <w:bottom w:val="none" w:sz="0" w:space="0" w:color="auto"/>
        <w:right w:val="none" w:sz="0" w:space="0" w:color="auto"/>
      </w:divBdr>
    </w:div>
    <w:div w:id="1066803618">
      <w:bodyDiv w:val="1"/>
      <w:marLeft w:val="0"/>
      <w:marRight w:val="0"/>
      <w:marTop w:val="0"/>
      <w:marBottom w:val="0"/>
      <w:divBdr>
        <w:top w:val="none" w:sz="0" w:space="0" w:color="auto"/>
        <w:left w:val="none" w:sz="0" w:space="0" w:color="auto"/>
        <w:bottom w:val="none" w:sz="0" w:space="0" w:color="auto"/>
        <w:right w:val="none" w:sz="0" w:space="0" w:color="auto"/>
      </w:divBdr>
    </w:div>
    <w:div w:id="1086879690">
      <w:bodyDiv w:val="1"/>
      <w:marLeft w:val="0"/>
      <w:marRight w:val="0"/>
      <w:marTop w:val="0"/>
      <w:marBottom w:val="0"/>
      <w:divBdr>
        <w:top w:val="none" w:sz="0" w:space="0" w:color="auto"/>
        <w:left w:val="none" w:sz="0" w:space="0" w:color="auto"/>
        <w:bottom w:val="none" w:sz="0" w:space="0" w:color="auto"/>
        <w:right w:val="none" w:sz="0" w:space="0" w:color="auto"/>
      </w:divBdr>
    </w:div>
    <w:div w:id="1179351088">
      <w:bodyDiv w:val="1"/>
      <w:marLeft w:val="0"/>
      <w:marRight w:val="0"/>
      <w:marTop w:val="0"/>
      <w:marBottom w:val="0"/>
      <w:divBdr>
        <w:top w:val="none" w:sz="0" w:space="0" w:color="auto"/>
        <w:left w:val="none" w:sz="0" w:space="0" w:color="auto"/>
        <w:bottom w:val="none" w:sz="0" w:space="0" w:color="auto"/>
        <w:right w:val="none" w:sz="0" w:space="0" w:color="auto"/>
      </w:divBdr>
    </w:div>
    <w:div w:id="1259213879">
      <w:bodyDiv w:val="1"/>
      <w:marLeft w:val="0"/>
      <w:marRight w:val="0"/>
      <w:marTop w:val="0"/>
      <w:marBottom w:val="0"/>
      <w:divBdr>
        <w:top w:val="none" w:sz="0" w:space="0" w:color="auto"/>
        <w:left w:val="none" w:sz="0" w:space="0" w:color="auto"/>
        <w:bottom w:val="none" w:sz="0" w:space="0" w:color="auto"/>
        <w:right w:val="none" w:sz="0" w:space="0" w:color="auto"/>
      </w:divBdr>
    </w:div>
    <w:div w:id="1387021817">
      <w:bodyDiv w:val="1"/>
      <w:marLeft w:val="0"/>
      <w:marRight w:val="0"/>
      <w:marTop w:val="0"/>
      <w:marBottom w:val="0"/>
      <w:divBdr>
        <w:top w:val="none" w:sz="0" w:space="0" w:color="auto"/>
        <w:left w:val="none" w:sz="0" w:space="0" w:color="auto"/>
        <w:bottom w:val="none" w:sz="0" w:space="0" w:color="auto"/>
        <w:right w:val="none" w:sz="0" w:space="0" w:color="auto"/>
      </w:divBdr>
    </w:div>
    <w:div w:id="1448427284">
      <w:bodyDiv w:val="1"/>
      <w:marLeft w:val="0"/>
      <w:marRight w:val="0"/>
      <w:marTop w:val="0"/>
      <w:marBottom w:val="0"/>
      <w:divBdr>
        <w:top w:val="none" w:sz="0" w:space="0" w:color="auto"/>
        <w:left w:val="none" w:sz="0" w:space="0" w:color="auto"/>
        <w:bottom w:val="none" w:sz="0" w:space="0" w:color="auto"/>
        <w:right w:val="none" w:sz="0" w:space="0" w:color="auto"/>
      </w:divBdr>
    </w:div>
    <w:div w:id="1550728561">
      <w:bodyDiv w:val="1"/>
      <w:marLeft w:val="0"/>
      <w:marRight w:val="0"/>
      <w:marTop w:val="0"/>
      <w:marBottom w:val="0"/>
      <w:divBdr>
        <w:top w:val="none" w:sz="0" w:space="0" w:color="auto"/>
        <w:left w:val="none" w:sz="0" w:space="0" w:color="auto"/>
        <w:bottom w:val="none" w:sz="0" w:space="0" w:color="auto"/>
        <w:right w:val="none" w:sz="0" w:space="0" w:color="auto"/>
      </w:divBdr>
    </w:div>
    <w:div w:id="1586064751">
      <w:bodyDiv w:val="1"/>
      <w:marLeft w:val="0"/>
      <w:marRight w:val="0"/>
      <w:marTop w:val="0"/>
      <w:marBottom w:val="0"/>
      <w:divBdr>
        <w:top w:val="none" w:sz="0" w:space="0" w:color="auto"/>
        <w:left w:val="none" w:sz="0" w:space="0" w:color="auto"/>
        <w:bottom w:val="none" w:sz="0" w:space="0" w:color="auto"/>
        <w:right w:val="none" w:sz="0" w:space="0" w:color="auto"/>
      </w:divBdr>
    </w:div>
    <w:div w:id="1592395301">
      <w:bodyDiv w:val="1"/>
      <w:marLeft w:val="0"/>
      <w:marRight w:val="0"/>
      <w:marTop w:val="0"/>
      <w:marBottom w:val="0"/>
      <w:divBdr>
        <w:top w:val="none" w:sz="0" w:space="0" w:color="auto"/>
        <w:left w:val="none" w:sz="0" w:space="0" w:color="auto"/>
        <w:bottom w:val="none" w:sz="0" w:space="0" w:color="auto"/>
        <w:right w:val="none" w:sz="0" w:space="0" w:color="auto"/>
      </w:divBdr>
    </w:div>
    <w:div w:id="1613587148">
      <w:bodyDiv w:val="1"/>
      <w:marLeft w:val="0"/>
      <w:marRight w:val="0"/>
      <w:marTop w:val="0"/>
      <w:marBottom w:val="0"/>
      <w:divBdr>
        <w:top w:val="none" w:sz="0" w:space="0" w:color="auto"/>
        <w:left w:val="none" w:sz="0" w:space="0" w:color="auto"/>
        <w:bottom w:val="none" w:sz="0" w:space="0" w:color="auto"/>
        <w:right w:val="none" w:sz="0" w:space="0" w:color="auto"/>
      </w:divBdr>
    </w:div>
    <w:div w:id="1631016027">
      <w:bodyDiv w:val="1"/>
      <w:marLeft w:val="0"/>
      <w:marRight w:val="0"/>
      <w:marTop w:val="0"/>
      <w:marBottom w:val="0"/>
      <w:divBdr>
        <w:top w:val="none" w:sz="0" w:space="0" w:color="auto"/>
        <w:left w:val="none" w:sz="0" w:space="0" w:color="auto"/>
        <w:bottom w:val="none" w:sz="0" w:space="0" w:color="auto"/>
        <w:right w:val="none" w:sz="0" w:space="0" w:color="auto"/>
      </w:divBdr>
    </w:div>
    <w:div w:id="1782728317">
      <w:bodyDiv w:val="1"/>
      <w:marLeft w:val="0"/>
      <w:marRight w:val="0"/>
      <w:marTop w:val="0"/>
      <w:marBottom w:val="0"/>
      <w:divBdr>
        <w:top w:val="none" w:sz="0" w:space="0" w:color="auto"/>
        <w:left w:val="none" w:sz="0" w:space="0" w:color="auto"/>
        <w:bottom w:val="none" w:sz="0" w:space="0" w:color="auto"/>
        <w:right w:val="none" w:sz="0" w:space="0" w:color="auto"/>
      </w:divBdr>
    </w:div>
    <w:div w:id="1874727471">
      <w:bodyDiv w:val="1"/>
      <w:marLeft w:val="0"/>
      <w:marRight w:val="0"/>
      <w:marTop w:val="0"/>
      <w:marBottom w:val="0"/>
      <w:divBdr>
        <w:top w:val="none" w:sz="0" w:space="0" w:color="auto"/>
        <w:left w:val="none" w:sz="0" w:space="0" w:color="auto"/>
        <w:bottom w:val="none" w:sz="0" w:space="0" w:color="auto"/>
        <w:right w:val="none" w:sz="0" w:space="0" w:color="auto"/>
      </w:divBdr>
    </w:div>
    <w:div w:id="1955551842">
      <w:bodyDiv w:val="1"/>
      <w:marLeft w:val="0"/>
      <w:marRight w:val="0"/>
      <w:marTop w:val="0"/>
      <w:marBottom w:val="0"/>
      <w:divBdr>
        <w:top w:val="none" w:sz="0" w:space="0" w:color="auto"/>
        <w:left w:val="none" w:sz="0" w:space="0" w:color="auto"/>
        <w:bottom w:val="none" w:sz="0" w:space="0" w:color="auto"/>
        <w:right w:val="none" w:sz="0" w:space="0" w:color="auto"/>
      </w:divBdr>
    </w:div>
    <w:div w:id="1980843101">
      <w:bodyDiv w:val="1"/>
      <w:marLeft w:val="0"/>
      <w:marRight w:val="0"/>
      <w:marTop w:val="0"/>
      <w:marBottom w:val="0"/>
      <w:divBdr>
        <w:top w:val="none" w:sz="0" w:space="0" w:color="auto"/>
        <w:left w:val="none" w:sz="0" w:space="0" w:color="auto"/>
        <w:bottom w:val="none" w:sz="0" w:space="0" w:color="auto"/>
        <w:right w:val="none" w:sz="0" w:space="0" w:color="auto"/>
      </w:divBdr>
    </w:div>
    <w:div w:id="1988320004">
      <w:bodyDiv w:val="1"/>
      <w:marLeft w:val="0"/>
      <w:marRight w:val="0"/>
      <w:marTop w:val="0"/>
      <w:marBottom w:val="0"/>
      <w:divBdr>
        <w:top w:val="none" w:sz="0" w:space="0" w:color="auto"/>
        <w:left w:val="none" w:sz="0" w:space="0" w:color="auto"/>
        <w:bottom w:val="none" w:sz="0" w:space="0" w:color="auto"/>
        <w:right w:val="none" w:sz="0" w:space="0" w:color="auto"/>
      </w:divBdr>
    </w:div>
    <w:div w:id="2009402496">
      <w:bodyDiv w:val="1"/>
      <w:marLeft w:val="0"/>
      <w:marRight w:val="0"/>
      <w:marTop w:val="0"/>
      <w:marBottom w:val="0"/>
      <w:divBdr>
        <w:top w:val="none" w:sz="0" w:space="0" w:color="auto"/>
        <w:left w:val="none" w:sz="0" w:space="0" w:color="auto"/>
        <w:bottom w:val="none" w:sz="0" w:space="0" w:color="auto"/>
        <w:right w:val="none" w:sz="0" w:space="0" w:color="auto"/>
      </w:divBdr>
    </w:div>
    <w:div w:id="2112580446">
      <w:bodyDiv w:val="1"/>
      <w:marLeft w:val="0"/>
      <w:marRight w:val="0"/>
      <w:marTop w:val="0"/>
      <w:marBottom w:val="0"/>
      <w:divBdr>
        <w:top w:val="none" w:sz="0" w:space="0" w:color="auto"/>
        <w:left w:val="none" w:sz="0" w:space="0" w:color="auto"/>
        <w:bottom w:val="none" w:sz="0" w:space="0" w:color="auto"/>
        <w:right w:val="none" w:sz="0" w:space="0" w:color="auto"/>
      </w:divBdr>
    </w:div>
    <w:div w:id="213031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10</Pages>
  <Words>2771</Words>
  <Characters>15799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Ellis</dc:creator>
  <cp:keywords/>
  <dc:description/>
  <cp:lastModifiedBy>Kathy Ellis</cp:lastModifiedBy>
  <cp:revision>17</cp:revision>
  <cp:lastPrinted>2017-12-24T02:10:00Z</cp:lastPrinted>
  <dcterms:created xsi:type="dcterms:W3CDTF">2017-12-20T18:38:00Z</dcterms:created>
  <dcterms:modified xsi:type="dcterms:W3CDTF">2018-04-01T17:25:00Z</dcterms:modified>
</cp:coreProperties>
</file>