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4EA7" w:rsidRDefault="009D4EA7" w:rsidP="009D4EA7">
      <w:pPr>
        <w:autoSpaceDE/>
        <w:autoSpaceDN/>
        <w:adjustRightInd/>
        <w:spacing w:after="160" w:line="259" w:lineRule="auto"/>
        <w:rPr>
          <w:b/>
        </w:rPr>
      </w:pPr>
      <w:r>
        <w:rPr>
          <w:b/>
        </w:rPr>
        <w:t xml:space="preserve">Additional </w:t>
      </w:r>
      <w:r w:rsidR="00BC0B23">
        <w:rPr>
          <w:b/>
        </w:rPr>
        <w:t>f</w:t>
      </w:r>
      <w:bookmarkStart w:id="0" w:name="_GoBack"/>
      <w:bookmarkEnd w:id="0"/>
      <w:r>
        <w:rPr>
          <w:b/>
        </w:rPr>
        <w:t>ile 1: Literature review of previous relevant qualitative research studies</w:t>
      </w:r>
    </w:p>
    <w:tbl>
      <w:tblPr>
        <w:tblpPr w:leftFromText="180" w:rightFromText="180" w:tblpY="585"/>
        <w:tblW w:w="12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20" w:firstRow="1" w:lastRow="0" w:firstColumn="0" w:lastColumn="0" w:noHBand="0" w:noVBand="1"/>
      </w:tblPr>
      <w:tblGrid>
        <w:gridCol w:w="2155"/>
        <w:gridCol w:w="2610"/>
        <w:gridCol w:w="2970"/>
        <w:gridCol w:w="5130"/>
      </w:tblGrid>
      <w:tr w:rsidR="009D4EA7" w:rsidRPr="009F0F6D" w:rsidTr="00A52C77">
        <w:trPr>
          <w:trHeight w:val="231"/>
        </w:trPr>
        <w:tc>
          <w:tcPr>
            <w:tcW w:w="2155" w:type="dxa"/>
            <w:shd w:val="clear" w:color="auto" w:fill="000000" w:themeFill="text1"/>
          </w:tcPr>
          <w:p w:rsidR="009D4EA7" w:rsidRPr="004F01C0" w:rsidRDefault="009D4EA7" w:rsidP="00A52C77">
            <w:pPr>
              <w:jc w:val="center"/>
              <w:rPr>
                <w:rFonts w:cs="Calibri"/>
                <w:b/>
                <w:color w:val="FFFFFF" w:themeColor="background1"/>
                <w:lang w:eastAsia="en-CA"/>
              </w:rPr>
            </w:pPr>
            <w:r w:rsidRPr="004F01C0">
              <w:rPr>
                <w:rFonts w:cs="Calibri"/>
                <w:b/>
                <w:color w:val="FFFFFF" w:themeColor="background1"/>
                <w:lang w:eastAsia="en-CA"/>
              </w:rPr>
              <w:t>Reference</w:t>
            </w:r>
          </w:p>
        </w:tc>
        <w:tc>
          <w:tcPr>
            <w:tcW w:w="2610" w:type="dxa"/>
            <w:shd w:val="clear" w:color="auto" w:fill="000000" w:themeFill="text1"/>
          </w:tcPr>
          <w:p w:rsidR="009D4EA7" w:rsidRPr="004F01C0" w:rsidRDefault="009D4EA7" w:rsidP="00A52C77">
            <w:pPr>
              <w:jc w:val="center"/>
              <w:rPr>
                <w:b/>
                <w:color w:val="FFFFFF" w:themeColor="background1"/>
              </w:rPr>
            </w:pPr>
            <w:r w:rsidRPr="004F01C0">
              <w:rPr>
                <w:b/>
                <w:color w:val="FFFFFF" w:themeColor="background1"/>
              </w:rPr>
              <w:t>Study Objective</w:t>
            </w:r>
          </w:p>
        </w:tc>
        <w:tc>
          <w:tcPr>
            <w:tcW w:w="2970" w:type="dxa"/>
            <w:shd w:val="clear" w:color="auto" w:fill="000000" w:themeFill="text1"/>
          </w:tcPr>
          <w:p w:rsidR="009D4EA7" w:rsidRPr="004F01C0" w:rsidRDefault="009D4EA7" w:rsidP="00A52C77">
            <w:pPr>
              <w:jc w:val="center"/>
              <w:rPr>
                <w:b/>
                <w:color w:val="FFFFFF" w:themeColor="background1"/>
              </w:rPr>
            </w:pPr>
            <w:r w:rsidRPr="004F01C0">
              <w:rPr>
                <w:b/>
                <w:color w:val="FFFFFF" w:themeColor="background1"/>
              </w:rPr>
              <w:t>Brief Methodology</w:t>
            </w:r>
          </w:p>
        </w:tc>
        <w:tc>
          <w:tcPr>
            <w:tcW w:w="5130" w:type="dxa"/>
            <w:shd w:val="clear" w:color="auto" w:fill="000000" w:themeFill="text1"/>
          </w:tcPr>
          <w:p w:rsidR="009D4EA7" w:rsidRPr="004F01C0" w:rsidRDefault="009D4EA7" w:rsidP="00A52C77">
            <w:pPr>
              <w:jc w:val="center"/>
              <w:rPr>
                <w:rFonts w:cs="Calibri"/>
                <w:b/>
                <w:color w:val="FFFFFF" w:themeColor="background1"/>
              </w:rPr>
            </w:pPr>
            <w:r w:rsidRPr="004F01C0">
              <w:rPr>
                <w:rFonts w:cs="Calibri"/>
                <w:b/>
                <w:color w:val="FFFFFF" w:themeColor="background1"/>
              </w:rPr>
              <w:t>Summary of Results</w:t>
            </w:r>
          </w:p>
        </w:tc>
      </w:tr>
      <w:tr w:rsidR="009D4EA7" w:rsidRPr="009F0F6D" w:rsidTr="00A52C77">
        <w:trPr>
          <w:trHeight w:val="231"/>
        </w:trPr>
        <w:tc>
          <w:tcPr>
            <w:tcW w:w="12865" w:type="dxa"/>
            <w:gridSpan w:val="4"/>
            <w:shd w:val="clear" w:color="auto" w:fill="BFBFBF" w:themeFill="background1" w:themeFillShade="BF"/>
          </w:tcPr>
          <w:p w:rsidR="009D4EA7" w:rsidRPr="009F0F6D" w:rsidRDefault="009D4EA7" w:rsidP="00A52C77">
            <w:pPr>
              <w:jc w:val="center"/>
              <w:rPr>
                <w:rFonts w:cs="Calibri"/>
              </w:rPr>
            </w:pPr>
            <w:r w:rsidRPr="004F01C0">
              <w:rPr>
                <w:b/>
              </w:rPr>
              <w:t>Qualitative Research on Implementing Guidelines for Chronic Kidney Disease in Primary</w:t>
            </w:r>
            <w:r w:rsidRPr="009F0F6D">
              <w:rPr>
                <w:b/>
              </w:rPr>
              <w:t xml:space="preserve"> Care</w:t>
            </w:r>
          </w:p>
        </w:tc>
      </w:tr>
      <w:tr w:rsidR="009D4EA7" w:rsidRPr="009F0F6D" w:rsidTr="00A52C77">
        <w:trPr>
          <w:trHeight w:val="231"/>
        </w:trPr>
        <w:tc>
          <w:tcPr>
            <w:tcW w:w="2155" w:type="dxa"/>
            <w:shd w:val="clear" w:color="auto" w:fill="auto"/>
          </w:tcPr>
          <w:p w:rsidR="009D4EA7" w:rsidRDefault="009D4EA7" w:rsidP="00A52C77">
            <w:r w:rsidRPr="009F0F6D">
              <w:rPr>
                <w:rFonts w:cs="Calibri"/>
                <w:lang w:eastAsia="en-CA"/>
              </w:rPr>
              <w:t xml:space="preserve">Lo </w:t>
            </w:r>
            <w:r>
              <w:rPr>
                <w:rFonts w:cs="Calibri"/>
                <w:lang w:eastAsia="en-CA"/>
              </w:rPr>
              <w:t xml:space="preserve">et al., </w:t>
            </w:r>
            <w:r w:rsidRPr="009F0F6D">
              <w:rPr>
                <w:rFonts w:cs="Calibri"/>
                <w:lang w:eastAsia="en-CA"/>
              </w:rPr>
              <w:t xml:space="preserve">2016 </w:t>
            </w:r>
            <w:r>
              <w:rPr>
                <w:rFonts w:cs="Calibri"/>
                <w:lang w:eastAsia="en-CA"/>
              </w:rPr>
              <w:fldChar w:fldCharType="begin" w:fldLock="1"/>
            </w:r>
            <w:r>
              <w:rPr>
                <w:rFonts w:cs="Calibri"/>
                <w:lang w:eastAsia="en-CA"/>
              </w:rPr>
              <w:instrText>ADDIN CSL_CITATION { "citationItems" : [ { "id" : "ITEM-1", "itemData" : { "DOI" : "10.1371/journal.pone.0146615", "ISSN" : "1932-6203", "PMID" : "26730708", "abstract" : "BACKGROUND: Multi-morbidity due to diabetes and chronic kidney disease (CKD) remains challenging for current health-systems, which focus on single diseases. As a first step toward health-care improvement, we explored the perspectives of patients and their carers on factors influencing the health-care of those with co-morbid diabetes and CKD. METHODS: In this qualitative study participants with co-morbid diabetes and CKD were purposively recruited using maximal variation sampling from 4 major tertiary health-services from 2 of Australia's largest cities. Separate focus groups were conducted for patients with CKD stages 3, 4 and 5. Findings were triangulated with semi-structured interviews of carers of patients. Discussions were transcribed verbatim and thematically analysed. RESULTS: Twelve focus groups with 58 participants and 8 semi-structured interviews of carers were conducted. Factors influencing health-care of co-morbid diabetes and CKD grouped into patient and health service level factors. Key patient level factors identified were patient self-management, socio-economic situation, and adverse experiences related to co-morbid diabetes and CKD and its treatment. Key health service level factors were prevention and awareness of co-morbid diabetes and CKD, poor continuity and coordination of care, patient and carer empowerment, access and poor recognition of psychological co-morbidity. Health-service level factors varied according to CKD stage with poor continuity and coordination of care and patient and carer empowerment emphasized by participants with CKD stage 4 and 5, and access and poor recognition of psychological co-morbidity emphasised by participants with CKD stage 5 and carers. CONCLUSIONS: According to patients and their carers the health-care of co-morbid diabetes and CKD may be improved via a preventive, patient-centred health-care model which promotes self-management and that has good access, continuity and coordination of care and identifies and manages psychological morbidity.", "author" : [ { "dropping-particle" : "", "family" : "Lo", "given" : "Clement", "non-dropping-particle" : "", "parse-names" : false, "suffix" : "" }, { "dropping-particle" : "", "family" : "Ilic", "given" : "Dragan", "non-dropping-particle" : "", "parse-names" : false, "suffix" : "" }, { "dropping-particle" : "", "family" : "Teede", "given" : "Helena", "non-dropping-particle" : "", "parse-names" : false, "suffix" : "" }, { "dropping-particle" : "", "family" : "Cass", "given" : "Alan", "non-dropping-particle" : "", "parse-names" : false, "suffix" : "" }, { "dropping-particle" : "", "family" : "Fulcher", "given" : "Greg", "non-dropping-particle" : "", "parse-names" : false, "suffix" : "" }, { "dropping-particle" : "", "family" : "Gallagher", "given" : "Martin", "non-dropping-particle" : "", "parse-names" : false, "suffix" : "" }, { "dropping-particle" : "", "family" : "Johnson", "given" : "Greg", "non-dropping-particle" : "", "parse-names" : false, "suffix" : "" }, { "dropping-particle" : "", "family" : "Kerr", "given" : "Peter G", "non-dropping-particle" : "", "parse-names" : false, "suffix" : "" }, { "dropping-particle" : "", "family" : "Mathew", "given" : "Tim", "non-dropping-particle" : "", "parse-names" : false, "suffix" : "" }, { "dropping-particle" : "", "family" : "Murphy", "given" : "Kerry", "non-dropping-particle" : "", "parse-names" : false, "suffix" : "" }, { "dropping-particle" : "", "family" : "Polkinghorne", "given" : "Kevan", "non-dropping-particle" : "", "parse-names" : false, "suffix" : "" }, { "dropping-particle" : "", "family" : "Walker", "given" : "Rowan", "non-dropping-particle" : "", "parse-names" : false, "suffix" : "" }, { "dropping-particle" : "", "family" : "Zoungas", "given" : "Sophia", "non-dropping-particle" : "", "parse-names" : false, "suffix" : "" } ], "container-title" : "PloS one", "id" : "ITEM-1", "issue" : "1", "issued" : { "date-parts" : [ [ "2016" ] ] }, "page" : "e0146615", "title" : "The Perspectives of Patients on Health-Care for Co-Morbid Diabetes and Chronic Kidney Disease: A Qualitative Study.", "type" : "article-journal", "volume" : "11" }, "uris" : [ "http://www.mendeley.com/documents/?uuid=75c6dcdc-ddc7-4610-8cde-bdf598d0d224" ] } ], "mendeley" : { "formattedCitation" : "[1]", "plainTextFormattedCitation" : "[1]", "previouslyFormattedCitation" : "[1]" }, "properties" : { "noteIndex" : 1 }, "schema" : "https://github.com/citation-style-language/schema/raw/master/csl-citation.json" }</w:instrText>
            </w:r>
            <w:r>
              <w:rPr>
                <w:rFonts w:cs="Calibri"/>
                <w:lang w:eastAsia="en-CA"/>
              </w:rPr>
              <w:fldChar w:fldCharType="separate"/>
            </w:r>
            <w:r w:rsidRPr="00243798">
              <w:rPr>
                <w:rFonts w:cs="Calibri"/>
                <w:noProof/>
                <w:lang w:eastAsia="en-CA"/>
              </w:rPr>
              <w:t>[1]</w:t>
            </w:r>
            <w:r>
              <w:rPr>
                <w:rFonts w:cs="Calibri"/>
                <w:lang w:eastAsia="en-CA"/>
              </w:rPr>
              <w:fldChar w:fldCharType="end"/>
            </w:r>
          </w:p>
        </w:tc>
        <w:tc>
          <w:tcPr>
            <w:tcW w:w="2610" w:type="dxa"/>
            <w:shd w:val="clear" w:color="auto" w:fill="auto"/>
          </w:tcPr>
          <w:p w:rsidR="009D4EA7" w:rsidRPr="009F0F6D" w:rsidRDefault="009D4EA7" w:rsidP="00A52C77">
            <w:r>
              <w:t>T</w:t>
            </w:r>
            <w:r w:rsidRPr="009F0F6D">
              <w:t xml:space="preserve">o explore how </w:t>
            </w:r>
            <w:r>
              <w:t xml:space="preserve">the </w:t>
            </w:r>
            <w:r w:rsidRPr="009F0F6D">
              <w:t xml:space="preserve">care for patients with CKD and diabetes can be improved according to primary and tertiary care providers. </w:t>
            </w:r>
          </w:p>
        </w:tc>
        <w:tc>
          <w:tcPr>
            <w:tcW w:w="2970" w:type="dxa"/>
            <w:shd w:val="clear" w:color="auto" w:fill="auto"/>
          </w:tcPr>
          <w:p w:rsidR="009D4EA7" w:rsidRPr="009F0F6D" w:rsidRDefault="009D4EA7" w:rsidP="00A52C77">
            <w:r>
              <w:t>Qualitative study, which included a c</w:t>
            </w:r>
            <w:r w:rsidRPr="009F0F6D">
              <w:t>ombination of focus groups with care providers and interviews with the unit heads</w:t>
            </w:r>
            <w:r>
              <w:t>.</w:t>
            </w:r>
          </w:p>
        </w:tc>
        <w:tc>
          <w:tcPr>
            <w:tcW w:w="5130" w:type="dxa"/>
            <w:shd w:val="clear" w:color="auto" w:fill="auto"/>
          </w:tcPr>
          <w:p w:rsidR="009D4EA7" w:rsidRPr="009F0F6D" w:rsidRDefault="009D4EA7" w:rsidP="00A52C77">
            <w:r>
              <w:rPr>
                <w:rFonts w:cs="Calibri"/>
              </w:rPr>
              <w:t>Sixty-five</w:t>
            </w:r>
            <w:r w:rsidRPr="009F0F6D">
              <w:rPr>
                <w:rFonts w:cs="Calibri"/>
              </w:rPr>
              <w:t xml:space="preserve"> primary and tertiar</w:t>
            </w:r>
            <w:r>
              <w:rPr>
                <w:rFonts w:cs="Calibri"/>
              </w:rPr>
              <w:t xml:space="preserve">y care providers participated. </w:t>
            </w:r>
            <w:r w:rsidRPr="009F0F6D">
              <w:rPr>
                <w:rFonts w:cs="Calibri"/>
              </w:rPr>
              <w:t>Important factors included: lack of patient self-management, poor access to tertiary care, poor coordination and integration acro</w:t>
            </w:r>
            <w:r>
              <w:rPr>
                <w:rFonts w:cs="Calibri"/>
              </w:rPr>
              <w:t xml:space="preserve">ss primary and tertiary care, </w:t>
            </w:r>
            <w:r w:rsidRPr="009F0F6D">
              <w:rPr>
                <w:rFonts w:cs="Calibri"/>
              </w:rPr>
              <w:t>reactive approach to care where focus is on treatment rather than prevention, and need for more participation in quality improvement activities.</w:t>
            </w:r>
          </w:p>
        </w:tc>
      </w:tr>
      <w:tr w:rsidR="009D4EA7" w:rsidRPr="009F0F6D" w:rsidTr="00A52C77">
        <w:trPr>
          <w:trHeight w:val="231"/>
        </w:trPr>
        <w:tc>
          <w:tcPr>
            <w:tcW w:w="2155" w:type="dxa"/>
            <w:shd w:val="clear" w:color="auto" w:fill="auto"/>
          </w:tcPr>
          <w:p w:rsidR="009D4EA7" w:rsidRPr="009F0F6D" w:rsidRDefault="009D4EA7" w:rsidP="00A52C77">
            <w:pPr>
              <w:rPr>
                <w:rFonts w:cs="Calibri"/>
                <w:lang w:eastAsia="en-CA"/>
              </w:rPr>
            </w:pPr>
            <w:r w:rsidRPr="009F0F6D">
              <w:rPr>
                <w:rFonts w:cs="Calibri"/>
                <w:lang w:eastAsia="en-CA"/>
              </w:rPr>
              <w:t>Vest et al</w:t>
            </w:r>
            <w:r>
              <w:rPr>
                <w:rFonts w:cs="Calibri"/>
                <w:lang w:eastAsia="en-CA"/>
              </w:rPr>
              <w:t>.,</w:t>
            </w:r>
            <w:r w:rsidRPr="009F0F6D">
              <w:rPr>
                <w:rFonts w:cs="Calibri"/>
                <w:lang w:eastAsia="en-CA"/>
              </w:rPr>
              <w:t xml:space="preserve"> 2015</w:t>
            </w:r>
            <w:r>
              <w:rPr>
                <w:rFonts w:cs="Calibri"/>
                <w:lang w:eastAsia="en-CA"/>
              </w:rPr>
              <w:t xml:space="preserve"> </w:t>
            </w:r>
            <w:r>
              <w:rPr>
                <w:rFonts w:cs="Calibri"/>
                <w:lang w:eastAsia="en-CA"/>
              </w:rPr>
              <w:fldChar w:fldCharType="begin" w:fldLock="1"/>
            </w:r>
            <w:r>
              <w:rPr>
                <w:rFonts w:cs="Calibri"/>
                <w:lang w:eastAsia="en-CA"/>
              </w:rPr>
              <w:instrText>ADDIN CSL_CITATION { "citationItems" : [ { "id" : "ITEM-1", "itemData" : { "DOI" : "10.3122/jabfm.2015.05.150070", "ISSN" : "1557-2625", "PMID" : "26355134", "abstract" : "BACKGROUND: Primary care physicians (PCPs) are optimally situated to identify and manage early stage chronic kidney disease (CKD). Nonetheless, studies have documented suboptimal PCP understanding, awareness, and management of early CKD. The TRANSLATE CKD study is an ongoing national, mixed-methods, cluster randomized control trial that examines the implementation of evidence-based guidelines for CKD into primary care practice. METHODS: As part of the mixed-methods process evaluation, semistructured interviews were conducted by phone with 27 providers participating in the study. Interviews were audio-taped and transcribed. Thematic content analysis was used to identify themes. Themes were categorized according to the 4 domains of Normalization Process Theory (NPT). RESULTS: Identified themes illuminated the complex work undertaken to manage CKD in primary care practices. Barriers to guideline implementation were identified in each of the 4 NPT domains, including (1) lack of knowledge and understanding around CKD (coherence), (2) difficulties engaging providers and patients in CKD management (cognitive participation), (3) limited time and competing demands (collective action), and (4) challenges obtaining and using data to monitor progress (reflexive monitoring). CONCLUSIONS: Addressing the barriers to implementation with concrete interventions at the levels at which they occur, informed by NPT, will ultimately improve the quality of CKD patient care.", "author" : [ { "dropping-particle" : "", "family" : "Vest", "given" : "Bonnie M", "non-dropping-particle" : "", "parse-names" : false, "suffix" : "" }, { "dropping-particle" : "", "family" : "York", "given" : "Trevor R M", "non-dropping-particle" : "", "parse-names" : false, "suffix" : "" }, { "dropping-particle" : "", "family" : "Sand", "given" : "Jessica", "non-dropping-particle" : "", "parse-names" : false, "suffix" : "" }, { "dropping-particle" : "", "family" : "Fox", "given" : "Chester H", "non-dropping-particle" : "", "parse-names" : false, "suffix" : "" }, { "dropping-particle" : "", "family" : "Kahn", "given" : "Linda S", "non-dropping-particle" : "", "parse-names" : false, "suffix" : "" } ], "container-title" : "Journal of the American Board of Family Medicine : JABFM", "id" : "ITEM-1", "issue" : "5", "issued" : { "date-parts" : [ [ "2015" ] ] }, "page" : "624-31", "title" : "Chronic Kidney Disease Guideline Implementation in Primary Care: A Qualitative Report from the TRANSLATE CKD Study.", "type" : "article-journal", "volume" : "28" }, "uris" : [ "http://www.mendeley.com/documents/?uuid=7b9b82b5-472d-4fa6-83a2-4fbe9a3bb4d4" ] } ], "mendeley" : { "formattedCitation" : "[2]", "plainTextFormattedCitation" : "[2]", "previouslyFormattedCitation" : "[2]" }, "properties" : { "noteIndex" : 1 }, "schema" : "https://github.com/citation-style-language/schema/raw/master/csl-citation.json" }</w:instrText>
            </w:r>
            <w:r>
              <w:rPr>
                <w:rFonts w:cs="Calibri"/>
                <w:lang w:eastAsia="en-CA"/>
              </w:rPr>
              <w:fldChar w:fldCharType="separate"/>
            </w:r>
            <w:r w:rsidRPr="00243798">
              <w:rPr>
                <w:rFonts w:cs="Calibri"/>
                <w:noProof/>
                <w:lang w:eastAsia="en-CA"/>
              </w:rPr>
              <w:t>[2]</w:t>
            </w:r>
            <w:r>
              <w:rPr>
                <w:rFonts w:cs="Calibri"/>
                <w:lang w:eastAsia="en-CA"/>
              </w:rPr>
              <w:fldChar w:fldCharType="end"/>
            </w:r>
          </w:p>
          <w:p w:rsidR="009D4EA7" w:rsidRDefault="009D4EA7" w:rsidP="00A52C77"/>
        </w:tc>
        <w:tc>
          <w:tcPr>
            <w:tcW w:w="2610" w:type="dxa"/>
            <w:shd w:val="clear" w:color="auto" w:fill="auto"/>
          </w:tcPr>
          <w:p w:rsidR="009D4EA7" w:rsidRPr="009F0F6D" w:rsidRDefault="009D4EA7" w:rsidP="00A52C77">
            <w:r>
              <w:t>T</w:t>
            </w:r>
            <w:r w:rsidRPr="009F0F6D">
              <w:t>o understand barriers to guideline implementation for patients with CKD.</w:t>
            </w:r>
          </w:p>
        </w:tc>
        <w:tc>
          <w:tcPr>
            <w:tcW w:w="2970" w:type="dxa"/>
            <w:shd w:val="clear" w:color="auto" w:fill="auto"/>
          </w:tcPr>
          <w:p w:rsidR="009D4EA7" w:rsidRPr="009F0F6D" w:rsidRDefault="009D4EA7" w:rsidP="00A52C77">
            <w:r w:rsidRPr="009F0F6D">
              <w:t>Mixed methods</w:t>
            </w:r>
            <w:r>
              <w:t xml:space="preserve"> study of a</w:t>
            </w:r>
            <w:r w:rsidRPr="009F0F6D">
              <w:t xml:space="preserve"> cluster randomized trial </w:t>
            </w:r>
            <w:r>
              <w:t xml:space="preserve">with an embedded </w:t>
            </w:r>
            <w:r w:rsidRPr="009F0F6D">
              <w:t>qualitative</w:t>
            </w:r>
            <w:r>
              <w:t xml:space="preserve"> component</w:t>
            </w:r>
            <w:r w:rsidRPr="009F0F6D">
              <w:t>.</w:t>
            </w:r>
            <w:r>
              <w:t xml:space="preserve"> </w:t>
            </w:r>
            <w:r w:rsidRPr="009F0F6D">
              <w:t>Semi-struct</w:t>
            </w:r>
            <w:r>
              <w:t>ured interviews with physicians.</w:t>
            </w:r>
          </w:p>
        </w:tc>
        <w:tc>
          <w:tcPr>
            <w:tcW w:w="5130" w:type="dxa"/>
            <w:shd w:val="clear" w:color="auto" w:fill="auto"/>
          </w:tcPr>
          <w:p w:rsidR="009D4EA7" w:rsidRPr="009F0F6D" w:rsidRDefault="009D4EA7" w:rsidP="00A52C77">
            <w:r w:rsidRPr="009F0F6D">
              <w:rPr>
                <w:rFonts w:cs="Calibri"/>
              </w:rPr>
              <w:t>Themes were organized into the components of the No</w:t>
            </w:r>
            <w:r>
              <w:rPr>
                <w:rFonts w:cs="Calibri"/>
              </w:rPr>
              <w:t>rmalization Process Theory</w:t>
            </w:r>
            <w:r w:rsidRPr="009F0F6D">
              <w:rPr>
                <w:rFonts w:cs="Calibri"/>
              </w:rPr>
              <w:t>: coherence (some phys</w:t>
            </w:r>
            <w:r>
              <w:rPr>
                <w:rFonts w:cs="Calibri"/>
              </w:rPr>
              <w:t>icians not aware of guidelines – or some of the aspects</w:t>
            </w:r>
            <w:r w:rsidRPr="009F0F6D">
              <w:rPr>
                <w:rFonts w:cs="Calibri"/>
              </w:rPr>
              <w:t xml:space="preserve"> </w:t>
            </w:r>
            <w:r>
              <w:rPr>
                <w:rFonts w:cs="Calibri"/>
              </w:rPr>
              <w:t xml:space="preserve">– </w:t>
            </w:r>
            <w:r w:rsidRPr="009F0F6D">
              <w:rPr>
                <w:rFonts w:cs="Calibri"/>
              </w:rPr>
              <w:t>for CKD, mostly used guidelines to help diagnose, lack of continuing education and c</w:t>
            </w:r>
            <w:r>
              <w:rPr>
                <w:rFonts w:cs="Calibri"/>
              </w:rPr>
              <w:t>hallenge of keeping up with</w:t>
            </w:r>
            <w:r w:rsidRPr="009F0F6D">
              <w:rPr>
                <w:rFonts w:cs="Calibri"/>
              </w:rPr>
              <w:t xml:space="preserve"> changing </w:t>
            </w:r>
            <w:r>
              <w:rPr>
                <w:rFonts w:cs="Calibri"/>
              </w:rPr>
              <w:t>guidelines, some physicians do not</w:t>
            </w:r>
            <w:r w:rsidRPr="009F0F6D">
              <w:rPr>
                <w:rFonts w:cs="Calibri"/>
              </w:rPr>
              <w:t xml:space="preserve"> like to give their patients the label of CKD or </w:t>
            </w:r>
            <w:r>
              <w:rPr>
                <w:rFonts w:cs="Calibri"/>
              </w:rPr>
              <w:t xml:space="preserve">rather </w:t>
            </w:r>
            <w:r w:rsidRPr="009F0F6D">
              <w:rPr>
                <w:rFonts w:cs="Calibri"/>
              </w:rPr>
              <w:t xml:space="preserve">refer to </w:t>
            </w:r>
            <w:r>
              <w:rPr>
                <w:rFonts w:cs="Calibri"/>
              </w:rPr>
              <w:t xml:space="preserve">the </w:t>
            </w:r>
            <w:r w:rsidRPr="009F0F6D">
              <w:rPr>
                <w:rFonts w:cs="Calibri"/>
              </w:rPr>
              <w:t xml:space="preserve">nephrologist to diagnose), cognitive participation (challenges with population health management and keeping up with all the different initiatives; challenge of unmotivated or non-adherent patients), collective action (limited time and resources/ staff, and competing demands) and reflexive monitoring (do not currently receive audit and feedback reports for CKD, data collection and management challenging and time consuming).  </w:t>
            </w:r>
          </w:p>
        </w:tc>
      </w:tr>
      <w:tr w:rsidR="009D4EA7" w:rsidRPr="009F0F6D" w:rsidTr="00A52C77">
        <w:trPr>
          <w:trHeight w:val="231"/>
        </w:trPr>
        <w:tc>
          <w:tcPr>
            <w:tcW w:w="2155" w:type="dxa"/>
            <w:shd w:val="clear" w:color="auto" w:fill="auto"/>
          </w:tcPr>
          <w:p w:rsidR="009D4EA7" w:rsidRPr="009F0F6D" w:rsidRDefault="009D4EA7" w:rsidP="00A52C77">
            <w:pPr>
              <w:rPr>
                <w:rFonts w:cs="Calibri"/>
                <w:lang w:eastAsia="en-CA"/>
              </w:rPr>
            </w:pPr>
            <w:proofErr w:type="spellStart"/>
            <w:r w:rsidRPr="009F0F6D">
              <w:t>Blakeman</w:t>
            </w:r>
            <w:proofErr w:type="spellEnd"/>
            <w:r w:rsidRPr="009F0F6D">
              <w:t xml:space="preserve"> et al.</w:t>
            </w:r>
            <w:r>
              <w:t>,</w:t>
            </w:r>
            <w:r w:rsidRPr="009F0F6D">
              <w:t xml:space="preserve"> 2012 </w:t>
            </w:r>
            <w:r>
              <w:fldChar w:fldCharType="begin" w:fldLock="1"/>
            </w:r>
            <w:r>
              <w:instrText>ADDIN CSL_CITATION { "citationItems" : [ { "id" : "ITEM-1", "itemData" : { "DOI" : "10.3399/bjgp12X636056.e233", "author" : [ { "dropping-particle" : "", "family" : "Blakeman", "given" : "Tom", "non-dropping-particle" : "", "parse-names" : false, "suffix" : "" }, { "dropping-particle" : "", "family" : "Protheroe", "given" : "Joanne", "non-dropping-particle" : "", "parse-names" : false, "suffix" : "" }, { "dropping-particle" : "", "family" : "Chew-graham", "given" : "Carolyn", "non-dropping-particle" : "", "parse-names" : false, "suffix" : "" }, { "dropping-particle" : "", "family" : "Rogers", "given" : "Anne", "non-dropping-particle" : "", "parse-names" : false, "suffix" : "" }, { "dropping-particle" : "", "family" : "Kennedy", "given" : "Anne", "non-dropping-particle" : "", "parse-names" : false, "suffix" : "" } ], "id" : "ITEM-1", "issue" : "April", "issued" : { "date-parts" : [ [ "2012" ] ] }, "page" : "233-242", "title" : "Understanding the management of early-stage chronic kidney disease in primary care :", "type" : "article-journal" }, "uris" : [ "http://www.mendeley.com/documents/?uuid=488f141f-dd05-4ad4-a57b-b0fb9c574e57" ] } ], "mendeley" : { "formattedCitation" : "[3]", "plainTextFormattedCitation" : "[3]", "previouslyFormattedCitation" : "[3]" }, "properties" : { "noteIndex" : 1 }, "schema" : "https://github.com/citation-style-language/schema/raw/master/csl-citation.json" }</w:instrText>
            </w:r>
            <w:r>
              <w:fldChar w:fldCharType="separate"/>
            </w:r>
            <w:r w:rsidRPr="00243798">
              <w:rPr>
                <w:noProof/>
              </w:rPr>
              <w:t>[3]</w:t>
            </w:r>
            <w:r>
              <w:fldChar w:fldCharType="end"/>
            </w:r>
          </w:p>
        </w:tc>
        <w:tc>
          <w:tcPr>
            <w:tcW w:w="2610" w:type="dxa"/>
            <w:shd w:val="clear" w:color="auto" w:fill="auto"/>
          </w:tcPr>
          <w:p w:rsidR="009D4EA7" w:rsidRPr="009F0F6D" w:rsidRDefault="009D4EA7" w:rsidP="00A52C77">
            <w:r w:rsidRPr="009F0F6D">
              <w:t>To identify processes underpinning the implementation of CKD management in primary care.</w:t>
            </w:r>
          </w:p>
        </w:tc>
        <w:tc>
          <w:tcPr>
            <w:tcW w:w="2970" w:type="dxa"/>
            <w:shd w:val="clear" w:color="auto" w:fill="auto"/>
          </w:tcPr>
          <w:p w:rsidR="009D4EA7" w:rsidRPr="009F0F6D" w:rsidRDefault="009D4EA7" w:rsidP="00A52C77">
            <w:r>
              <w:t>Qualitative study following</w:t>
            </w:r>
            <w:r w:rsidRPr="009F0F6D">
              <w:t xml:space="preserve"> the No</w:t>
            </w:r>
            <w:r>
              <w:t>rmalization Process Theory. Interviews with PCPs</w:t>
            </w:r>
            <w:r w:rsidRPr="009F0F6D">
              <w:t xml:space="preserve"> and nurses from 19 participating sites from </w:t>
            </w:r>
            <w:r w:rsidRPr="009F0F6D">
              <w:lastRenderedPageBreak/>
              <w:t xml:space="preserve">another study. </w:t>
            </w:r>
          </w:p>
        </w:tc>
        <w:tc>
          <w:tcPr>
            <w:tcW w:w="5130" w:type="dxa"/>
            <w:shd w:val="clear" w:color="auto" w:fill="auto"/>
          </w:tcPr>
          <w:p w:rsidR="009D4EA7" w:rsidRPr="009F0F6D" w:rsidRDefault="009D4EA7" w:rsidP="00A52C77">
            <w:pPr>
              <w:rPr>
                <w:rFonts w:cs="Calibri"/>
              </w:rPr>
            </w:pPr>
            <w:r w:rsidRPr="009F0F6D">
              <w:lastRenderedPageBreak/>
              <w:t xml:space="preserve">Three main themes emerged all around the anxiety associated with disclosure of CKD with patients: 1) tensions related to identifying and discussing CKD in older patients or those with early CKD, 2) embedding early-stage CKD within vascular care, </w:t>
            </w:r>
            <w:r w:rsidRPr="009F0F6D">
              <w:lastRenderedPageBreak/>
              <w:t>and 3) distribution of work within the practice team. These research findings suggest</w:t>
            </w:r>
            <w:r>
              <w:t>ed</w:t>
            </w:r>
            <w:r w:rsidRPr="009F0F6D">
              <w:t xml:space="preserve"> that the current approach to management of early-stage CKD in primary care may miss opportunities to address susceptibility to renal damage, improve self-management of cardiac conditions, and improve the management of multi-morbidity.</w:t>
            </w:r>
          </w:p>
        </w:tc>
      </w:tr>
      <w:tr w:rsidR="009D4EA7" w:rsidRPr="009F0F6D" w:rsidTr="00A52C77">
        <w:trPr>
          <w:trHeight w:val="231"/>
        </w:trPr>
        <w:tc>
          <w:tcPr>
            <w:tcW w:w="2155" w:type="dxa"/>
            <w:shd w:val="clear" w:color="auto" w:fill="auto"/>
          </w:tcPr>
          <w:p w:rsidR="009D4EA7" w:rsidRPr="009F0F6D" w:rsidRDefault="009D4EA7" w:rsidP="00A52C77">
            <w:pPr>
              <w:rPr>
                <w:rFonts w:cs="Calibri"/>
                <w:lang w:eastAsia="en-CA"/>
              </w:rPr>
            </w:pPr>
            <w:r w:rsidRPr="009F0F6D">
              <w:rPr>
                <w:rFonts w:cs="Calibri"/>
                <w:lang w:eastAsia="en-CA"/>
              </w:rPr>
              <w:lastRenderedPageBreak/>
              <w:t xml:space="preserve">Greer </w:t>
            </w:r>
            <w:r>
              <w:rPr>
                <w:rFonts w:cs="Calibri"/>
                <w:lang w:eastAsia="en-CA"/>
              </w:rPr>
              <w:t xml:space="preserve">et al., </w:t>
            </w:r>
            <w:r w:rsidRPr="009F0F6D">
              <w:rPr>
                <w:rFonts w:cs="Calibri"/>
                <w:lang w:eastAsia="en-CA"/>
              </w:rPr>
              <w:t>2012</w:t>
            </w:r>
            <w:r>
              <w:rPr>
                <w:rFonts w:cs="Calibri"/>
                <w:lang w:eastAsia="en-CA"/>
              </w:rPr>
              <w:t xml:space="preserve"> </w:t>
            </w:r>
            <w:r>
              <w:rPr>
                <w:rFonts w:cs="Calibri"/>
                <w:lang w:eastAsia="en-CA"/>
              </w:rPr>
              <w:fldChar w:fldCharType="begin" w:fldLock="1"/>
            </w:r>
            <w:r>
              <w:rPr>
                <w:rFonts w:cs="Calibri"/>
                <w:lang w:eastAsia="en-CA"/>
              </w:rPr>
              <w:instrText>ADDIN CSL_CITATION { "citationItems" : [ { "id" : "ITEM-1", "itemData" : { "DOI" : "http://dx.doi.org/10.1111/j.1755-6686.2012.00323.x", "ISBN" : "1755-6686", "PMID" : "23176576", "abstract" : "OBJECTIVE: To identify primary care providers' (PCPs) perceived barriers to educating patients about chronic kidney disease (CKD) during routine clinical visits. METHODS: We conducted three focus groups of eighteen PCPs in Baltimore, Maryland (MD), USA. Focus groups began with the presentation of a hypothetical case of a patient with CKD, followed by open-ended questions to assess providers' perceived barriers to delivering education about CKD. Groups were audiotaped, transcribed and coded independently by two investigators who identified major themes. RESULTS: PCPs reported on several patient, provider and system level barriers contributing to poor education about CKD in primary care that were both common and unique to barriers previously reported in educating patients regarding other chronic diseases. CONCLUSIONS: Interventions designed to address barriers to CKD education identified by PCPs could improve the delivery of education about CKD in primary care settings. 2012 European Dialysis and Transplant Nurses Association/European Renal Care Association", "author" : [ { "dropping-particle" : "", "family" : "Greer", "given" : "R C", "non-dropping-particle" : "", "parse-names" : false, "suffix" : "" }, { "dropping-particle" : "", "family" : "Crews", "given" : "D C", "non-dropping-particle" : "", "parse-names" : false, "suffix" : "" }, { "dropping-particle" : "", "family" : "Boulware", "given" : "L E", "non-dropping-particle" : "", "parse-names" : false, "suffix" : "" } ], "container-title" : "Journal of Renal Care", "id" : "ITEM-1", "issue" : "4", "issued" : { "date-parts" : [ [ "2012" ] ] }, "page" : "174-181", "title" : "Challenges perceived by primary care providers to educating patients about chronic kidney disease", "type" : "article-journal", "volume" : "38" }, "uris" : [ "http://www.mendeley.com/documents/?uuid=a7420041-23b1-4d04-884b-5c7949dc5766" ] } ], "mendeley" : { "formattedCitation" : "[4]", "plainTextFormattedCitation" : "[4]", "previouslyFormattedCitation" : "[4]" }, "properties" : { "noteIndex" : 2 }, "schema" : "https://github.com/citation-style-language/schema/raw/master/csl-citation.json" }</w:instrText>
            </w:r>
            <w:r>
              <w:rPr>
                <w:rFonts w:cs="Calibri"/>
                <w:lang w:eastAsia="en-CA"/>
              </w:rPr>
              <w:fldChar w:fldCharType="separate"/>
            </w:r>
            <w:r w:rsidRPr="00243798">
              <w:rPr>
                <w:rFonts w:cs="Calibri"/>
                <w:noProof/>
                <w:lang w:eastAsia="en-CA"/>
              </w:rPr>
              <w:t>[4]</w:t>
            </w:r>
            <w:r>
              <w:rPr>
                <w:rFonts w:cs="Calibri"/>
                <w:lang w:eastAsia="en-CA"/>
              </w:rPr>
              <w:fldChar w:fldCharType="end"/>
            </w:r>
          </w:p>
        </w:tc>
        <w:tc>
          <w:tcPr>
            <w:tcW w:w="2610" w:type="dxa"/>
            <w:shd w:val="clear" w:color="auto" w:fill="auto"/>
          </w:tcPr>
          <w:p w:rsidR="009D4EA7" w:rsidRPr="009F0F6D" w:rsidRDefault="009D4EA7" w:rsidP="00A52C77">
            <w:r w:rsidRPr="009F0F6D">
              <w:t>To identify PCPs</w:t>
            </w:r>
            <w:r>
              <w:t>’</w:t>
            </w:r>
            <w:r w:rsidRPr="009F0F6D">
              <w:t xml:space="preserve"> perceived barriers of educating patients about </w:t>
            </w:r>
            <w:r>
              <w:t>CKD</w:t>
            </w:r>
            <w:r w:rsidRPr="009F0F6D">
              <w:t xml:space="preserve">. </w:t>
            </w:r>
          </w:p>
        </w:tc>
        <w:tc>
          <w:tcPr>
            <w:tcW w:w="2970" w:type="dxa"/>
            <w:shd w:val="clear" w:color="auto" w:fill="auto"/>
          </w:tcPr>
          <w:p w:rsidR="009D4EA7" w:rsidRPr="009F0F6D" w:rsidRDefault="009D4EA7" w:rsidP="00A52C77">
            <w:r>
              <w:t>Qualitative study using focus groups with PCPs.</w:t>
            </w:r>
            <w:r w:rsidRPr="009F0F6D">
              <w:t xml:space="preserve"> Analysis used methods from grounded theory. </w:t>
            </w:r>
          </w:p>
        </w:tc>
        <w:tc>
          <w:tcPr>
            <w:tcW w:w="5130" w:type="dxa"/>
            <w:shd w:val="clear" w:color="auto" w:fill="auto"/>
          </w:tcPr>
          <w:p w:rsidR="009D4EA7" w:rsidRPr="009F0F6D" w:rsidRDefault="009D4EA7" w:rsidP="00A52C77">
            <w:pPr>
              <w:rPr>
                <w:rFonts w:cs="Calibri"/>
              </w:rPr>
            </w:pPr>
            <w:r>
              <w:rPr>
                <w:rFonts w:cs="Calibri"/>
              </w:rPr>
              <w:t>Eighteen</w:t>
            </w:r>
            <w:r w:rsidRPr="009F0F6D">
              <w:rPr>
                <w:rFonts w:cs="Calibri"/>
              </w:rPr>
              <w:t xml:space="preserve"> PCPs p</w:t>
            </w:r>
            <w:r>
              <w:rPr>
                <w:rFonts w:cs="Calibri"/>
              </w:rPr>
              <w:t>articipated in 3 focus groups. Six</w:t>
            </w:r>
            <w:r w:rsidRPr="009F0F6D">
              <w:rPr>
                <w:rFonts w:cs="Calibri"/>
              </w:rPr>
              <w:t xml:space="preserve"> main barriers emerged: 1) Patients not aware of CKD or not recognizing it as a medical problem, 2) PCPs not perceiving CKD as a distinct medical condition, 3) PCPs lack of knowledge to properly educate patients, 4) Do not want to overwhelm patients with a new diagnosis, 5) Time constraints with patients (no time for education), and 6) Lack of available educational resources</w:t>
            </w:r>
            <w:r>
              <w:rPr>
                <w:rFonts w:cs="Calibri"/>
              </w:rPr>
              <w:t>.</w:t>
            </w:r>
            <w:r w:rsidRPr="009F0F6D">
              <w:rPr>
                <w:rFonts w:cs="Calibri"/>
              </w:rPr>
              <w:t xml:space="preserve"> </w:t>
            </w:r>
          </w:p>
        </w:tc>
      </w:tr>
      <w:tr w:rsidR="009D4EA7" w:rsidRPr="009F0F6D" w:rsidTr="00A52C77">
        <w:trPr>
          <w:trHeight w:val="231"/>
        </w:trPr>
        <w:tc>
          <w:tcPr>
            <w:tcW w:w="2155" w:type="dxa"/>
            <w:shd w:val="clear" w:color="auto" w:fill="auto"/>
          </w:tcPr>
          <w:p w:rsidR="009D4EA7" w:rsidRPr="009F0F6D" w:rsidRDefault="009D4EA7" w:rsidP="00A52C77">
            <w:pPr>
              <w:rPr>
                <w:rFonts w:ascii="JansonText-Roman" w:hAnsi="JansonText-Roman" w:cs="JansonText-Roman"/>
                <w:sz w:val="18"/>
                <w:szCs w:val="18"/>
              </w:rPr>
            </w:pPr>
            <w:proofErr w:type="spellStart"/>
            <w:r>
              <w:t>Crinson</w:t>
            </w:r>
            <w:proofErr w:type="spellEnd"/>
            <w:r>
              <w:t xml:space="preserve"> et al., 2010 </w:t>
            </w:r>
            <w:r>
              <w:fldChar w:fldCharType="begin" w:fldLock="1"/>
            </w:r>
            <w:r>
              <w:instrText>ADDIN CSL_CITATION { "citationItems" : [ { "id" : "ITEM-1", "itemData" : { "DOI" : "10.3399/bjgp10X502100", "ISSN" : "1478-5242", "PMID" : "20529495", "abstract" : "BACKGROUND: Chronic kidney disease (CKD) is associated with increased cardiovascular mortality and morbidity as well as progression to established renal failure. Interventions in primary care, particularly the lowering of blood pressure in individuals with CKD and proteinuria and diabetes, can slow disease progression. This evidence base is codified in national guidance and in a simplified form in pay-for-performance targets. Prior to conducting the QICKD study - a cluster of quality-improvement interventions with reduction of blood pressure as its primary outcome measure - a diagnostic analysis was conducted to assess the relevance of the intended interventions. AIM: To understand practitioners' views of CKD and its management. METHOD: Focus groups were held in five locations across England. Experienced facilitators developed a standardised approach and analysed data using the 'framework' approach. RESULTS: Practitioners varied in their views of CKD and their embracing of the guidance. Some sought to implement the full guidance, others only the pay-for-performance targets. Nearly all practitioners had reservations as to whether CKD was really a disease; problematised the diagnosis of CKD purely on an estimate of glomerular filtration rate; questioned whether CKD in older people was part of natural ageing; and had experienced difficulty in explaining the condition to patients without frightening them. Most reported both problems and scepticism concerning the blood pressure targets, and acknowledged educational gaps. CONCLUSION: Practitioners have disparate views about CKD. The quality-improvement interventions in the QICKD study will need to incorporate a large element of education. CKD guidelines may have been introduced without sufficient educational support.", "author" : [ { "dropping-particle" : "", "family" : "Crinson", "given" : "Iain", "non-dropping-particle" : "", "parse-names" : false, "suffix" : "" }, { "dropping-particle" : "", "family" : "Gallagher", "given" : "Hugh", "non-dropping-particle" : "", "parse-names" : false, "suffix" : "" }, { "dropping-particle" : "", "family" : "Thomas", "given" : "Nicola", "non-dropping-particle" : "", "parse-names" : false, "suffix" : "" }, { "dropping-particle" : "", "family" : "Lusignan", "given" : "Simon", "non-dropping-particle" : "de", "parse-names" : false, "suffix" : "" } ], "container-title" : "The British journal of general practice : the journal of the Royal College of General Practitioners", "id" : "ITEM-1", "issue" : "575", "issued" : { "date-parts" : [ [ "2010", "6" ] ] }, "page" : "403-9", "title" : "How ready is general practice to improve quality in chronic kidney disease? A diagnostic analysis.", "type" : "article-journal", "volume" : "60" }, "uris" : [ "http://www.mendeley.com/documents/?uuid=8173271e-05a6-4c6a-a140-d8f18ea3d728" ] } ], "mendeley" : { "formattedCitation" : "[5]", "plainTextFormattedCitation" : "[5]", "previouslyFormattedCitation" : "[5]" }, "properties" : { "noteIndex" : 2 }, "schema" : "https://github.com/citation-style-language/schema/raw/master/csl-citation.json" }</w:instrText>
            </w:r>
            <w:r>
              <w:fldChar w:fldCharType="separate"/>
            </w:r>
            <w:r w:rsidRPr="00243798">
              <w:rPr>
                <w:noProof/>
              </w:rPr>
              <w:t>[5]</w:t>
            </w:r>
            <w:r>
              <w:fldChar w:fldCharType="end"/>
            </w:r>
          </w:p>
        </w:tc>
        <w:tc>
          <w:tcPr>
            <w:tcW w:w="2610" w:type="dxa"/>
            <w:shd w:val="clear" w:color="auto" w:fill="auto"/>
          </w:tcPr>
          <w:p w:rsidR="009D4EA7" w:rsidRPr="009F0F6D" w:rsidRDefault="009D4EA7" w:rsidP="00A52C77">
            <w:r>
              <w:t>T</w:t>
            </w:r>
            <w:r w:rsidRPr="009F0F6D">
              <w:t>o assess the perspectives of PCP</w:t>
            </w:r>
            <w:r>
              <w:t>s</w:t>
            </w:r>
            <w:r w:rsidRPr="009F0F6D">
              <w:t xml:space="preserve"> on the new UK guidelines for CKD.</w:t>
            </w:r>
          </w:p>
        </w:tc>
        <w:tc>
          <w:tcPr>
            <w:tcW w:w="2970" w:type="dxa"/>
            <w:shd w:val="clear" w:color="auto" w:fill="auto"/>
          </w:tcPr>
          <w:p w:rsidR="009D4EA7" w:rsidRPr="009F0F6D" w:rsidRDefault="009D4EA7" w:rsidP="00A52C77">
            <w:r w:rsidRPr="009F0F6D">
              <w:t>Q</w:t>
            </w:r>
            <w:r>
              <w:t xml:space="preserve">ualitative diagnostic analysis using </w:t>
            </w:r>
            <w:r w:rsidRPr="009F0F6D">
              <w:t>focus group</w:t>
            </w:r>
            <w:r>
              <w:t>s to inform the intervention of a clinical trial.</w:t>
            </w:r>
            <w:r w:rsidRPr="009F0F6D">
              <w:t xml:space="preserve"> Purposive sampling of 5 of the 70 practices that had agreed to participate in the clinic</w:t>
            </w:r>
            <w:r>
              <w:t xml:space="preserve">al trial. </w:t>
            </w:r>
          </w:p>
        </w:tc>
        <w:tc>
          <w:tcPr>
            <w:tcW w:w="5130" w:type="dxa"/>
            <w:shd w:val="clear" w:color="auto" w:fill="auto"/>
          </w:tcPr>
          <w:p w:rsidR="009D4EA7" w:rsidRPr="009F0F6D" w:rsidRDefault="009D4EA7" w:rsidP="00A52C77">
            <w:r w:rsidRPr="009F0F6D">
              <w:t xml:space="preserve">Eight themes emerged: </w:t>
            </w:r>
          </w:p>
          <w:p w:rsidR="009D4EA7" w:rsidRPr="009F0F6D" w:rsidRDefault="009D4EA7" w:rsidP="00A52C77">
            <w:r w:rsidRPr="009F0F6D">
              <w:t xml:space="preserve">1. General responses to </w:t>
            </w:r>
            <w:r>
              <w:t>CKD</w:t>
            </w:r>
            <w:r w:rsidRPr="009F0F6D">
              <w:t xml:space="preserve"> </w:t>
            </w:r>
          </w:p>
          <w:p w:rsidR="009D4EA7" w:rsidRPr="009F0F6D" w:rsidRDefault="009D4EA7" w:rsidP="00A52C77">
            <w:r w:rsidRPr="009F0F6D">
              <w:t xml:space="preserve">2. Issues surrounding use of the </w:t>
            </w:r>
            <w:proofErr w:type="spellStart"/>
            <w:r w:rsidRPr="009F0F6D">
              <w:t>eGFR</w:t>
            </w:r>
            <w:proofErr w:type="spellEnd"/>
            <w:r w:rsidRPr="009F0F6D">
              <w:t xml:space="preserve"> measures</w:t>
            </w:r>
          </w:p>
          <w:p w:rsidR="009D4EA7" w:rsidRPr="009F0F6D" w:rsidRDefault="009D4EA7" w:rsidP="00A52C77">
            <w:r w:rsidRPr="009F0F6D">
              <w:t xml:space="preserve">3. Labeling issues: </w:t>
            </w:r>
            <w:r>
              <w:t xml:space="preserve">belief that </w:t>
            </w:r>
            <w:r w:rsidRPr="009F0F6D">
              <w:t xml:space="preserve">kidney disease part of normal aging process </w:t>
            </w:r>
          </w:p>
          <w:p w:rsidR="009D4EA7" w:rsidRPr="009F0F6D" w:rsidRDefault="009D4EA7" w:rsidP="00A52C77">
            <w:r w:rsidRPr="009F0F6D">
              <w:t xml:space="preserve">4. Issues surrounding giving a CKD diagnosis </w:t>
            </w:r>
          </w:p>
          <w:p w:rsidR="009D4EA7" w:rsidRPr="009F0F6D" w:rsidRDefault="009D4EA7" w:rsidP="00A52C77">
            <w:r w:rsidRPr="009F0F6D">
              <w:t xml:space="preserve">5. Issues surrounding the management of blood pressure in CKD </w:t>
            </w:r>
          </w:p>
          <w:p w:rsidR="009D4EA7" w:rsidRPr="009F0F6D" w:rsidRDefault="009D4EA7" w:rsidP="00A52C77">
            <w:r w:rsidRPr="009F0F6D">
              <w:t xml:space="preserve">6. Patient self-management and compliance issues in relation to meeting blood pressure targets </w:t>
            </w:r>
          </w:p>
          <w:p w:rsidR="009D4EA7" w:rsidRPr="009F0F6D" w:rsidRDefault="009D4EA7" w:rsidP="00A52C77">
            <w:r w:rsidRPr="009F0F6D">
              <w:t xml:space="preserve">7. </w:t>
            </w:r>
            <w:r>
              <w:t>Nephrology r</w:t>
            </w:r>
            <w:r w:rsidRPr="009F0F6D">
              <w:t>eferral issues</w:t>
            </w:r>
          </w:p>
          <w:p w:rsidR="009D4EA7" w:rsidRPr="009F0F6D" w:rsidRDefault="009D4EA7" w:rsidP="00A52C77">
            <w:r w:rsidRPr="009F0F6D">
              <w:t xml:space="preserve">8. Educational requirements of practice regarding CKD </w:t>
            </w:r>
          </w:p>
        </w:tc>
      </w:tr>
      <w:tr w:rsidR="009D4EA7" w:rsidRPr="009F0F6D" w:rsidTr="00A52C77">
        <w:trPr>
          <w:trHeight w:val="231"/>
        </w:trPr>
        <w:tc>
          <w:tcPr>
            <w:tcW w:w="2155" w:type="dxa"/>
            <w:shd w:val="clear" w:color="auto" w:fill="auto"/>
          </w:tcPr>
          <w:p w:rsidR="009D4EA7" w:rsidRDefault="009D4EA7" w:rsidP="00A52C77">
            <w:r w:rsidRPr="009F0F6D">
              <w:rPr>
                <w:rFonts w:cs="Calibri"/>
                <w:lang w:eastAsia="en-CA"/>
              </w:rPr>
              <w:t xml:space="preserve">Feldstein </w:t>
            </w:r>
            <w:r>
              <w:rPr>
                <w:rFonts w:cs="Calibri"/>
                <w:lang w:eastAsia="en-CA"/>
              </w:rPr>
              <w:t xml:space="preserve">et al., </w:t>
            </w:r>
            <w:r w:rsidRPr="009F0F6D">
              <w:rPr>
                <w:rFonts w:cs="Calibri"/>
                <w:lang w:eastAsia="en-CA"/>
              </w:rPr>
              <w:t xml:space="preserve">2010 </w:t>
            </w:r>
            <w:r>
              <w:rPr>
                <w:rFonts w:cs="Calibri"/>
                <w:lang w:eastAsia="en-CA"/>
              </w:rPr>
              <w:fldChar w:fldCharType="begin" w:fldLock="1"/>
            </w:r>
            <w:r>
              <w:rPr>
                <w:rFonts w:cs="Calibri"/>
                <w:lang w:eastAsia="en-CA"/>
              </w:rPr>
              <w:instrText>ADDIN CSL_CITATION { "citationItems" : [ { "id" : "ITEM-1", "itemData" : { "author" : [ { "dropping-particle" : "", "family" : "Feldstein", "given" : "David", "non-dropping-particle" : "", "parse-names" : false, "suffix" : "" }, { "dropping-particle" : "", "family" : "Baier Manwell", "given" : "Linda", "non-dropping-particle" : "", "parse-names" : false, "suffix" : "" }, { "dropping-particle" : "", "family" : "Grasmick", "given" : "Michael", "non-dropping-particle" : "", "parse-names" : false, "suffix" : "" } ], "container-title" : "Society of General Internal Medicine", "id" : "ITEM-1", "issued" : { "date-parts" : [ [ "2010" ] ] }, "page" : "S368", "title" : "Primary Care Providers and Chronic Kidney Disease Management: a Qualitative Study", "type" : "article-journal", "volume" : "33" }, "uris" : [ "http://www.mendeley.com/documents/?uuid=e5a9a84a-8bda-4b22-bb30-06c69c1e13c7" ] } ], "mendeley" : { "formattedCitation" : "[6]", "plainTextFormattedCitation" : "[6]", "previouslyFormattedCitation" : "[6]" }, "properties" : { "noteIndex" : 3 }, "schema" : "https://github.com/citation-style-language/schema/raw/master/csl-citation.json" }</w:instrText>
            </w:r>
            <w:r>
              <w:rPr>
                <w:rFonts w:cs="Calibri"/>
                <w:lang w:eastAsia="en-CA"/>
              </w:rPr>
              <w:fldChar w:fldCharType="separate"/>
            </w:r>
            <w:r w:rsidRPr="00243798">
              <w:rPr>
                <w:rFonts w:cs="Calibri"/>
                <w:noProof/>
                <w:lang w:eastAsia="en-CA"/>
              </w:rPr>
              <w:t>[6]</w:t>
            </w:r>
            <w:r>
              <w:rPr>
                <w:rFonts w:cs="Calibri"/>
                <w:lang w:eastAsia="en-CA"/>
              </w:rPr>
              <w:fldChar w:fldCharType="end"/>
            </w:r>
          </w:p>
        </w:tc>
        <w:tc>
          <w:tcPr>
            <w:tcW w:w="2610" w:type="dxa"/>
            <w:shd w:val="clear" w:color="auto" w:fill="auto"/>
          </w:tcPr>
          <w:p w:rsidR="009D4EA7" w:rsidRPr="009F0F6D" w:rsidRDefault="009D4EA7" w:rsidP="00A52C77">
            <w:r>
              <w:t>T</w:t>
            </w:r>
            <w:r w:rsidRPr="009F0F6D">
              <w:t xml:space="preserve">o understand the barriers and facilitators to care for CKD in primary care. </w:t>
            </w:r>
          </w:p>
        </w:tc>
        <w:tc>
          <w:tcPr>
            <w:tcW w:w="2970" w:type="dxa"/>
            <w:shd w:val="clear" w:color="auto" w:fill="auto"/>
          </w:tcPr>
          <w:p w:rsidR="009D4EA7" w:rsidRPr="009F0F6D" w:rsidRDefault="009D4EA7" w:rsidP="00A52C77">
            <w:r>
              <w:t>Qualitative study which included i</w:t>
            </w:r>
            <w:r w:rsidRPr="009F0F6D">
              <w:t>nitial interviews to develop broad questions</w:t>
            </w:r>
            <w:r>
              <w:t xml:space="preserve"> to be used for</w:t>
            </w:r>
            <w:r w:rsidRPr="009F0F6D">
              <w:t xml:space="preserve"> focus groups </w:t>
            </w:r>
            <w:r w:rsidRPr="009F0F6D">
              <w:lastRenderedPageBreak/>
              <w:t>with PCP</w:t>
            </w:r>
            <w:r>
              <w:t>s</w:t>
            </w:r>
            <w:r w:rsidRPr="009F0F6D">
              <w:t xml:space="preserve"> and nurse practitioners. </w:t>
            </w:r>
          </w:p>
        </w:tc>
        <w:tc>
          <w:tcPr>
            <w:tcW w:w="5130" w:type="dxa"/>
            <w:shd w:val="clear" w:color="auto" w:fill="auto"/>
          </w:tcPr>
          <w:p w:rsidR="009D4EA7" w:rsidRPr="009F0F6D" w:rsidRDefault="009D4EA7" w:rsidP="00A52C77">
            <w:r>
              <w:rPr>
                <w:rFonts w:cs="Calibri"/>
              </w:rPr>
              <w:lastRenderedPageBreak/>
              <w:t xml:space="preserve">There were </w:t>
            </w:r>
            <w:r w:rsidRPr="009F0F6D">
              <w:rPr>
                <w:rFonts w:cs="Calibri"/>
              </w:rPr>
              <w:t>26</w:t>
            </w:r>
            <w:r>
              <w:rPr>
                <w:rFonts w:cs="Calibri"/>
              </w:rPr>
              <w:t xml:space="preserve"> participating</w:t>
            </w:r>
            <w:r w:rsidRPr="009F0F6D">
              <w:rPr>
                <w:rFonts w:cs="Calibri"/>
              </w:rPr>
              <w:t xml:space="preserve"> care providers in 5 focus groups. Barriers and facilitators included: guideline and patient factors (guidelines not flexible, patients not self-managing, patient costs </w:t>
            </w:r>
            <w:r w:rsidRPr="009F0F6D">
              <w:rPr>
                <w:rFonts w:cs="Calibri"/>
              </w:rPr>
              <w:lastRenderedPageBreak/>
              <w:t>and de</w:t>
            </w:r>
            <w:r>
              <w:rPr>
                <w:rFonts w:cs="Calibri"/>
              </w:rPr>
              <w:t>aling with multiple providers</w:t>
            </w:r>
            <w:r w:rsidRPr="009F0F6D">
              <w:rPr>
                <w:rFonts w:cs="Calibri"/>
              </w:rPr>
              <w:t>), PCP factors (lack of time, lack of knowledge and attitudes about guidelines), system factors (lack of decision support tools, low physician autonomy, poor access to info</w:t>
            </w:r>
            <w:r>
              <w:rPr>
                <w:rFonts w:cs="Calibri"/>
              </w:rPr>
              <w:t>rmation</w:t>
            </w:r>
            <w:r w:rsidRPr="009F0F6D">
              <w:rPr>
                <w:rFonts w:cs="Calibri"/>
              </w:rPr>
              <w:t>, systems made for acute not chronic diseases). Facilitators included clear and specific guidelines, awareness of guidelines, clinical decision support tools, clinic support staff and easy access to patient info</w:t>
            </w:r>
            <w:r>
              <w:rPr>
                <w:rFonts w:cs="Calibri"/>
              </w:rPr>
              <w:t>rmation</w:t>
            </w:r>
            <w:r w:rsidRPr="009F0F6D">
              <w:rPr>
                <w:rFonts w:cs="Calibri"/>
              </w:rPr>
              <w:t xml:space="preserve">. </w:t>
            </w:r>
          </w:p>
        </w:tc>
      </w:tr>
      <w:tr w:rsidR="009D4EA7" w:rsidRPr="009F0F6D" w:rsidTr="00A52C77">
        <w:trPr>
          <w:trHeight w:val="231"/>
        </w:trPr>
        <w:tc>
          <w:tcPr>
            <w:tcW w:w="2155" w:type="dxa"/>
            <w:shd w:val="clear" w:color="auto" w:fill="auto"/>
          </w:tcPr>
          <w:p w:rsidR="009D4EA7" w:rsidRPr="009F0F6D" w:rsidRDefault="009D4EA7" w:rsidP="00A52C77">
            <w:pPr>
              <w:rPr>
                <w:rFonts w:cs="Calibri"/>
                <w:lang w:eastAsia="en-CA"/>
              </w:rPr>
            </w:pPr>
            <w:r>
              <w:rPr>
                <w:rFonts w:cs="Calibri"/>
                <w:lang w:eastAsia="en-CA"/>
              </w:rPr>
              <w:lastRenderedPageBreak/>
              <w:t xml:space="preserve">Williams et al., 2008 </w:t>
            </w:r>
            <w:r>
              <w:rPr>
                <w:rFonts w:cs="Calibri"/>
                <w:lang w:eastAsia="en-CA"/>
              </w:rPr>
              <w:fldChar w:fldCharType="begin" w:fldLock="1"/>
            </w:r>
            <w:r>
              <w:rPr>
                <w:rFonts w:cs="Calibri"/>
                <w:lang w:eastAsia="en-CA"/>
              </w:rPr>
              <w:instrText>ADDIN CSL_CITATION { "citationItems" : [ { "id" : "ITEM-1", "itemData" : { "DOI" : "10.1016/j.ijnurstu.2008.07.002", "ISBN" : "0020-7489 (Print)\\r0020-7489 (Linking)", "ISSN" : "00207489", "PMID" : "18701103", "abstract" : "Background: Individuals are adherent to approximately 50% of their prescribed medications, which decreases when multiple, chronic conditions are involved. Objective: To examine factors affecting adherence to multiple prescribed medications for consumers with co-existing diabetes and chronic kidney disease (diabetic kidney disease) from the time of prescription to the time they took their medications. Design: A descriptive exploratory design was used incorporating in-depth interviews and focus groups. Setting: The diabetes and nephrology departments of two metropolitan, public hospitals in Melbourne, Australia. Participants: A convenience sample of 23 consumers with diabetic kidney disease participated in an in-depth interview. Inclusion criteria involved English-speaking individuals, aged ???18 years, with co-existing diabetes and chronic kidney disease, and who were mentally competent. Exclusion criteria included impending commencement on dialysis, pregnancy, an aggressive form of cancer, or a mental syndrome that was not stabilised with medication. Sixteen health professionals working in diabetes and nephrology departments in Melbourne, Australia also participated in one of two focus groups. Methods: In-depth structured interviews and focus groups were conducted and analysed according to a model of medication adherence. Results: Consumers were not convinced of the need, effectiveness and safety of all of their medications. Alternatively, health professionals focussed on the importance of consumers taking their medications as prescribed and believed that the risk of medication-related adverse effects was over-rated. Accessing prescribed medications and difficulties surrounding continuity of care contributed to consumers' unintentional medication non-adherence. In particular, it was hard for consumers to persist taking their ongoing medication prescriptions. Healthcare system inadequacies were highlighted, which affected relationships between consumers with diabetic kidney disease and health professionals. Conclusions: Acknowledging the barriers as perceived by consumers with diabetic kidney disease can facilitate effective communication and partnerships with health professionals necessary for medication adherence and medication safety. ?? 2008 Elsevier Ltd. All rights reserved.", "author" : [ { "dropping-particle" : "", "family" : "Williams", "given" : "Allison F.", "non-dropping-particle" : "", "parse-names" : false, "suffix" : "" }, { "dropping-particle" : "", "family" : "Manias", "given" : "Elizabeth", "non-dropping-particle" : "", "parse-names" : false, "suffix" : "" }, { "dropping-particle" : "", "family" : "Walker", "given" : "Rowan", "non-dropping-particle" : "", "parse-names" : false, "suffix" : "" } ], "container-title" : "International Journal of Nursing Studies", "id" : "ITEM-1", "issue" : "12", "issued" : { "date-parts" : [ [ "2008" ] ] }, "page" : "1742-1756", "title" : "Adherence to multiple, prescribed medications in diabetic kidney disease: A qualitative study of consumers' and health professionals' perspectives", "type" : "article-journal", "volume" : "45" }, "uris" : [ "http://www.mendeley.com/documents/?uuid=759f955c-4888-446a-b955-36289ef626ff" ] } ], "mendeley" : { "formattedCitation" : "[7]", "plainTextFormattedCitation" : "[7]", "previouslyFormattedCitation" : "[7]" }, "properties" : { "noteIndex" : 3 }, "schema" : "https://github.com/citation-style-language/schema/raw/master/csl-citation.json" }</w:instrText>
            </w:r>
            <w:r>
              <w:rPr>
                <w:rFonts w:cs="Calibri"/>
                <w:lang w:eastAsia="en-CA"/>
              </w:rPr>
              <w:fldChar w:fldCharType="separate"/>
            </w:r>
            <w:r w:rsidRPr="00243798">
              <w:rPr>
                <w:rFonts w:cs="Calibri"/>
                <w:noProof/>
                <w:lang w:eastAsia="en-CA"/>
              </w:rPr>
              <w:t>[7]</w:t>
            </w:r>
            <w:r>
              <w:rPr>
                <w:rFonts w:cs="Calibri"/>
                <w:lang w:eastAsia="en-CA"/>
              </w:rPr>
              <w:fldChar w:fldCharType="end"/>
            </w:r>
          </w:p>
        </w:tc>
        <w:tc>
          <w:tcPr>
            <w:tcW w:w="2610" w:type="dxa"/>
            <w:shd w:val="clear" w:color="auto" w:fill="auto"/>
          </w:tcPr>
          <w:p w:rsidR="009D4EA7" w:rsidRPr="009F0F6D" w:rsidRDefault="009D4EA7" w:rsidP="00A52C77">
            <w:r>
              <w:t xml:space="preserve">To determine factors associated with adherence to multiple medications for patients with CKD and diabetes. </w:t>
            </w:r>
          </w:p>
        </w:tc>
        <w:tc>
          <w:tcPr>
            <w:tcW w:w="2970" w:type="dxa"/>
            <w:shd w:val="clear" w:color="auto" w:fill="auto"/>
          </w:tcPr>
          <w:p w:rsidR="009D4EA7" w:rsidRPr="009F0F6D" w:rsidRDefault="009D4EA7" w:rsidP="00A52C77">
            <w:r>
              <w:t xml:space="preserve">Descriptive exploratory qualitative study including structured interviews with patients who have CKD and diabetes and focus groups with physicians.  </w:t>
            </w:r>
          </w:p>
        </w:tc>
        <w:tc>
          <w:tcPr>
            <w:tcW w:w="5130" w:type="dxa"/>
            <w:shd w:val="clear" w:color="auto" w:fill="auto"/>
          </w:tcPr>
          <w:p w:rsidR="009D4EA7" w:rsidRPr="009F0F6D" w:rsidRDefault="009D4EA7" w:rsidP="00A52C77">
            <w:pPr>
              <w:rPr>
                <w:rFonts w:cs="Calibri"/>
              </w:rPr>
            </w:pPr>
            <w:r>
              <w:rPr>
                <w:rFonts w:cs="Calibri"/>
              </w:rPr>
              <w:t>Results included themes of: 1) purposeful action (patients did not have a strong intention to take medications, which went against what physicians thought); 2) perceived need (patients did not think they needed all medications or know why they were taking them); 3) perceived effectiveness (patients did not perceive all their medications to be effective); 4) medication safety (medications causing side effects according to patients, physicians think they may be over-reacting in most cases); 5) access (patients who forgot to refill prescriptions, although pharmacists helped prevent this; other access barriers of costs, lack of transportation, physical symptoms); 6) routine (patients disliked change to their medication routines); 7) remembering (patients forgetting to take medications; physicians noted that poor mental health was a barrier); 8) feedback (physician-patient relationship was important to adherence; patients lacked knowledge about what medications were for; some patients used prompts to remember to take pills).</w:t>
            </w:r>
          </w:p>
        </w:tc>
      </w:tr>
      <w:tr w:rsidR="009D4EA7" w:rsidRPr="009F0F6D" w:rsidTr="00A52C77">
        <w:trPr>
          <w:trHeight w:val="229"/>
        </w:trPr>
        <w:tc>
          <w:tcPr>
            <w:tcW w:w="2155" w:type="dxa"/>
            <w:shd w:val="clear" w:color="auto" w:fill="auto"/>
          </w:tcPr>
          <w:p w:rsidR="009D4EA7" w:rsidRPr="009F0F6D" w:rsidRDefault="009D4EA7" w:rsidP="00A52C77">
            <w:pPr>
              <w:rPr>
                <w:rFonts w:cs="Calibri"/>
              </w:rPr>
            </w:pPr>
            <w:r>
              <w:rPr>
                <w:rFonts w:cs="Calibri"/>
              </w:rPr>
              <w:t xml:space="preserve">Fox et al., 2006 </w:t>
            </w:r>
            <w:r>
              <w:rPr>
                <w:rFonts w:cs="Calibri"/>
              </w:rPr>
              <w:fldChar w:fldCharType="begin" w:fldLock="1"/>
            </w:r>
            <w:r>
              <w:rPr>
                <w:rFonts w:cs="Calibri"/>
              </w:rPr>
              <w:instrText>ADDIN CSL_CITATION { "citationItems" : [ { "id" : "ITEM-1", "itemData" : { "ISSN" : "1557-2625", "PMID" : "16492006", "abstract" : "BACKGROUND: There is a steady increase in the prevalence of chronic kidney disease (CKD) in the United States. Primary care physicians (PCPs) can engage in strategies that are proven to be effective in reducing the progression rate of kidney disease. The National Kidney Foundation has released evidence-based guidelines called the Kidney Disease Outcome Quality Improvement Initiative (K/DOQI) that detail these strategies. No information exists regarding adoption of these guidelines in primary care. METHODS: A qualitative study in a practice-based research network (PBRN) was undertaken to explore common PCP practices and knowledge regarding CKD. A typical case sampling strategy was followed. Semi-structured interviews and exit surveys were conducted with 10 PCPs from randomly selected PBRN practices. Three reviewers conducted content analysis using the immersion-crystallization approach. RESULTS: Five general themes emerged as key findings: (1) lack of awareness of K/DOQI guidelines; (2) Desire for more CKD practice guidance; (3) persistence of traditional, less accurate, diagnostic procedure; (4) variability in the treatment of complications; and (5) uncertainty of timing for referral to a nephrologist. CONCLUSION: Facing a growing CKD incidence, PCPs can have an impact on preventing its progression and associated complications with increased familiarity of new guidelines.", "author" : [ { "dropping-particle" : "", "family" : "Fox", "given" : "Chester H", "non-dropping-particle" : "", "parse-names" : false, "suffix" : "" }, { "dropping-particle" : "", "family" : "Brooks", "given" : "Amanda", "non-dropping-particle" : "", "parse-names" : false, "suffix" : "" }, { "dropping-particle" : "", "family" : "Zayas", "given" : "Luis E", "non-dropping-particle" : "", "parse-names" : false, "suffix" : "" }, { "dropping-particle" : "", "family" : "McClellan", "given" : "William", "non-dropping-particle" : "", "parse-names" : false, "suffix" : "" }, { "dropping-particle" : "", "family" : "Murray", "given" : "Brian", "non-dropping-particle" : "", "parse-names" : false, "suffix" : "" } ], "container-title" : "Journal of the American Board of Family Medicine : JABFM", "id" : "ITEM-1", "issue" : "1", "issued" : { "date-parts" : [ [ "2006" ] ] }, "page" : "54-61", "title" : "Primary care physicians' knowledge and practice patterns in the treatment of chronic kidney disease: an Upstate New York Practice-based Research Network (UNYNET) study.", "type" : "article-journal", "volume" : "19" }, "uris" : [ "http://www.mendeley.com/documents/?uuid=20671645-f7d3-43f3-97ea-ea841828777c" ] } ], "mendeley" : { "formattedCitation" : "[8]", "plainTextFormattedCitation" : "[8]", "previouslyFormattedCitation" : "[8]" }, "properties" : { "noteIndex" : 4 }, "schema" : "https://github.com/citation-style-language/schema/raw/master/csl-citation.json" }</w:instrText>
            </w:r>
            <w:r>
              <w:rPr>
                <w:rFonts w:cs="Calibri"/>
              </w:rPr>
              <w:fldChar w:fldCharType="separate"/>
            </w:r>
            <w:r w:rsidRPr="00243798">
              <w:rPr>
                <w:rFonts w:cs="Calibri"/>
                <w:noProof/>
              </w:rPr>
              <w:t>[8]</w:t>
            </w:r>
            <w:r>
              <w:rPr>
                <w:rFonts w:cs="Calibri"/>
              </w:rPr>
              <w:fldChar w:fldCharType="end"/>
            </w:r>
          </w:p>
        </w:tc>
        <w:tc>
          <w:tcPr>
            <w:tcW w:w="2610" w:type="dxa"/>
            <w:shd w:val="clear" w:color="auto" w:fill="auto"/>
          </w:tcPr>
          <w:p w:rsidR="009D4EA7" w:rsidRPr="009F0F6D" w:rsidRDefault="009D4EA7" w:rsidP="00A52C77">
            <w:r>
              <w:t xml:space="preserve">To </w:t>
            </w:r>
            <w:r w:rsidRPr="00915850">
              <w:t xml:space="preserve">assess PCPs’ knowledge of CKD and </w:t>
            </w:r>
            <w:r w:rsidRPr="00915850">
              <w:lastRenderedPageBreak/>
              <w:t xml:space="preserve">uptake of </w:t>
            </w:r>
            <w:r>
              <w:t xml:space="preserve">Kidney Disease Outcome Quality </w:t>
            </w:r>
            <w:r w:rsidRPr="00915850">
              <w:t>Initiative (K/DOQI) guidelines.</w:t>
            </w:r>
          </w:p>
        </w:tc>
        <w:tc>
          <w:tcPr>
            <w:tcW w:w="2970" w:type="dxa"/>
            <w:shd w:val="clear" w:color="auto" w:fill="auto"/>
          </w:tcPr>
          <w:p w:rsidR="009D4EA7" w:rsidRPr="009F0F6D" w:rsidRDefault="009D4EA7" w:rsidP="00A52C77">
            <w:r w:rsidRPr="009F0F6D">
              <w:lastRenderedPageBreak/>
              <w:t xml:space="preserve">Qualitative study using semi-structured interviews </w:t>
            </w:r>
            <w:r w:rsidRPr="009F0F6D">
              <w:lastRenderedPageBreak/>
              <w:t xml:space="preserve">and surveys </w:t>
            </w:r>
            <w:r>
              <w:t>with PCPs.</w:t>
            </w:r>
          </w:p>
        </w:tc>
        <w:tc>
          <w:tcPr>
            <w:tcW w:w="5130" w:type="dxa"/>
            <w:shd w:val="clear" w:color="auto" w:fill="auto"/>
          </w:tcPr>
          <w:p w:rsidR="009D4EA7" w:rsidRPr="009F0F6D" w:rsidRDefault="009D4EA7" w:rsidP="00A52C77">
            <w:r>
              <w:lastRenderedPageBreak/>
              <w:t>Ten</w:t>
            </w:r>
            <w:r w:rsidRPr="009F0F6D">
              <w:t xml:space="preserve"> </w:t>
            </w:r>
            <w:r>
              <w:t>PCPs participated in the study. Five</w:t>
            </w:r>
            <w:r w:rsidRPr="009F0F6D">
              <w:t xml:space="preserve"> main themes emerged: 1) lack of awareness of K</w:t>
            </w:r>
            <w:r>
              <w:t>/</w:t>
            </w:r>
            <w:r w:rsidRPr="009F0F6D">
              <w:t xml:space="preserve">DOQI </w:t>
            </w:r>
            <w:r w:rsidRPr="009F0F6D">
              <w:lastRenderedPageBreak/>
              <w:t>guidelines (none of physicians reported being aware of or using guidelines), 2) suggestions for more CKD guidelines (strongly believe</w:t>
            </w:r>
            <w:r>
              <w:t>d in following guidelines, especially</w:t>
            </w:r>
            <w:r w:rsidRPr="009F0F6D">
              <w:t xml:space="preserve"> for hypertension and diabetes but not for CKD), 3)</w:t>
            </w:r>
            <w:r>
              <w:t xml:space="preserve"> use of outdated approaches (using serum</w:t>
            </w:r>
            <w:r w:rsidRPr="009F0F6D">
              <w:t xml:space="preserve"> creatinine rather than </w:t>
            </w:r>
            <w:proofErr w:type="spellStart"/>
            <w:r>
              <w:t>e</w:t>
            </w:r>
            <w:r w:rsidRPr="009F0F6D">
              <w:t>GFR</w:t>
            </w:r>
            <w:proofErr w:type="spellEnd"/>
            <w:r w:rsidRPr="009F0F6D">
              <w:t xml:space="preserve"> and proteinuria to diagnosis and monitor), 4) inconsistent methods to treat comorbidities</w:t>
            </w:r>
            <w:r>
              <w:t>,</w:t>
            </w:r>
            <w:r w:rsidRPr="009F0F6D">
              <w:t xml:space="preserve"> and 5) uncertainty about timing for nephrology referral (have own rules on when to refer and most reported difficulty in communicating with nephrologist</w:t>
            </w:r>
            <w:r>
              <w:t>s</w:t>
            </w:r>
            <w:r w:rsidRPr="009F0F6D">
              <w:t xml:space="preserve"> and sharing care of patient). </w:t>
            </w:r>
          </w:p>
        </w:tc>
      </w:tr>
      <w:tr w:rsidR="009D4EA7" w:rsidRPr="009F0F6D" w:rsidTr="00A52C77">
        <w:trPr>
          <w:trHeight w:val="229"/>
        </w:trPr>
        <w:tc>
          <w:tcPr>
            <w:tcW w:w="12865" w:type="dxa"/>
            <w:gridSpan w:val="4"/>
            <w:shd w:val="clear" w:color="auto" w:fill="BFBFBF" w:themeFill="background1" w:themeFillShade="BF"/>
          </w:tcPr>
          <w:p w:rsidR="009D4EA7" w:rsidRPr="009F0F6D" w:rsidRDefault="009D4EA7" w:rsidP="00A52C77">
            <w:pPr>
              <w:jc w:val="center"/>
              <w:rPr>
                <w:rFonts w:cs="Calibri"/>
              </w:rPr>
            </w:pPr>
            <w:r w:rsidRPr="00D91996">
              <w:rPr>
                <w:b/>
              </w:rPr>
              <w:lastRenderedPageBreak/>
              <w:t>Research on Reasons for Care Gaps Regarding Laboratory Test Ordering (non-Chronic Kidney Disease)</w:t>
            </w:r>
          </w:p>
        </w:tc>
      </w:tr>
      <w:tr w:rsidR="009D4EA7" w:rsidRPr="009F0F6D" w:rsidTr="00A52C77">
        <w:trPr>
          <w:trHeight w:val="229"/>
        </w:trPr>
        <w:tc>
          <w:tcPr>
            <w:tcW w:w="2155" w:type="dxa"/>
            <w:shd w:val="clear" w:color="auto" w:fill="auto"/>
          </w:tcPr>
          <w:p w:rsidR="009D4EA7" w:rsidRPr="009F0F6D" w:rsidRDefault="009D4EA7" w:rsidP="00A52C77">
            <w:pPr>
              <w:rPr>
                <w:rFonts w:cs="Calibri"/>
                <w:lang w:eastAsia="en-CA"/>
              </w:rPr>
            </w:pPr>
            <w:r w:rsidRPr="00FC20B1">
              <w:t xml:space="preserve">Litchfield </w:t>
            </w:r>
            <w:r>
              <w:t xml:space="preserve">et al., </w:t>
            </w:r>
            <w:r w:rsidRPr="00FC20B1">
              <w:t>201</w:t>
            </w:r>
            <w:r>
              <w:t>4</w:t>
            </w:r>
            <w:r w:rsidRPr="00FC20B1">
              <w:t xml:space="preserve"> </w:t>
            </w:r>
            <w:r>
              <w:fldChar w:fldCharType="begin" w:fldLock="1"/>
            </w:r>
            <w:r>
              <w:instrText>ADDIN CSL_CITATION { "citationItems" : [ { "id" : "ITEM-1", "itemData" : { "author" : [ { "dropping-particle" : "", "family" : "Litchfield", "given" : "IJ", "non-dropping-particle" : "", "parse-names" : false, "suffix" : "" }, { "dropping-particle" : "", "family" : "Lilford", "given" : "RJ", "non-dropping-particle" : "", "parse-names" : false, "suffix" : "" }, { "dropping-particle" : "", "family" : "Bentham", "given" : "LM", "non-dropping-particle" : "", "parse-names" : false, "suffix" : "" }, { "dropping-particle" : "", "family" : "Greenfield", "given" : "SM", "non-dropping-particle" : "", "parse-names" : false, "suffix" : "" } ], "container-title" : "Qual Prim Care", "id" : "ITEM-1", "issue" : "4", "issued" : { "date-parts" : [ [ "2014" ] ] }, "page" : "201-210", "title" : "A qualitative exploration of the motives behind the decision to order a liver function test in primary care", "type" : "article-journal", "volume" : "22" }, "uris" : [ "http://www.mendeley.com/documents/?uuid=6718e251-0d5e-46a1-9dc8-4bf731a7a4a0" ] } ], "mendeley" : { "formattedCitation" : "[9]", "plainTextFormattedCitation" : "[9]", "previouslyFormattedCitation" : "[9]" }, "properties" : { "noteIndex" : 4 }, "schema" : "https://github.com/citation-style-language/schema/raw/master/csl-citation.json" }</w:instrText>
            </w:r>
            <w:r>
              <w:fldChar w:fldCharType="separate"/>
            </w:r>
            <w:r w:rsidRPr="00243798">
              <w:rPr>
                <w:noProof/>
              </w:rPr>
              <w:t>[9]</w:t>
            </w:r>
            <w:r>
              <w:fldChar w:fldCharType="end"/>
            </w:r>
            <w:r w:rsidRPr="00FC20B1">
              <w:t xml:space="preserve"> </w:t>
            </w:r>
          </w:p>
        </w:tc>
        <w:tc>
          <w:tcPr>
            <w:tcW w:w="2610" w:type="dxa"/>
            <w:shd w:val="clear" w:color="auto" w:fill="auto"/>
          </w:tcPr>
          <w:p w:rsidR="009D4EA7" w:rsidRPr="009F0F6D" w:rsidRDefault="009D4EA7" w:rsidP="00A52C77">
            <w:r w:rsidRPr="00FC20B1">
              <w:t xml:space="preserve">To understand </w:t>
            </w:r>
            <w:r>
              <w:t>PCPs</w:t>
            </w:r>
            <w:r w:rsidRPr="00FC20B1">
              <w:t>’ reasons for ordering liver function laboratory tests.</w:t>
            </w:r>
          </w:p>
        </w:tc>
        <w:tc>
          <w:tcPr>
            <w:tcW w:w="2970" w:type="dxa"/>
            <w:shd w:val="clear" w:color="auto" w:fill="auto"/>
          </w:tcPr>
          <w:p w:rsidR="009D4EA7" w:rsidRPr="009F0F6D" w:rsidRDefault="009D4EA7" w:rsidP="00A52C77">
            <w:r>
              <w:t>Prospective study with interviews.</w:t>
            </w:r>
          </w:p>
        </w:tc>
        <w:tc>
          <w:tcPr>
            <w:tcW w:w="5130" w:type="dxa"/>
            <w:shd w:val="clear" w:color="auto" w:fill="auto"/>
          </w:tcPr>
          <w:p w:rsidR="009D4EA7" w:rsidRDefault="009D4EA7" w:rsidP="00A52C77">
            <w:r>
              <w:t>Factors categorized into:</w:t>
            </w:r>
          </w:p>
          <w:p w:rsidR="009D4EA7" w:rsidRDefault="009D4EA7" w:rsidP="00A52C77">
            <w:r>
              <w:t>1) Internal: general attitudes and efficacy of ordering liver function tests and</w:t>
            </w:r>
          </w:p>
          <w:p w:rsidR="009D4EA7" w:rsidRPr="009F0F6D" w:rsidRDefault="009D4EA7" w:rsidP="00A52C77">
            <w:r>
              <w:t xml:space="preserve">2) External: social influence and test characteristics. This may take precedence over internal/ clinical characteristics. </w:t>
            </w:r>
          </w:p>
        </w:tc>
      </w:tr>
      <w:tr w:rsidR="009D4EA7" w:rsidRPr="009F0F6D" w:rsidTr="00A52C77">
        <w:trPr>
          <w:trHeight w:val="229"/>
        </w:trPr>
        <w:tc>
          <w:tcPr>
            <w:tcW w:w="2155" w:type="dxa"/>
            <w:shd w:val="clear" w:color="auto" w:fill="auto"/>
          </w:tcPr>
          <w:p w:rsidR="009D4EA7" w:rsidRPr="009F0F6D" w:rsidRDefault="009D4EA7" w:rsidP="00A52C77">
            <w:r>
              <w:t xml:space="preserve">Menon et al., 2014 </w:t>
            </w:r>
            <w:r>
              <w:fldChar w:fldCharType="begin" w:fldLock="1"/>
            </w:r>
            <w:r>
              <w:instrText>ADDIN CSL_CITATION { "citationItems" : [ { "id" : "ITEM-1", "itemData" : { "DOI" : "10.1136/bmjopen-2014-005985", "ISSN" : "2044-6055", "PMID" : "25387758", "abstract" : "OBJECTIVES: Electronic health record (EHR)-based alerts can facilitate transmission of test results to healthcare providers, helping ensure timely and appropriate follow-up. However, failure to follow-up on abnormal test results (missed test results) persists in EHR-enabled healthcare settings. We aimed to identify contextual factors associated with facility-level variation in missed test results within the Veterans Affairs (VA) health system. DESIGN, SETTING AND PARTICIPANTS: Based on a previous survey, we categorised VA facilities according to primary care providers' (PCPs') perceptions of low (n=20) versus high (n=20) risk of missed test results. We interviewed facility representatives to collect data on several contextual factors derived from a sociotechnical conceptual model of safe and effective EHR use. We compared these factors between facilities categorised as low and high perceived risk, adjusting for structural characteristics. RESULTS: Facilities with low perceived risk were significantly more likely to use specific strategies to prevent alerts from being lost to follow-up (p=0.0114). Qualitative analysis identified three high-risk scenarios for missed test results: alerts on tests ordered by trainees, alerts 'handed off' to another covering clinician (surrogate clinician), and alerts on patients not assigned in the EHR to a PCP. Test result management policies and procedures to address these high-risk situations varied considerably across facilities. CONCLUSIONS: Our study identified several scenarios that pose a higher risk for missed test results in EHR-based healthcare systems. In addition to implementing provider-level strategies to prevent missed test results, healthcare organisations should consider implementing monitoring systems to track missed test results.", "author" : [ { "dropping-particle" : "", "family" : "Menon", "given" : "Shailaja", "non-dropping-particle" : "", "parse-names" : false, "suffix" : "" }, { "dropping-particle" : "", "family" : "Smith", "given" : "Michael", "non-dropping-particle" : "", "parse-names" : false, "suffix" : "" }, { "dropping-particle" : "", "family" : "Sittig", "given" : "Dean", "non-dropping-particle" : "", "parse-names" : false, "suffix" : "" }, { "dropping-particle" : "", "family" : "Petersen", "given" : "Nancy", "non-dropping-particle" : "", "parse-names" : false, "suffix" : "" }, { "dropping-particle" : "", "family" : "Hysong", "given" : "Sylvia", "non-dropping-particle" : "", "parse-names" : false, "suffix" : "" }, { "dropping-particle" : "", "family" : "Espadas", "given" : "Donna", "non-dropping-particle" : "", "parse-names" : false, "suffix" : "" }, { "dropping-particle" : "", "family" : "Modi", "given" : "Varsha", "non-dropping-particle" : "", "parse-names" : false, "suffix" : "" }, { "dropping-particle" : "", "family" : "Singh", "given" : "Hardeep", "non-dropping-particle" : "", "parse-names" : false, "suffix" : "" } ], "container-title" : "BMJ Open", "id" : "ITEM-1", "issue" : "11", "issued" : { "date-parts" : [ [ "2014" ] ] }, "page" : "e005985", "title" : "How context affects electronic health record-based test result follow-up: a mixed-methods evaluation.", "type" : "article-journal", "volume" : "4" }, "uris" : [ "http://www.mendeley.com/documents/?uuid=2f98958a-be3e-49b9-9673-3bfaeec9278e" ] } ], "mendeley" : { "formattedCitation" : "[10]", "plainTextFormattedCitation" : "[10]", "previouslyFormattedCitation" : "[10]" }, "properties" : { "noteIndex" : 4 }, "schema" : "https://github.com/citation-style-language/schema/raw/master/csl-citation.json" }</w:instrText>
            </w:r>
            <w:r>
              <w:fldChar w:fldCharType="separate"/>
            </w:r>
            <w:r w:rsidRPr="00243798">
              <w:rPr>
                <w:noProof/>
              </w:rPr>
              <w:t>[10]</w:t>
            </w:r>
            <w:r>
              <w:fldChar w:fldCharType="end"/>
            </w:r>
          </w:p>
        </w:tc>
        <w:tc>
          <w:tcPr>
            <w:tcW w:w="2610" w:type="dxa"/>
            <w:shd w:val="clear" w:color="auto" w:fill="auto"/>
          </w:tcPr>
          <w:p w:rsidR="009D4EA7" w:rsidRPr="009F0F6D" w:rsidRDefault="009D4EA7" w:rsidP="00A52C77">
            <w:r>
              <w:t xml:space="preserve">To identify factors associated with facilities </w:t>
            </w:r>
            <w:proofErr w:type="gramStart"/>
            <w:r>
              <w:t>who</w:t>
            </w:r>
            <w:proofErr w:type="gramEnd"/>
            <w:r>
              <w:t xml:space="preserve"> had low or high missed test results in the Veterans Affairs electronic medical record system. </w:t>
            </w:r>
          </w:p>
        </w:tc>
        <w:tc>
          <w:tcPr>
            <w:tcW w:w="2970" w:type="dxa"/>
            <w:shd w:val="clear" w:color="auto" w:fill="auto"/>
          </w:tcPr>
          <w:p w:rsidR="009D4EA7" w:rsidRPr="009F0F6D" w:rsidRDefault="009D4EA7" w:rsidP="00A52C77">
            <w:r>
              <w:t xml:space="preserve">Mixed-methods evaluation, which used previous surveys to classify facilities as low or high risk and qualitative interviews with these facilities. </w:t>
            </w:r>
          </w:p>
        </w:tc>
        <w:tc>
          <w:tcPr>
            <w:tcW w:w="5130" w:type="dxa"/>
            <w:shd w:val="clear" w:color="auto" w:fill="auto"/>
          </w:tcPr>
          <w:p w:rsidR="009D4EA7" w:rsidRPr="009F0F6D" w:rsidRDefault="009D4EA7" w:rsidP="00A52C77">
            <w:r>
              <w:t xml:space="preserve">Forty facilities participated (20 low </w:t>
            </w:r>
            <w:proofErr w:type="gramStart"/>
            <w:r>
              <w:t>risk</w:t>
            </w:r>
            <w:proofErr w:type="gramEnd"/>
            <w:r>
              <w:t xml:space="preserve"> and 20 high risk). High risk scenarios for missed tests included: tests ordered by trainees were sometimes missed if laboratories only notified the ordering physician and not an attending physician as well; assignment of surrogates when physicians were on extended vacation/ leave where surrogates were not always assigned or did not always act on the test result; patients may not have been assigned to a PCP in the electronic medical record system. </w:t>
            </w:r>
          </w:p>
        </w:tc>
      </w:tr>
      <w:tr w:rsidR="009D4EA7" w:rsidRPr="009F0F6D" w:rsidTr="00A52C77">
        <w:trPr>
          <w:trHeight w:val="229"/>
        </w:trPr>
        <w:tc>
          <w:tcPr>
            <w:tcW w:w="2155" w:type="dxa"/>
            <w:shd w:val="clear" w:color="auto" w:fill="auto"/>
          </w:tcPr>
          <w:p w:rsidR="009D4EA7" w:rsidRPr="009F0F6D" w:rsidRDefault="009D4EA7" w:rsidP="00A52C77">
            <w:pPr>
              <w:rPr>
                <w:rFonts w:cs="Calibri"/>
                <w:lang w:eastAsia="en-CA"/>
              </w:rPr>
            </w:pPr>
            <w:r>
              <w:t xml:space="preserve">West et al., 2014 </w:t>
            </w:r>
            <w:r>
              <w:fldChar w:fldCharType="begin" w:fldLock="1"/>
            </w:r>
            <w:r>
              <w:instrText>ADDIN CSL_CITATION { "citationItems" : [ { "id" : "ITEM-1", "itemData" : { "DOI" : "10.3122/jabfm.2014.06.140015", "author" : [ { "dropping-particle" : "", "family" : "West", "given" : "David R", "non-dropping-particle" : "", "parse-names" : false, "suffix" : "" }, { "dropping-particle" : "", "family" : "James", "given" : "Katherine A", "non-dropping-particle" : "", "parse-names" : false, "suffix" : "" }, { "dropping-particle" : "", "family" : "Fernald", "given" : "Douglas H", "non-dropping-particle" : "", "parse-names" : false, "suffix" : "" }, { "dropping-particle" : "", "family" : "Zelie", "given" : "Claire", "non-dropping-particle" : "", "parse-names" : false, "suffix" : "" }, { "dropping-particle" : "", "family" : "Smith", "given" : "Maxwell L", "non-dropping-particle" : "", "parse-names" : false, "suffix" : "" }, { "dropping-particle" : "", "family" : "Raab", "given" : "Stephen S", "non-dropping-particle" : "", "parse-names" : false, "suffix" : "" } ], "container-title" : "J Am Board Fam Med", "id" : "ITEM-1", "issue" : "6", "issued" : { "date-parts" : [ [ "2014" ] ] }, "page" : "796-803", "title" : "Laboratory Medicine Handoff Gaps Experienced by Primary Care Practices : A Report from the Shared Networks of Collaborative Ambulatory Practices and Partners ( SNOCAP )", "type" : "article-journal", "volume" : "27" }, "uris" : [ "http://www.mendeley.com/documents/?uuid=6f1d4bbc-15ae-4e51-a6f6-f7a79348c855" ] } ], "mendeley" : { "formattedCitation" : "[11]", "plainTextFormattedCitation" : "[11]", "previouslyFormattedCitation" : "[11]" }, "properties" : { "noteIndex" : 5 }, "schema" : "https://github.com/citation-style-language/schema/raw/master/csl-citation.json" }</w:instrText>
            </w:r>
            <w:r>
              <w:fldChar w:fldCharType="separate"/>
            </w:r>
            <w:r w:rsidRPr="00243798">
              <w:rPr>
                <w:noProof/>
              </w:rPr>
              <w:t>[11]</w:t>
            </w:r>
            <w:r>
              <w:fldChar w:fldCharType="end"/>
            </w:r>
          </w:p>
        </w:tc>
        <w:tc>
          <w:tcPr>
            <w:tcW w:w="2610" w:type="dxa"/>
            <w:shd w:val="clear" w:color="auto" w:fill="auto"/>
          </w:tcPr>
          <w:p w:rsidR="009D4EA7" w:rsidRPr="009F0F6D" w:rsidRDefault="009D4EA7" w:rsidP="00A52C77">
            <w:r>
              <w:t>To understand the perceived care gaps for laboratory management in practice.</w:t>
            </w:r>
          </w:p>
        </w:tc>
        <w:tc>
          <w:tcPr>
            <w:tcW w:w="2970" w:type="dxa"/>
            <w:shd w:val="clear" w:color="auto" w:fill="auto"/>
          </w:tcPr>
          <w:p w:rsidR="009D4EA7" w:rsidRPr="009F0F6D" w:rsidRDefault="009D4EA7" w:rsidP="00A52C77">
            <w:r>
              <w:t xml:space="preserve">Survey to clinicians and staff in Colorado primary care practices. </w:t>
            </w:r>
          </w:p>
        </w:tc>
        <w:tc>
          <w:tcPr>
            <w:tcW w:w="5130" w:type="dxa"/>
            <w:shd w:val="clear" w:color="auto" w:fill="auto"/>
          </w:tcPr>
          <w:p w:rsidR="009D4EA7" w:rsidRPr="009F0F6D" w:rsidRDefault="009D4EA7" w:rsidP="00A52C77">
            <w:pPr>
              <w:rPr>
                <w:rFonts w:cs="Calibri"/>
              </w:rPr>
            </w:pPr>
            <w:r>
              <w:t xml:space="preserve">There were 384 completed surveys from 21 practices. Barriers included human error and communication issues during handoff, difficulty with sorting through laboratory results, patient no </w:t>
            </w:r>
            <w:r>
              <w:lastRenderedPageBreak/>
              <w:t xml:space="preserve">shows to laboratories, and outdated contact information when trying to notify patients.  </w:t>
            </w:r>
          </w:p>
        </w:tc>
      </w:tr>
      <w:tr w:rsidR="009D4EA7" w:rsidRPr="009F0F6D" w:rsidTr="00A52C77">
        <w:trPr>
          <w:trHeight w:val="80"/>
        </w:trPr>
        <w:tc>
          <w:tcPr>
            <w:tcW w:w="2155" w:type="dxa"/>
            <w:shd w:val="clear" w:color="auto" w:fill="auto"/>
          </w:tcPr>
          <w:p w:rsidR="009D4EA7" w:rsidRPr="009F0F6D" w:rsidRDefault="009D4EA7" w:rsidP="00A52C77">
            <w:pPr>
              <w:rPr>
                <w:rFonts w:cs="Calibri"/>
                <w:lang w:eastAsia="en-CA"/>
              </w:rPr>
            </w:pPr>
            <w:r>
              <w:lastRenderedPageBreak/>
              <w:t xml:space="preserve">Goldman et al., 2010 </w:t>
            </w:r>
            <w:r>
              <w:fldChar w:fldCharType="begin" w:fldLock="1"/>
            </w:r>
            <w:r>
              <w:instrText>ADDIN CSL_CITATION { "citationItems" : [ { "id" : "ITEM-1", "itemData" : { "DOI" : "10.1111/j.1365-2753.2009.01282.x", "ISBN" : "1356-1294", "ISSN" : "13561294", "PMID" : "21176004", "abstract" : "Laboratory monitoring has been increasingly recognized as an important area for improving patient safety in ambulatory care. Little is known about doctors' attitudes towards laboratory monitoring and potential ways to improve it.", "author" : [ { "dropping-particle" : "", "family" : "Goldman", "given" : "Roberta E.", "non-dropping-particle" : "", "parse-names" : false, "suffix" : "" }, { "dropping-particle" : "", "family" : "Soran", "given" : "Christine S.", "non-dropping-particle" : "", "parse-names" : false, "suffix" : "" }, { "dropping-particle" : "", "family" : "Hayward", "given" : "Geoffrey L.", "non-dropping-particle" : "", "parse-names" : false, "suffix" : "" }, { "dropping-particle" : "", "family" : "Simon", "given" : "Steven R.", "non-dropping-particle" : "", "parse-names" : false, "suffix" : "" } ], "container-title" : "Journal of Evaluation in Clinical Practice", "id" : "ITEM-1", "issue" : "6", "issued" : { "date-parts" : [ [ "2010" ] ] }, "page" : "1136-1141", "title" : "Doctors' perceptions of laboratory monitoring in office practice", "type" : "article-journal", "volume" : "16" }, "uris" : [ "http://www.mendeley.com/documents/?uuid=d5ca6511-d2dd-47da-90ff-7f476db43c58" ] } ], "mendeley" : { "formattedCitation" : "[12]", "plainTextFormattedCitation" : "[12]", "previouslyFormattedCitation" : "[12]" }, "properties" : { "noteIndex" : 5 }, "schema" : "https://github.com/citation-style-language/schema/raw/master/csl-citation.json" }</w:instrText>
            </w:r>
            <w:r>
              <w:fldChar w:fldCharType="separate"/>
            </w:r>
            <w:r w:rsidRPr="00243798">
              <w:rPr>
                <w:noProof/>
              </w:rPr>
              <w:t>[12]</w:t>
            </w:r>
            <w:r>
              <w:fldChar w:fldCharType="end"/>
            </w:r>
          </w:p>
        </w:tc>
        <w:tc>
          <w:tcPr>
            <w:tcW w:w="2610" w:type="dxa"/>
            <w:shd w:val="clear" w:color="auto" w:fill="auto"/>
          </w:tcPr>
          <w:p w:rsidR="009D4EA7" w:rsidRPr="009F0F6D" w:rsidRDefault="009D4EA7" w:rsidP="00A52C77">
            <w:r>
              <w:t xml:space="preserve">To understand physicians’ perspectives on laboratory monitoring for drugs. </w:t>
            </w:r>
          </w:p>
        </w:tc>
        <w:tc>
          <w:tcPr>
            <w:tcW w:w="2970" w:type="dxa"/>
            <w:shd w:val="clear" w:color="auto" w:fill="auto"/>
          </w:tcPr>
          <w:p w:rsidR="009D4EA7" w:rsidRPr="009F0F6D" w:rsidRDefault="009D4EA7" w:rsidP="00A52C77">
            <w:r>
              <w:t xml:space="preserve">Qualitative study using focus groups with physicians. </w:t>
            </w:r>
          </w:p>
        </w:tc>
        <w:tc>
          <w:tcPr>
            <w:tcW w:w="5130" w:type="dxa"/>
            <w:shd w:val="clear" w:color="auto" w:fill="auto"/>
          </w:tcPr>
          <w:p w:rsidR="009D4EA7" w:rsidRPr="009F0F6D" w:rsidRDefault="009D4EA7" w:rsidP="00A52C77">
            <w:pPr>
              <w:rPr>
                <w:rFonts w:ascii="CnpdjhAdvTT86d47313" w:hAnsi="CnpdjhAdvTT86d47313" w:cs="CnpdjhAdvTT86d47313"/>
                <w:sz w:val="20"/>
                <w:szCs w:val="20"/>
              </w:rPr>
            </w:pPr>
            <w:r>
              <w:t xml:space="preserve">Twenty-nine physicians participated (20 internal medicine physicians or PCPs and 9 specialists). The participants agreed that laboratory monitoring was an important and time-consuming (and non-reimbursed) part of their practice. They were surprised by the number of errors that had been reported in the literature but recognized that errors sometimes do occur. Barriers included: uncertainty about who is responsible for ordering a laboratory test (i.e. when specialist prescribes it); uncertainty about when to order laboratory tests (i.e. for drugs perceived as low-risk); absence of automated reminders to keep track of laboratory test ordering; patients not completing laboratory tests that were ordered. A facilitator included workflow procedures (i.e. patients coming into the office each month to receive new prescription) and being able to tailor electronic medical record alerts for their practice (e.g., certain follow-up intervals for drugs). There were some concerns about alert fatigue or the number of clicks required to deal with alerts.  </w:t>
            </w:r>
          </w:p>
        </w:tc>
      </w:tr>
      <w:tr w:rsidR="009D4EA7" w:rsidRPr="009F0F6D" w:rsidTr="00A52C77">
        <w:trPr>
          <w:trHeight w:val="229"/>
        </w:trPr>
        <w:tc>
          <w:tcPr>
            <w:tcW w:w="2155" w:type="dxa"/>
            <w:shd w:val="clear" w:color="auto" w:fill="auto"/>
          </w:tcPr>
          <w:p w:rsidR="009D4EA7" w:rsidRPr="009F0F6D" w:rsidRDefault="009D4EA7" w:rsidP="00A52C77">
            <w:pPr>
              <w:rPr>
                <w:rFonts w:cs="Calibri"/>
                <w:lang w:eastAsia="en-CA"/>
              </w:rPr>
            </w:pPr>
            <w:r>
              <w:t xml:space="preserve">Elder et al., 2009 </w:t>
            </w:r>
            <w:r>
              <w:fldChar w:fldCharType="begin" w:fldLock="1"/>
            </w:r>
            <w:r>
              <w:instrText>ADDIN CSL_CITATION { "citationItems" : [ { "id" : "ITEM-1", "itemData" : { "DOI" : "10.1370/afm.961.INTRODUCTION", "author" : [ { "dropping-particle" : "", "family" : "Elder", "given" : "Nancy", "non-dropping-particle" : "", "parse-names" : false, "suffix" : "" }, { "dropping-particle" : "", "family" : "McEven", "given" : "Timothy", "non-dropping-particle" : "", "parse-names" : false, "suffix" : "" }, { "dropping-particle" : "", "family" : "Flach", "given" : "John", "non-dropping-particle" : "", "parse-names" : false, "suffix" : "" }, { "dropping-particle" : "", "family" : "Gallimore", "given" : "Jennie", "non-dropping-particle" : "", "parse-names" : false, "suffix" : "" } ], "container-title" : "Ann Family Medicine", "id" : "ITEM-1", "issued" : { "date-parts" : [ [ "2009" ] ] }, "page" : "343-351", "title" : "Management of Test Results in Family Medicine Offi ces", "type" : "article-journal" }, "uris" : [ "http://www.mendeley.com/documents/?uuid=01d19c77-059a-4181-98a7-d5c780f2493c" ] } ], "mendeley" : { "formattedCitation" : "[13]", "plainTextFormattedCitation" : "[13]", "previouslyFormattedCitation" : "[13]" }, "properties" : { "noteIndex" : 6 }, "schema" : "https://github.com/citation-style-language/schema/raw/master/csl-citation.json" }</w:instrText>
            </w:r>
            <w:r>
              <w:fldChar w:fldCharType="separate"/>
            </w:r>
            <w:r w:rsidRPr="00243798">
              <w:rPr>
                <w:noProof/>
              </w:rPr>
              <w:t>[13]</w:t>
            </w:r>
            <w:r>
              <w:fldChar w:fldCharType="end"/>
            </w:r>
          </w:p>
        </w:tc>
        <w:tc>
          <w:tcPr>
            <w:tcW w:w="2610" w:type="dxa"/>
            <w:shd w:val="clear" w:color="auto" w:fill="auto"/>
          </w:tcPr>
          <w:p w:rsidR="009D4EA7" w:rsidRPr="009F0F6D" w:rsidRDefault="009D4EA7" w:rsidP="00A52C77">
            <w:r>
              <w:t xml:space="preserve">To understand laboratory test result management systems in family physician offices and to understand factors for optimal management. </w:t>
            </w:r>
          </w:p>
        </w:tc>
        <w:tc>
          <w:tcPr>
            <w:tcW w:w="2970" w:type="dxa"/>
            <w:shd w:val="clear" w:color="auto" w:fill="auto"/>
          </w:tcPr>
          <w:p w:rsidR="009D4EA7" w:rsidRPr="009F0F6D" w:rsidRDefault="009D4EA7" w:rsidP="00A52C77">
            <w:r>
              <w:t>Multi-method study using observations, interviews and surveys among 4 purposefully selected family medicine clinics.</w:t>
            </w:r>
          </w:p>
        </w:tc>
        <w:tc>
          <w:tcPr>
            <w:tcW w:w="5130" w:type="dxa"/>
            <w:shd w:val="clear" w:color="auto" w:fill="auto"/>
          </w:tcPr>
          <w:p w:rsidR="009D4EA7" w:rsidRDefault="009D4EA7" w:rsidP="00A52C77">
            <w:r>
              <w:t xml:space="preserve">Some themes that emerged included: </w:t>
            </w:r>
          </w:p>
          <w:p w:rsidR="009D4EA7" w:rsidRDefault="009D4EA7" w:rsidP="00A52C77">
            <w:r>
              <w:t>1) Safety awareness (leadership communicates and demonstrates commitment to safety and quality care; communication between staff and physicians on safety and quality care; teamwork; procedures and protocols for managing tests exist and are kept up-to-date);</w:t>
            </w:r>
          </w:p>
          <w:p w:rsidR="009D4EA7" w:rsidRPr="009F0F6D" w:rsidRDefault="009D4EA7" w:rsidP="00A52C77">
            <w:pPr>
              <w:rPr>
                <w:rFonts w:ascii="CnpdjhAdvTT86d47313" w:hAnsi="CnpdjhAdvTT86d47313" w:cs="CnpdjhAdvTT86d47313"/>
                <w:sz w:val="20"/>
                <w:szCs w:val="20"/>
              </w:rPr>
            </w:pPr>
            <w:r>
              <w:t xml:space="preserve">2) Adoption of technology (electronic medical records incorporate office management tasks; </w:t>
            </w:r>
            <w:r>
              <w:lastRenderedPageBreak/>
              <w:t xml:space="preserve">digital ordering of laboratory tests and for receiving results; electronic medical records generate communication of laboratory results to patients; return of laboratory results is an automated step in the electronic medical records). Having technology was not a prerequisite for better laboratory management, rather having safety awareness and good communication in sites without electronic medical record technology still showed optimal management strategies.  </w:t>
            </w:r>
          </w:p>
        </w:tc>
      </w:tr>
      <w:tr w:rsidR="009D4EA7" w:rsidRPr="009F0F6D" w:rsidTr="00A52C77">
        <w:trPr>
          <w:trHeight w:val="229"/>
        </w:trPr>
        <w:tc>
          <w:tcPr>
            <w:tcW w:w="2155" w:type="dxa"/>
            <w:shd w:val="clear" w:color="auto" w:fill="auto"/>
          </w:tcPr>
          <w:p w:rsidR="009D4EA7" w:rsidRPr="009F0F6D" w:rsidRDefault="009D4EA7" w:rsidP="00A52C77">
            <w:pPr>
              <w:rPr>
                <w:rFonts w:cs="Calibri"/>
                <w:lang w:eastAsia="en-CA"/>
              </w:rPr>
            </w:pPr>
            <w:r>
              <w:lastRenderedPageBreak/>
              <w:t xml:space="preserve">Parker et al., 2008 </w:t>
            </w:r>
            <w:r>
              <w:fldChar w:fldCharType="begin" w:fldLock="1"/>
            </w:r>
            <w:r>
              <w:instrText>ADDIN CSL_CITATION { "citationItems" : [ { "id" : "ITEM-1", "itemData" : { "author" : [ { "dropping-particle" : "", "family" : "Parker", "given" : "Donna R", "non-dropping-particle" : "", "parse-names" : false, "suffix" : "" }, { "dropping-particle" : "", "family" : "Gramling", "given" : "Robert", "non-dropping-particle" : "", "parse-names" : false, "suffix" : "" }, { "dropping-particle" : "", "family" : "Goldman", "given" : "Roberta E", "non-dropping-particle" : "", "parse-names" : false, "suffix" : "" }, { "dropping-particle" : "", "family" : "Eaton", "given" : "Charles B", "non-dropping-particle" : "", "parse-names" : false, "suffix" : "" }, { "dropping-particle" : "", "family" : "Ahern", "given" : "David", "non-dropping-particle" : "", "parse-names" : false, "suffix" : "" }, { "dropping-particle" : "", "family" : "Cover", "given" : "Rebecca T", "non-dropping-particle" : "", "parse-names" : false, "suffix" : "" }, { "dropping-particle" : "", "family" : "Borkan", "given" : "Jeffrey", "non-dropping-particle" : "", "parse-names" : false, "suffix" : "" } ], "container-title" : "Preventative Cardiology", "id" : "ITEM-1", "issued" : { "date-parts" : [ [ "2008" ] ] }, "page" : "29-35", "title" : "Physicians\u2019 Perceptions of Barriers and Facilitators Regarding Adoption of the National Cholesterol Education Program Guidelines", "type" : "article-journal", "volume" : "Winter" }, "uris" : [ "http://www.mendeley.com/documents/?uuid=0b957986-963f-478e-899c-7963d8e93373" ] } ], "mendeley" : { "formattedCitation" : "[14]", "plainTextFormattedCitation" : "[14]", "previouslyFormattedCitation" : "[14]" }, "properties" : { "noteIndex" : 6 }, "schema" : "https://github.com/citation-style-language/schema/raw/master/csl-citation.json" }</w:instrText>
            </w:r>
            <w:r>
              <w:fldChar w:fldCharType="separate"/>
            </w:r>
            <w:r w:rsidRPr="00243798">
              <w:rPr>
                <w:noProof/>
              </w:rPr>
              <w:t>[14]</w:t>
            </w:r>
            <w:r>
              <w:fldChar w:fldCharType="end"/>
            </w:r>
          </w:p>
        </w:tc>
        <w:tc>
          <w:tcPr>
            <w:tcW w:w="2610" w:type="dxa"/>
            <w:shd w:val="clear" w:color="auto" w:fill="auto"/>
          </w:tcPr>
          <w:p w:rsidR="009D4EA7" w:rsidRPr="009F0F6D" w:rsidRDefault="009D4EA7" w:rsidP="00A52C77">
            <w:r>
              <w:t>To understand barriers and enablers to adhering to the national cholesterol guidelines in Rhode Island.</w:t>
            </w:r>
          </w:p>
        </w:tc>
        <w:tc>
          <w:tcPr>
            <w:tcW w:w="2970" w:type="dxa"/>
            <w:shd w:val="clear" w:color="auto" w:fill="auto"/>
          </w:tcPr>
          <w:p w:rsidR="009D4EA7" w:rsidRPr="009F0F6D" w:rsidRDefault="009D4EA7" w:rsidP="00A52C77">
            <w:r>
              <w:t xml:space="preserve">Qualitative study including 9 focus groups with physicians. </w:t>
            </w:r>
          </w:p>
        </w:tc>
        <w:tc>
          <w:tcPr>
            <w:tcW w:w="5130" w:type="dxa"/>
            <w:shd w:val="clear" w:color="auto" w:fill="auto"/>
          </w:tcPr>
          <w:p w:rsidR="009D4EA7" w:rsidRDefault="009D4EA7" w:rsidP="00A52C77">
            <w:r>
              <w:t>Summarized results only focus on enablers and barriers to laboratory tests from this study.</w:t>
            </w:r>
          </w:p>
          <w:p w:rsidR="009D4EA7" w:rsidRPr="009F0F6D" w:rsidRDefault="009D4EA7" w:rsidP="00A52C77">
            <w:pPr>
              <w:rPr>
                <w:rFonts w:ascii="CnpdjhAdvTT86d47313" w:hAnsi="CnpdjhAdvTT86d47313" w:cs="CnpdjhAdvTT86d47313"/>
                <w:sz w:val="20"/>
                <w:szCs w:val="20"/>
              </w:rPr>
            </w:pPr>
            <w:r>
              <w:t xml:space="preserve">Fifty primary care physicians participated. Barriers included reimbursement issues for cholesterol screening and management and lack of reminder systems and the cost of informing patients about their laboratory results. Enablers included technologies to rapidly test for cholesterol levels in practice and reminders with point of care guidelines through electronic medical records to assess cholesterol levels.   </w:t>
            </w:r>
          </w:p>
        </w:tc>
      </w:tr>
    </w:tbl>
    <w:p w:rsidR="009D4EA7" w:rsidRDefault="009D4EA7" w:rsidP="009D4EA7"/>
    <w:p w:rsidR="009D4EA7" w:rsidRDefault="009D4EA7" w:rsidP="009D4EA7">
      <w:pPr>
        <w:framePr w:w="12780" w:wrap="auto" w:hAnchor="text"/>
        <w:rPr>
          <w:b/>
        </w:rPr>
        <w:sectPr w:rsidR="009D4EA7" w:rsidSect="009F0F6D">
          <w:footerReference w:type="default" r:id="rId7"/>
          <w:pgSz w:w="15840" w:h="12240" w:orient="landscape"/>
          <w:pgMar w:top="1440" w:right="1440" w:bottom="1440" w:left="1440" w:header="706" w:footer="706" w:gutter="0"/>
          <w:cols w:space="708"/>
          <w:docGrid w:linePitch="360"/>
        </w:sectPr>
      </w:pPr>
    </w:p>
    <w:p w:rsidR="009D4EA7" w:rsidRDefault="009D4EA7" w:rsidP="009D4EA7">
      <w:pPr>
        <w:jc w:val="center"/>
      </w:pPr>
      <w:r w:rsidRPr="00830E92">
        <w:rPr>
          <w:b/>
        </w:rPr>
        <w:lastRenderedPageBreak/>
        <w:t>References</w:t>
      </w:r>
    </w:p>
    <w:p w:rsidR="009D4EA7" w:rsidRDefault="009D4EA7" w:rsidP="009D4EA7"/>
    <w:p w:rsidR="009D4EA7" w:rsidRPr="00243798" w:rsidRDefault="009D4EA7" w:rsidP="009D4EA7">
      <w:pPr>
        <w:widowControl w:val="0"/>
        <w:spacing w:after="120"/>
        <w:rPr>
          <w:noProof/>
        </w:rPr>
      </w:pPr>
      <w:r>
        <w:fldChar w:fldCharType="begin" w:fldLock="1"/>
      </w:r>
      <w:r>
        <w:instrText xml:space="preserve">ADDIN Mendeley Bibliography CSL_BIBLIOGRAPHY </w:instrText>
      </w:r>
      <w:r>
        <w:fldChar w:fldCharType="separate"/>
      </w:r>
      <w:r w:rsidRPr="00243798">
        <w:rPr>
          <w:noProof/>
        </w:rPr>
        <w:t xml:space="preserve">1. Lo C, Ilic D, Teede H, Cass A, Fulcher G, Gallagher M, et al. The Perspectives of Patients on Health-Care for Co-Morbid Diabetes and Chronic Kidney Disease: A Qualitative Study. PLoS One. 2016;11:e0146615. </w:t>
      </w:r>
    </w:p>
    <w:p w:rsidR="009D4EA7" w:rsidRPr="00243798" w:rsidRDefault="009D4EA7" w:rsidP="009D4EA7">
      <w:pPr>
        <w:widowControl w:val="0"/>
        <w:spacing w:after="120"/>
        <w:rPr>
          <w:noProof/>
        </w:rPr>
      </w:pPr>
      <w:r w:rsidRPr="00243798">
        <w:rPr>
          <w:noProof/>
        </w:rPr>
        <w:t xml:space="preserve">2. Vest BM, York TRM, Sand J, Fox CH, Kahn LS. Chronic Kidney Disease Guideline Implementation in Primary Care: A Qualitative Report from the TRANSLATE CKD Study. J. Am. Board Fam. Med. 2015;28:624–31. </w:t>
      </w:r>
    </w:p>
    <w:p w:rsidR="009D4EA7" w:rsidRPr="00243798" w:rsidRDefault="009D4EA7" w:rsidP="009D4EA7">
      <w:pPr>
        <w:widowControl w:val="0"/>
        <w:spacing w:after="120"/>
        <w:rPr>
          <w:noProof/>
        </w:rPr>
      </w:pPr>
      <w:r w:rsidRPr="00243798">
        <w:rPr>
          <w:noProof/>
        </w:rPr>
        <w:t xml:space="preserve">3. Blakeman T, Protheroe J, Chew-graham C, Rogers A, Kennedy A. Understanding the management of early-stage chronic kidney disease in primary care : 2012;233–42. </w:t>
      </w:r>
    </w:p>
    <w:p w:rsidR="009D4EA7" w:rsidRPr="00243798" w:rsidRDefault="009D4EA7" w:rsidP="009D4EA7">
      <w:pPr>
        <w:widowControl w:val="0"/>
        <w:spacing w:after="120"/>
        <w:rPr>
          <w:noProof/>
        </w:rPr>
      </w:pPr>
      <w:r w:rsidRPr="00243798">
        <w:rPr>
          <w:noProof/>
        </w:rPr>
        <w:t xml:space="preserve">4. Greer RC, Crews DC, Boulware LE. Challenges perceived by primary care providers to educating patients about chronic kidney disease. J. Ren. Care. 2012;38:174–81. </w:t>
      </w:r>
    </w:p>
    <w:p w:rsidR="009D4EA7" w:rsidRPr="00243798" w:rsidRDefault="009D4EA7" w:rsidP="009D4EA7">
      <w:pPr>
        <w:widowControl w:val="0"/>
        <w:spacing w:after="120"/>
        <w:rPr>
          <w:noProof/>
        </w:rPr>
      </w:pPr>
      <w:r w:rsidRPr="00243798">
        <w:rPr>
          <w:noProof/>
        </w:rPr>
        <w:t xml:space="preserve">5. Crinson I, Gallagher H, Thomas N, de Lusignan S. How ready is general practice to improve quality in chronic kidney disease? A diagnostic analysis. Br. J. Gen. Pract. 2010;60:403–9. </w:t>
      </w:r>
    </w:p>
    <w:p w:rsidR="009D4EA7" w:rsidRPr="00243798" w:rsidRDefault="009D4EA7" w:rsidP="009D4EA7">
      <w:pPr>
        <w:widowControl w:val="0"/>
        <w:spacing w:after="120"/>
        <w:rPr>
          <w:noProof/>
        </w:rPr>
      </w:pPr>
      <w:r w:rsidRPr="00243798">
        <w:rPr>
          <w:noProof/>
        </w:rPr>
        <w:t xml:space="preserve">6. Feldstein D, Baier Manwell L, Grasmick M. Primary Care Providers and Chronic Kidney Disease Management: a Qualitative Study. Soc. Gen. Intern. Med. 2010;33:S368. </w:t>
      </w:r>
    </w:p>
    <w:p w:rsidR="009D4EA7" w:rsidRPr="00243798" w:rsidRDefault="009D4EA7" w:rsidP="009D4EA7">
      <w:pPr>
        <w:widowControl w:val="0"/>
        <w:spacing w:after="120"/>
        <w:rPr>
          <w:noProof/>
        </w:rPr>
      </w:pPr>
      <w:r w:rsidRPr="00243798">
        <w:rPr>
          <w:noProof/>
        </w:rPr>
        <w:t xml:space="preserve">7. Williams AF, Manias E, Walker R. Adherence to multiple, prescribed medications in diabetic kidney disease: A qualitative study of consumers’ and health professionals’ perspectives. Int. J. Nurs. Stud. 2008;45:1742–56. </w:t>
      </w:r>
    </w:p>
    <w:p w:rsidR="009D4EA7" w:rsidRPr="00243798" w:rsidRDefault="009D4EA7" w:rsidP="009D4EA7">
      <w:pPr>
        <w:widowControl w:val="0"/>
        <w:spacing w:after="120"/>
        <w:rPr>
          <w:noProof/>
        </w:rPr>
      </w:pPr>
      <w:r w:rsidRPr="00243798">
        <w:rPr>
          <w:noProof/>
        </w:rPr>
        <w:t xml:space="preserve">8. Fox CH, Brooks A, Zayas LE, McClellan W, Murray B. Primary care physicians’ knowledge and practice patterns in the treatment of chronic kidney disease: an Upstate New York Practice-based Research Network (UNYNET) study. J. Am. Board Fam. Med. 2006;19:54–61. </w:t>
      </w:r>
    </w:p>
    <w:p w:rsidR="009D4EA7" w:rsidRPr="00243798" w:rsidRDefault="009D4EA7" w:rsidP="009D4EA7">
      <w:pPr>
        <w:widowControl w:val="0"/>
        <w:spacing w:after="120"/>
        <w:rPr>
          <w:noProof/>
        </w:rPr>
      </w:pPr>
      <w:r w:rsidRPr="00243798">
        <w:rPr>
          <w:noProof/>
        </w:rPr>
        <w:t xml:space="preserve">9. Litchfield I, Lilford R, Bentham L, Greenfield S. A qualitative exploration of the motives behind the decision to order a liver function test in primary care. Qual Prim Care. 2014;22:201–10. </w:t>
      </w:r>
    </w:p>
    <w:p w:rsidR="009D4EA7" w:rsidRPr="00243798" w:rsidRDefault="009D4EA7" w:rsidP="009D4EA7">
      <w:pPr>
        <w:widowControl w:val="0"/>
        <w:spacing w:after="120"/>
        <w:rPr>
          <w:noProof/>
        </w:rPr>
      </w:pPr>
      <w:r w:rsidRPr="00243798">
        <w:rPr>
          <w:noProof/>
        </w:rPr>
        <w:t xml:space="preserve">10. Menon S, Smith M, Sittig D, Petersen N, Hysong S, Espadas D, et al. How context affects electronic health record-based test result follow-up: a mixed-methods evaluation. BMJ Open. 2014;4:e005985. </w:t>
      </w:r>
    </w:p>
    <w:p w:rsidR="009D4EA7" w:rsidRPr="00243798" w:rsidRDefault="009D4EA7" w:rsidP="009D4EA7">
      <w:pPr>
        <w:widowControl w:val="0"/>
        <w:spacing w:after="120"/>
        <w:rPr>
          <w:noProof/>
        </w:rPr>
      </w:pPr>
      <w:r w:rsidRPr="00243798">
        <w:rPr>
          <w:noProof/>
        </w:rPr>
        <w:t xml:space="preserve">11. West DR, James KA, Fernald DH, Zelie C, Smith ML, Raab SS. Laboratory Medicine Handoff Gaps Experienced by Primary Care Practices : A Report from the Shared Networks of Collaborative Ambulatory Practices and Partners ( SNOCAP ). J Am Board Fam Med. 2014;27:796–803. </w:t>
      </w:r>
    </w:p>
    <w:p w:rsidR="009D4EA7" w:rsidRPr="00243798" w:rsidRDefault="009D4EA7" w:rsidP="009D4EA7">
      <w:pPr>
        <w:widowControl w:val="0"/>
        <w:spacing w:after="120"/>
        <w:rPr>
          <w:noProof/>
        </w:rPr>
      </w:pPr>
      <w:r w:rsidRPr="00243798">
        <w:rPr>
          <w:noProof/>
        </w:rPr>
        <w:t xml:space="preserve">12. Goldman RE, Soran CS, Hayward GL, Simon SR. Doctors’ perceptions of laboratory monitoring in office practice. J. Eval. Clin. Pract. 2010;16:1136–41. </w:t>
      </w:r>
    </w:p>
    <w:p w:rsidR="009D4EA7" w:rsidRPr="00243798" w:rsidRDefault="009D4EA7" w:rsidP="009D4EA7">
      <w:pPr>
        <w:widowControl w:val="0"/>
        <w:spacing w:after="120"/>
        <w:rPr>
          <w:noProof/>
        </w:rPr>
      </w:pPr>
      <w:r w:rsidRPr="00243798">
        <w:rPr>
          <w:noProof/>
        </w:rPr>
        <w:t xml:space="preserve">13. Elder N, McEven T, Flach J, Gallimore J. Management of Test Results in Family Medicine Offi ces. Ann Fam. Med. 2009;343–51. </w:t>
      </w:r>
    </w:p>
    <w:p w:rsidR="00B50909" w:rsidRDefault="009D4EA7" w:rsidP="009D4EA7">
      <w:pPr>
        <w:widowControl w:val="0"/>
        <w:spacing w:after="120"/>
      </w:pPr>
      <w:r w:rsidRPr="00243798">
        <w:rPr>
          <w:noProof/>
        </w:rPr>
        <w:t xml:space="preserve">14. Parker DR, Gramling R, Goldman RE, Eaton CB, Ahern D, Cover RT, et al. Physicians’ Perceptions of Barriers and Facilitators Regarding Adoption of the National Cholesterol Education Program Guidelines. Prev. Cardiol. 2008;Winter:29–35. </w:t>
      </w:r>
      <w:r>
        <w:fldChar w:fldCharType="end"/>
      </w:r>
    </w:p>
    <w:sectPr w:rsidR="00B5090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BC0B23">
      <w:r>
        <w:separator/>
      </w:r>
    </w:p>
  </w:endnote>
  <w:endnote w:type="continuationSeparator" w:id="0">
    <w:p w:rsidR="00000000" w:rsidRDefault="00BC0B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JansonText-Roman">
    <w:panose1 w:val="00000000000000000000"/>
    <w:charset w:val="00"/>
    <w:family w:val="auto"/>
    <w:notTrueType/>
    <w:pitch w:val="default"/>
    <w:sig w:usb0="00000003" w:usb1="00000000" w:usb2="00000000" w:usb3="00000000" w:csb0="00000001" w:csb1="00000000"/>
  </w:font>
  <w:font w:name="CnpdjhAdvTT86d47313">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4746386"/>
      <w:docPartObj>
        <w:docPartGallery w:val="Page Numbers (Bottom of Page)"/>
        <w:docPartUnique/>
      </w:docPartObj>
    </w:sdtPr>
    <w:sdtEndPr>
      <w:rPr>
        <w:noProof/>
      </w:rPr>
    </w:sdtEndPr>
    <w:sdtContent>
      <w:p w:rsidR="00751A60" w:rsidRDefault="009D4EA7">
        <w:pPr>
          <w:pStyle w:val="Footer"/>
          <w:jc w:val="center"/>
        </w:pPr>
        <w:r>
          <w:fldChar w:fldCharType="begin"/>
        </w:r>
        <w:r>
          <w:instrText xml:space="preserve"> PAGE   \* MERGEFORMAT </w:instrText>
        </w:r>
        <w:r>
          <w:fldChar w:fldCharType="separate"/>
        </w:r>
        <w:r w:rsidR="00BC0B23">
          <w:rPr>
            <w:noProof/>
          </w:rPr>
          <w:t>1</w:t>
        </w:r>
        <w:r>
          <w:rPr>
            <w:noProof/>
          </w:rPr>
          <w:fldChar w:fldCharType="end"/>
        </w:r>
      </w:p>
    </w:sdtContent>
  </w:sdt>
  <w:p w:rsidR="00751A60" w:rsidRDefault="00BC0B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BC0B23">
      <w:r>
        <w:separator/>
      </w:r>
    </w:p>
  </w:footnote>
  <w:footnote w:type="continuationSeparator" w:id="0">
    <w:p w:rsidR="00000000" w:rsidRDefault="00BC0B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
  </w:docVars>
  <w:rsids>
    <w:rsidRoot w:val="009D4EA7"/>
    <w:rsid w:val="000022A7"/>
    <w:rsid w:val="00005A6E"/>
    <w:rsid w:val="00005C5F"/>
    <w:rsid w:val="00005D61"/>
    <w:rsid w:val="00011571"/>
    <w:rsid w:val="00013175"/>
    <w:rsid w:val="00014002"/>
    <w:rsid w:val="000210FF"/>
    <w:rsid w:val="00026CB9"/>
    <w:rsid w:val="0003310D"/>
    <w:rsid w:val="00036F28"/>
    <w:rsid w:val="00037BFE"/>
    <w:rsid w:val="00040270"/>
    <w:rsid w:val="00043166"/>
    <w:rsid w:val="0004385A"/>
    <w:rsid w:val="000450E1"/>
    <w:rsid w:val="0005080C"/>
    <w:rsid w:val="0005192B"/>
    <w:rsid w:val="0005254B"/>
    <w:rsid w:val="00055217"/>
    <w:rsid w:val="00056512"/>
    <w:rsid w:val="00066F36"/>
    <w:rsid w:val="0006791E"/>
    <w:rsid w:val="00070BF7"/>
    <w:rsid w:val="000720A3"/>
    <w:rsid w:val="000731A6"/>
    <w:rsid w:val="00074AA2"/>
    <w:rsid w:val="0007669C"/>
    <w:rsid w:val="00076B67"/>
    <w:rsid w:val="00076E7D"/>
    <w:rsid w:val="000806E1"/>
    <w:rsid w:val="000820A4"/>
    <w:rsid w:val="00082380"/>
    <w:rsid w:val="00085B12"/>
    <w:rsid w:val="000875AC"/>
    <w:rsid w:val="00093BFA"/>
    <w:rsid w:val="00097293"/>
    <w:rsid w:val="000A023E"/>
    <w:rsid w:val="000A02B5"/>
    <w:rsid w:val="000A28C7"/>
    <w:rsid w:val="000A5371"/>
    <w:rsid w:val="000A5596"/>
    <w:rsid w:val="000A7D1C"/>
    <w:rsid w:val="000B0ABA"/>
    <w:rsid w:val="000B10F9"/>
    <w:rsid w:val="000B3168"/>
    <w:rsid w:val="000D0960"/>
    <w:rsid w:val="000D0CB0"/>
    <w:rsid w:val="000D0F1C"/>
    <w:rsid w:val="000D38A2"/>
    <w:rsid w:val="000D64CD"/>
    <w:rsid w:val="000E488D"/>
    <w:rsid w:val="000E4E05"/>
    <w:rsid w:val="000E55AC"/>
    <w:rsid w:val="000F3529"/>
    <w:rsid w:val="000F3F73"/>
    <w:rsid w:val="000F4A55"/>
    <w:rsid w:val="000F5492"/>
    <w:rsid w:val="00102630"/>
    <w:rsid w:val="00102A73"/>
    <w:rsid w:val="00103ECF"/>
    <w:rsid w:val="001058CF"/>
    <w:rsid w:val="00107571"/>
    <w:rsid w:val="0011081A"/>
    <w:rsid w:val="00110F36"/>
    <w:rsid w:val="00113925"/>
    <w:rsid w:val="0011756A"/>
    <w:rsid w:val="00120927"/>
    <w:rsid w:val="00124919"/>
    <w:rsid w:val="0013047F"/>
    <w:rsid w:val="001324ED"/>
    <w:rsid w:val="00132E5F"/>
    <w:rsid w:val="00133DB1"/>
    <w:rsid w:val="00144272"/>
    <w:rsid w:val="00144F57"/>
    <w:rsid w:val="00150D95"/>
    <w:rsid w:val="00150FE6"/>
    <w:rsid w:val="00153174"/>
    <w:rsid w:val="00153563"/>
    <w:rsid w:val="0015496F"/>
    <w:rsid w:val="00161894"/>
    <w:rsid w:val="00161E51"/>
    <w:rsid w:val="0016387E"/>
    <w:rsid w:val="001638CA"/>
    <w:rsid w:val="00163DB0"/>
    <w:rsid w:val="00164AB9"/>
    <w:rsid w:val="00165B88"/>
    <w:rsid w:val="00165BE1"/>
    <w:rsid w:val="0016626F"/>
    <w:rsid w:val="00166A22"/>
    <w:rsid w:val="00175DB0"/>
    <w:rsid w:val="00180222"/>
    <w:rsid w:val="00186FEC"/>
    <w:rsid w:val="00190645"/>
    <w:rsid w:val="00193E50"/>
    <w:rsid w:val="0019536A"/>
    <w:rsid w:val="00196464"/>
    <w:rsid w:val="00196DB3"/>
    <w:rsid w:val="00197D93"/>
    <w:rsid w:val="001A073B"/>
    <w:rsid w:val="001A2EBF"/>
    <w:rsid w:val="001B043E"/>
    <w:rsid w:val="001B1D3E"/>
    <w:rsid w:val="001B3FA0"/>
    <w:rsid w:val="001B43B2"/>
    <w:rsid w:val="001B53E3"/>
    <w:rsid w:val="001B655C"/>
    <w:rsid w:val="001C103E"/>
    <w:rsid w:val="001C116A"/>
    <w:rsid w:val="001C1702"/>
    <w:rsid w:val="001C2F5C"/>
    <w:rsid w:val="001C3197"/>
    <w:rsid w:val="001C5725"/>
    <w:rsid w:val="001C7FC3"/>
    <w:rsid w:val="001D0F88"/>
    <w:rsid w:val="001D13F1"/>
    <w:rsid w:val="001D2377"/>
    <w:rsid w:val="001D77F3"/>
    <w:rsid w:val="001E1BE2"/>
    <w:rsid w:val="001E4016"/>
    <w:rsid w:val="001E602B"/>
    <w:rsid w:val="001E79C1"/>
    <w:rsid w:val="001F1355"/>
    <w:rsid w:val="001F221B"/>
    <w:rsid w:val="001F332F"/>
    <w:rsid w:val="001F3944"/>
    <w:rsid w:val="001F3EC9"/>
    <w:rsid w:val="001F5A70"/>
    <w:rsid w:val="00200446"/>
    <w:rsid w:val="0020207B"/>
    <w:rsid w:val="00204872"/>
    <w:rsid w:val="0020531A"/>
    <w:rsid w:val="00205325"/>
    <w:rsid w:val="00205E1B"/>
    <w:rsid w:val="00210850"/>
    <w:rsid w:val="0021128A"/>
    <w:rsid w:val="00214E69"/>
    <w:rsid w:val="00220D26"/>
    <w:rsid w:val="002216C0"/>
    <w:rsid w:val="00222C02"/>
    <w:rsid w:val="00230926"/>
    <w:rsid w:val="00230B7C"/>
    <w:rsid w:val="002345F3"/>
    <w:rsid w:val="00234FA6"/>
    <w:rsid w:val="0023536D"/>
    <w:rsid w:val="00235DDA"/>
    <w:rsid w:val="0023759B"/>
    <w:rsid w:val="00237A56"/>
    <w:rsid w:val="002406F5"/>
    <w:rsid w:val="00240A1E"/>
    <w:rsid w:val="00240D09"/>
    <w:rsid w:val="0024345D"/>
    <w:rsid w:val="00245F1C"/>
    <w:rsid w:val="00246E11"/>
    <w:rsid w:val="00262FBA"/>
    <w:rsid w:val="00265E56"/>
    <w:rsid w:val="00266D3E"/>
    <w:rsid w:val="00267F07"/>
    <w:rsid w:val="00270DE6"/>
    <w:rsid w:val="00272086"/>
    <w:rsid w:val="002731F0"/>
    <w:rsid w:val="0027590F"/>
    <w:rsid w:val="002800FE"/>
    <w:rsid w:val="00286378"/>
    <w:rsid w:val="00292B40"/>
    <w:rsid w:val="002936BE"/>
    <w:rsid w:val="002941F0"/>
    <w:rsid w:val="002A0127"/>
    <w:rsid w:val="002B0B36"/>
    <w:rsid w:val="002B1F12"/>
    <w:rsid w:val="002B4894"/>
    <w:rsid w:val="002B6A58"/>
    <w:rsid w:val="002C1108"/>
    <w:rsid w:val="002C2329"/>
    <w:rsid w:val="002C400B"/>
    <w:rsid w:val="002C4EC0"/>
    <w:rsid w:val="002C63C8"/>
    <w:rsid w:val="002C648A"/>
    <w:rsid w:val="002C7AA2"/>
    <w:rsid w:val="002D1813"/>
    <w:rsid w:val="002D4EBE"/>
    <w:rsid w:val="002E1B29"/>
    <w:rsid w:val="002E300A"/>
    <w:rsid w:val="002E5F5A"/>
    <w:rsid w:val="002E6A1C"/>
    <w:rsid w:val="002F1FD4"/>
    <w:rsid w:val="002F2CBC"/>
    <w:rsid w:val="002F469F"/>
    <w:rsid w:val="002F5B56"/>
    <w:rsid w:val="00300357"/>
    <w:rsid w:val="00303CDF"/>
    <w:rsid w:val="00304D44"/>
    <w:rsid w:val="00305E14"/>
    <w:rsid w:val="00307D62"/>
    <w:rsid w:val="003107B8"/>
    <w:rsid w:val="00313967"/>
    <w:rsid w:val="00313DA2"/>
    <w:rsid w:val="00317EA3"/>
    <w:rsid w:val="00321141"/>
    <w:rsid w:val="0032238C"/>
    <w:rsid w:val="00330091"/>
    <w:rsid w:val="003309E0"/>
    <w:rsid w:val="00331315"/>
    <w:rsid w:val="00335A05"/>
    <w:rsid w:val="0034013F"/>
    <w:rsid w:val="00342370"/>
    <w:rsid w:val="003430C4"/>
    <w:rsid w:val="00347D34"/>
    <w:rsid w:val="003508FE"/>
    <w:rsid w:val="00352126"/>
    <w:rsid w:val="00353391"/>
    <w:rsid w:val="00354AE5"/>
    <w:rsid w:val="00354D55"/>
    <w:rsid w:val="003572F3"/>
    <w:rsid w:val="00357400"/>
    <w:rsid w:val="00361559"/>
    <w:rsid w:val="00367741"/>
    <w:rsid w:val="0037074F"/>
    <w:rsid w:val="003718FD"/>
    <w:rsid w:val="00372DA7"/>
    <w:rsid w:val="00375211"/>
    <w:rsid w:val="00375242"/>
    <w:rsid w:val="0037540C"/>
    <w:rsid w:val="0037745E"/>
    <w:rsid w:val="00380040"/>
    <w:rsid w:val="00382D94"/>
    <w:rsid w:val="00383296"/>
    <w:rsid w:val="00385176"/>
    <w:rsid w:val="0038568F"/>
    <w:rsid w:val="00392E9C"/>
    <w:rsid w:val="0039437E"/>
    <w:rsid w:val="003976E1"/>
    <w:rsid w:val="003A0EDC"/>
    <w:rsid w:val="003A2752"/>
    <w:rsid w:val="003A6038"/>
    <w:rsid w:val="003B1514"/>
    <w:rsid w:val="003B1C59"/>
    <w:rsid w:val="003B2764"/>
    <w:rsid w:val="003B3EAC"/>
    <w:rsid w:val="003B6A09"/>
    <w:rsid w:val="003C2A87"/>
    <w:rsid w:val="003C6471"/>
    <w:rsid w:val="003C6FCD"/>
    <w:rsid w:val="003D2E8B"/>
    <w:rsid w:val="003D4D2B"/>
    <w:rsid w:val="003D5725"/>
    <w:rsid w:val="003D5E45"/>
    <w:rsid w:val="003E0B25"/>
    <w:rsid w:val="003E1086"/>
    <w:rsid w:val="003E1E8F"/>
    <w:rsid w:val="003E257F"/>
    <w:rsid w:val="003E630C"/>
    <w:rsid w:val="003F00D1"/>
    <w:rsid w:val="003F1C83"/>
    <w:rsid w:val="003F3E92"/>
    <w:rsid w:val="003F6E81"/>
    <w:rsid w:val="00400F39"/>
    <w:rsid w:val="004024C6"/>
    <w:rsid w:val="00402B39"/>
    <w:rsid w:val="0040614D"/>
    <w:rsid w:val="0041065C"/>
    <w:rsid w:val="00410A41"/>
    <w:rsid w:val="00411184"/>
    <w:rsid w:val="004203C8"/>
    <w:rsid w:val="004216EF"/>
    <w:rsid w:val="00421B49"/>
    <w:rsid w:val="00421FAA"/>
    <w:rsid w:val="004238F4"/>
    <w:rsid w:val="004257DB"/>
    <w:rsid w:val="00425EC4"/>
    <w:rsid w:val="004266CB"/>
    <w:rsid w:val="00436C50"/>
    <w:rsid w:val="00437484"/>
    <w:rsid w:val="0044259B"/>
    <w:rsid w:val="00443586"/>
    <w:rsid w:val="00446300"/>
    <w:rsid w:val="00446480"/>
    <w:rsid w:val="00447F70"/>
    <w:rsid w:val="00456E97"/>
    <w:rsid w:val="004621F1"/>
    <w:rsid w:val="0046477A"/>
    <w:rsid w:val="00465137"/>
    <w:rsid w:val="00466C12"/>
    <w:rsid w:val="00467DCA"/>
    <w:rsid w:val="00471F02"/>
    <w:rsid w:val="00474B4C"/>
    <w:rsid w:val="00475248"/>
    <w:rsid w:val="00476DAD"/>
    <w:rsid w:val="00477066"/>
    <w:rsid w:val="00477DF3"/>
    <w:rsid w:val="00480FED"/>
    <w:rsid w:val="00482880"/>
    <w:rsid w:val="00483240"/>
    <w:rsid w:val="00483A63"/>
    <w:rsid w:val="00484765"/>
    <w:rsid w:val="0048634A"/>
    <w:rsid w:val="0048691C"/>
    <w:rsid w:val="00486E7D"/>
    <w:rsid w:val="0049110C"/>
    <w:rsid w:val="00491F89"/>
    <w:rsid w:val="004924A2"/>
    <w:rsid w:val="0049410B"/>
    <w:rsid w:val="00494809"/>
    <w:rsid w:val="004967D4"/>
    <w:rsid w:val="00497A03"/>
    <w:rsid w:val="004A014F"/>
    <w:rsid w:val="004A01BE"/>
    <w:rsid w:val="004A3337"/>
    <w:rsid w:val="004A68E1"/>
    <w:rsid w:val="004B21C6"/>
    <w:rsid w:val="004B21E8"/>
    <w:rsid w:val="004B6702"/>
    <w:rsid w:val="004B6F1F"/>
    <w:rsid w:val="004C056B"/>
    <w:rsid w:val="004C27D3"/>
    <w:rsid w:val="004C2A36"/>
    <w:rsid w:val="004C504E"/>
    <w:rsid w:val="004C5412"/>
    <w:rsid w:val="004D0683"/>
    <w:rsid w:val="004D736D"/>
    <w:rsid w:val="004D7CC7"/>
    <w:rsid w:val="004D7DE0"/>
    <w:rsid w:val="004E08DE"/>
    <w:rsid w:val="004E191E"/>
    <w:rsid w:val="004E2B5B"/>
    <w:rsid w:val="004E5DEF"/>
    <w:rsid w:val="004E7B98"/>
    <w:rsid w:val="004F099C"/>
    <w:rsid w:val="004F1820"/>
    <w:rsid w:val="004F4803"/>
    <w:rsid w:val="004F68EF"/>
    <w:rsid w:val="005027FD"/>
    <w:rsid w:val="005110EE"/>
    <w:rsid w:val="00511B95"/>
    <w:rsid w:val="005126BE"/>
    <w:rsid w:val="0051287C"/>
    <w:rsid w:val="00513D67"/>
    <w:rsid w:val="00513D9C"/>
    <w:rsid w:val="00514269"/>
    <w:rsid w:val="005165B0"/>
    <w:rsid w:val="005173A5"/>
    <w:rsid w:val="00521A66"/>
    <w:rsid w:val="00522D85"/>
    <w:rsid w:val="00524E91"/>
    <w:rsid w:val="005374E4"/>
    <w:rsid w:val="00546C40"/>
    <w:rsid w:val="00546FD7"/>
    <w:rsid w:val="00547635"/>
    <w:rsid w:val="00551B91"/>
    <w:rsid w:val="00556DD5"/>
    <w:rsid w:val="00557B1B"/>
    <w:rsid w:val="005615FE"/>
    <w:rsid w:val="00563131"/>
    <w:rsid w:val="00564446"/>
    <w:rsid w:val="005651DC"/>
    <w:rsid w:val="0056549F"/>
    <w:rsid w:val="00572BF8"/>
    <w:rsid w:val="005737D6"/>
    <w:rsid w:val="0057486C"/>
    <w:rsid w:val="0057725D"/>
    <w:rsid w:val="00577BE6"/>
    <w:rsid w:val="0058016F"/>
    <w:rsid w:val="00580378"/>
    <w:rsid w:val="005806BB"/>
    <w:rsid w:val="0058166D"/>
    <w:rsid w:val="005834B6"/>
    <w:rsid w:val="005844F6"/>
    <w:rsid w:val="00585553"/>
    <w:rsid w:val="00586AD4"/>
    <w:rsid w:val="00587387"/>
    <w:rsid w:val="005908D4"/>
    <w:rsid w:val="00591423"/>
    <w:rsid w:val="005A1FF6"/>
    <w:rsid w:val="005A349F"/>
    <w:rsid w:val="005A3B28"/>
    <w:rsid w:val="005A7528"/>
    <w:rsid w:val="005B0329"/>
    <w:rsid w:val="005B03F2"/>
    <w:rsid w:val="005B52DA"/>
    <w:rsid w:val="005B57B3"/>
    <w:rsid w:val="005C4C19"/>
    <w:rsid w:val="005C4F42"/>
    <w:rsid w:val="005D203C"/>
    <w:rsid w:val="005D345D"/>
    <w:rsid w:val="005D37B5"/>
    <w:rsid w:val="005D602D"/>
    <w:rsid w:val="005D7037"/>
    <w:rsid w:val="005D71F9"/>
    <w:rsid w:val="005D7C2E"/>
    <w:rsid w:val="005E2979"/>
    <w:rsid w:val="005F03DD"/>
    <w:rsid w:val="005F3E94"/>
    <w:rsid w:val="005F4663"/>
    <w:rsid w:val="005F4BAB"/>
    <w:rsid w:val="0060049A"/>
    <w:rsid w:val="00603472"/>
    <w:rsid w:val="0060571F"/>
    <w:rsid w:val="00607B81"/>
    <w:rsid w:val="00611C9C"/>
    <w:rsid w:val="00617C0C"/>
    <w:rsid w:val="00620562"/>
    <w:rsid w:val="00621FAD"/>
    <w:rsid w:val="00623975"/>
    <w:rsid w:val="00625CC9"/>
    <w:rsid w:val="00627C75"/>
    <w:rsid w:val="00631FD0"/>
    <w:rsid w:val="00633B35"/>
    <w:rsid w:val="00633D48"/>
    <w:rsid w:val="00636089"/>
    <w:rsid w:val="0063690C"/>
    <w:rsid w:val="00640FE6"/>
    <w:rsid w:val="006421D0"/>
    <w:rsid w:val="00642926"/>
    <w:rsid w:val="0064568B"/>
    <w:rsid w:val="00645F84"/>
    <w:rsid w:val="00646532"/>
    <w:rsid w:val="00647C2F"/>
    <w:rsid w:val="00651856"/>
    <w:rsid w:val="00654E35"/>
    <w:rsid w:val="00656887"/>
    <w:rsid w:val="00657092"/>
    <w:rsid w:val="006612AA"/>
    <w:rsid w:val="0066486C"/>
    <w:rsid w:val="006648B0"/>
    <w:rsid w:val="006655C7"/>
    <w:rsid w:val="00671F07"/>
    <w:rsid w:val="00673F23"/>
    <w:rsid w:val="00680239"/>
    <w:rsid w:val="00680DDA"/>
    <w:rsid w:val="00681783"/>
    <w:rsid w:val="00686F0C"/>
    <w:rsid w:val="006872F4"/>
    <w:rsid w:val="00695616"/>
    <w:rsid w:val="006A25D0"/>
    <w:rsid w:val="006A3B1F"/>
    <w:rsid w:val="006A3C52"/>
    <w:rsid w:val="006A4239"/>
    <w:rsid w:val="006A4CD4"/>
    <w:rsid w:val="006B24EA"/>
    <w:rsid w:val="006B2759"/>
    <w:rsid w:val="006B7CB7"/>
    <w:rsid w:val="006C0422"/>
    <w:rsid w:val="006C1E11"/>
    <w:rsid w:val="006C2B87"/>
    <w:rsid w:val="006C4C28"/>
    <w:rsid w:val="006C524E"/>
    <w:rsid w:val="006C535C"/>
    <w:rsid w:val="006C579B"/>
    <w:rsid w:val="006C6168"/>
    <w:rsid w:val="006D1B60"/>
    <w:rsid w:val="006D4AB5"/>
    <w:rsid w:val="006D4EE6"/>
    <w:rsid w:val="006D4FEB"/>
    <w:rsid w:val="006E226E"/>
    <w:rsid w:val="006E2C65"/>
    <w:rsid w:val="006E2DCA"/>
    <w:rsid w:val="006E33CB"/>
    <w:rsid w:val="006F39E8"/>
    <w:rsid w:val="006F562F"/>
    <w:rsid w:val="006F59D2"/>
    <w:rsid w:val="006F7BB7"/>
    <w:rsid w:val="0070059F"/>
    <w:rsid w:val="00702CD2"/>
    <w:rsid w:val="007034FA"/>
    <w:rsid w:val="0070400E"/>
    <w:rsid w:val="00715F45"/>
    <w:rsid w:val="00723A90"/>
    <w:rsid w:val="00724246"/>
    <w:rsid w:val="007361FA"/>
    <w:rsid w:val="00736376"/>
    <w:rsid w:val="0074120F"/>
    <w:rsid w:val="007414BB"/>
    <w:rsid w:val="00743D76"/>
    <w:rsid w:val="00743D9E"/>
    <w:rsid w:val="0074498F"/>
    <w:rsid w:val="0075033E"/>
    <w:rsid w:val="007507D1"/>
    <w:rsid w:val="00751115"/>
    <w:rsid w:val="00751F3F"/>
    <w:rsid w:val="0075287E"/>
    <w:rsid w:val="00755238"/>
    <w:rsid w:val="00756F3A"/>
    <w:rsid w:val="0075740F"/>
    <w:rsid w:val="007625F3"/>
    <w:rsid w:val="00762EB1"/>
    <w:rsid w:val="007657C0"/>
    <w:rsid w:val="0077228D"/>
    <w:rsid w:val="00776CBC"/>
    <w:rsid w:val="0077775C"/>
    <w:rsid w:val="00777A4D"/>
    <w:rsid w:val="0078088D"/>
    <w:rsid w:val="00780D05"/>
    <w:rsid w:val="00781D83"/>
    <w:rsid w:val="00784142"/>
    <w:rsid w:val="0078507D"/>
    <w:rsid w:val="00785DC2"/>
    <w:rsid w:val="00787A99"/>
    <w:rsid w:val="00792C07"/>
    <w:rsid w:val="007949F7"/>
    <w:rsid w:val="00794B89"/>
    <w:rsid w:val="00797230"/>
    <w:rsid w:val="007A18A3"/>
    <w:rsid w:val="007A250D"/>
    <w:rsid w:val="007A2C67"/>
    <w:rsid w:val="007B1235"/>
    <w:rsid w:val="007B791E"/>
    <w:rsid w:val="007C08B6"/>
    <w:rsid w:val="007C3271"/>
    <w:rsid w:val="007C4180"/>
    <w:rsid w:val="007C470A"/>
    <w:rsid w:val="007C5E99"/>
    <w:rsid w:val="007C6918"/>
    <w:rsid w:val="007C777E"/>
    <w:rsid w:val="007D1517"/>
    <w:rsid w:val="007D1670"/>
    <w:rsid w:val="007D522A"/>
    <w:rsid w:val="007D6604"/>
    <w:rsid w:val="007E1C83"/>
    <w:rsid w:val="007E6513"/>
    <w:rsid w:val="007F3B55"/>
    <w:rsid w:val="007F3CAE"/>
    <w:rsid w:val="007F4D2B"/>
    <w:rsid w:val="007F4FC0"/>
    <w:rsid w:val="007F759A"/>
    <w:rsid w:val="00801138"/>
    <w:rsid w:val="00802251"/>
    <w:rsid w:val="0080429D"/>
    <w:rsid w:val="00810588"/>
    <w:rsid w:val="00811906"/>
    <w:rsid w:val="00812C2B"/>
    <w:rsid w:val="008156BC"/>
    <w:rsid w:val="00815A20"/>
    <w:rsid w:val="00816B0C"/>
    <w:rsid w:val="00816D8A"/>
    <w:rsid w:val="0081766D"/>
    <w:rsid w:val="00823230"/>
    <w:rsid w:val="00823F79"/>
    <w:rsid w:val="00827485"/>
    <w:rsid w:val="008325DD"/>
    <w:rsid w:val="00832A6B"/>
    <w:rsid w:val="00833C23"/>
    <w:rsid w:val="0083439E"/>
    <w:rsid w:val="00836F38"/>
    <w:rsid w:val="008413B9"/>
    <w:rsid w:val="0084327C"/>
    <w:rsid w:val="00843A8E"/>
    <w:rsid w:val="00846E87"/>
    <w:rsid w:val="0084749E"/>
    <w:rsid w:val="00853BAA"/>
    <w:rsid w:val="0085539B"/>
    <w:rsid w:val="00860FAD"/>
    <w:rsid w:val="00863452"/>
    <w:rsid w:val="0086356B"/>
    <w:rsid w:val="0086557D"/>
    <w:rsid w:val="00866AF1"/>
    <w:rsid w:val="00870A73"/>
    <w:rsid w:val="008722DB"/>
    <w:rsid w:val="00873E70"/>
    <w:rsid w:val="00875C83"/>
    <w:rsid w:val="00882AB7"/>
    <w:rsid w:val="00883646"/>
    <w:rsid w:val="0088365F"/>
    <w:rsid w:val="008847A7"/>
    <w:rsid w:val="00884980"/>
    <w:rsid w:val="00885AA6"/>
    <w:rsid w:val="00885EAB"/>
    <w:rsid w:val="00891279"/>
    <w:rsid w:val="008A2C1A"/>
    <w:rsid w:val="008A4B86"/>
    <w:rsid w:val="008A5204"/>
    <w:rsid w:val="008A6947"/>
    <w:rsid w:val="008B2BD5"/>
    <w:rsid w:val="008B4B87"/>
    <w:rsid w:val="008B5BAB"/>
    <w:rsid w:val="008B7BEA"/>
    <w:rsid w:val="008C05FC"/>
    <w:rsid w:val="008C2022"/>
    <w:rsid w:val="008C2320"/>
    <w:rsid w:val="008C71EA"/>
    <w:rsid w:val="008D09D1"/>
    <w:rsid w:val="008D1083"/>
    <w:rsid w:val="008D2358"/>
    <w:rsid w:val="008D76A3"/>
    <w:rsid w:val="008E7D38"/>
    <w:rsid w:val="008F087A"/>
    <w:rsid w:val="008F14A8"/>
    <w:rsid w:val="008F4385"/>
    <w:rsid w:val="00900BCE"/>
    <w:rsid w:val="00905CEC"/>
    <w:rsid w:val="00906788"/>
    <w:rsid w:val="00910502"/>
    <w:rsid w:val="00910C98"/>
    <w:rsid w:val="009133AE"/>
    <w:rsid w:val="009135A9"/>
    <w:rsid w:val="00922CC3"/>
    <w:rsid w:val="00924833"/>
    <w:rsid w:val="00934967"/>
    <w:rsid w:val="00934BAC"/>
    <w:rsid w:val="0093526C"/>
    <w:rsid w:val="00936F35"/>
    <w:rsid w:val="00937A2D"/>
    <w:rsid w:val="009411DF"/>
    <w:rsid w:val="0094202B"/>
    <w:rsid w:val="00943B8E"/>
    <w:rsid w:val="009448BD"/>
    <w:rsid w:val="0094642F"/>
    <w:rsid w:val="0094654E"/>
    <w:rsid w:val="00947FCA"/>
    <w:rsid w:val="00950DE6"/>
    <w:rsid w:val="00957758"/>
    <w:rsid w:val="00957A5A"/>
    <w:rsid w:val="00961592"/>
    <w:rsid w:val="00962FDB"/>
    <w:rsid w:val="0096301E"/>
    <w:rsid w:val="0097054E"/>
    <w:rsid w:val="00970AD3"/>
    <w:rsid w:val="00970D3D"/>
    <w:rsid w:val="009747D2"/>
    <w:rsid w:val="00974AA3"/>
    <w:rsid w:val="009768ED"/>
    <w:rsid w:val="00980BC5"/>
    <w:rsid w:val="00980F2A"/>
    <w:rsid w:val="00982D70"/>
    <w:rsid w:val="00983105"/>
    <w:rsid w:val="00983404"/>
    <w:rsid w:val="009871C6"/>
    <w:rsid w:val="00992AB8"/>
    <w:rsid w:val="00994690"/>
    <w:rsid w:val="009965DC"/>
    <w:rsid w:val="009A2EF4"/>
    <w:rsid w:val="009A3FA6"/>
    <w:rsid w:val="009A581D"/>
    <w:rsid w:val="009A65AC"/>
    <w:rsid w:val="009A7F6D"/>
    <w:rsid w:val="009B3A8B"/>
    <w:rsid w:val="009B5D76"/>
    <w:rsid w:val="009B5EE1"/>
    <w:rsid w:val="009C068D"/>
    <w:rsid w:val="009C1AAE"/>
    <w:rsid w:val="009C4D39"/>
    <w:rsid w:val="009D1100"/>
    <w:rsid w:val="009D3F0F"/>
    <w:rsid w:val="009D4EA7"/>
    <w:rsid w:val="009D57DB"/>
    <w:rsid w:val="009E1396"/>
    <w:rsid w:val="009E2C6C"/>
    <w:rsid w:val="009E3304"/>
    <w:rsid w:val="009E5F47"/>
    <w:rsid w:val="009F007C"/>
    <w:rsid w:val="009F1007"/>
    <w:rsid w:val="009F34B9"/>
    <w:rsid w:val="009F5F80"/>
    <w:rsid w:val="009F61BB"/>
    <w:rsid w:val="00A00517"/>
    <w:rsid w:val="00A01B2B"/>
    <w:rsid w:val="00A0367A"/>
    <w:rsid w:val="00A04283"/>
    <w:rsid w:val="00A05FE6"/>
    <w:rsid w:val="00A05FF0"/>
    <w:rsid w:val="00A063A0"/>
    <w:rsid w:val="00A06BA1"/>
    <w:rsid w:val="00A06F63"/>
    <w:rsid w:val="00A104A8"/>
    <w:rsid w:val="00A1557B"/>
    <w:rsid w:val="00A15710"/>
    <w:rsid w:val="00A21222"/>
    <w:rsid w:val="00A23115"/>
    <w:rsid w:val="00A24EEA"/>
    <w:rsid w:val="00A259E8"/>
    <w:rsid w:val="00A25A78"/>
    <w:rsid w:val="00A30BB1"/>
    <w:rsid w:val="00A33F78"/>
    <w:rsid w:val="00A34787"/>
    <w:rsid w:val="00A3528A"/>
    <w:rsid w:val="00A4506D"/>
    <w:rsid w:val="00A51708"/>
    <w:rsid w:val="00A525D6"/>
    <w:rsid w:val="00A53633"/>
    <w:rsid w:val="00A53C71"/>
    <w:rsid w:val="00A60431"/>
    <w:rsid w:val="00A6409C"/>
    <w:rsid w:val="00A66274"/>
    <w:rsid w:val="00A66402"/>
    <w:rsid w:val="00A71354"/>
    <w:rsid w:val="00A7215C"/>
    <w:rsid w:val="00A724EF"/>
    <w:rsid w:val="00A728AA"/>
    <w:rsid w:val="00A731B6"/>
    <w:rsid w:val="00A73A14"/>
    <w:rsid w:val="00A7564E"/>
    <w:rsid w:val="00A75B28"/>
    <w:rsid w:val="00A7709D"/>
    <w:rsid w:val="00A773A4"/>
    <w:rsid w:val="00A83AC3"/>
    <w:rsid w:val="00A853A1"/>
    <w:rsid w:val="00A85F1B"/>
    <w:rsid w:val="00A93487"/>
    <w:rsid w:val="00A97D25"/>
    <w:rsid w:val="00AA386D"/>
    <w:rsid w:val="00AA51F5"/>
    <w:rsid w:val="00AA76C5"/>
    <w:rsid w:val="00AB2BC8"/>
    <w:rsid w:val="00AB421F"/>
    <w:rsid w:val="00AB44B8"/>
    <w:rsid w:val="00AC032E"/>
    <w:rsid w:val="00AC2589"/>
    <w:rsid w:val="00AC59CC"/>
    <w:rsid w:val="00AC6DB5"/>
    <w:rsid w:val="00AD16E3"/>
    <w:rsid w:val="00AD2AE3"/>
    <w:rsid w:val="00AD2B28"/>
    <w:rsid w:val="00AD358A"/>
    <w:rsid w:val="00AD6391"/>
    <w:rsid w:val="00AD6C29"/>
    <w:rsid w:val="00AD712C"/>
    <w:rsid w:val="00AE0DFD"/>
    <w:rsid w:val="00AE5222"/>
    <w:rsid w:val="00AE6851"/>
    <w:rsid w:val="00AE74DA"/>
    <w:rsid w:val="00AF1705"/>
    <w:rsid w:val="00AF2CDB"/>
    <w:rsid w:val="00AF33FC"/>
    <w:rsid w:val="00B00A45"/>
    <w:rsid w:val="00B038E8"/>
    <w:rsid w:val="00B05396"/>
    <w:rsid w:val="00B06CCB"/>
    <w:rsid w:val="00B10370"/>
    <w:rsid w:val="00B107CB"/>
    <w:rsid w:val="00B108F1"/>
    <w:rsid w:val="00B10B93"/>
    <w:rsid w:val="00B12E12"/>
    <w:rsid w:val="00B14815"/>
    <w:rsid w:val="00B15489"/>
    <w:rsid w:val="00B15F9A"/>
    <w:rsid w:val="00B15FB7"/>
    <w:rsid w:val="00B17C43"/>
    <w:rsid w:val="00B20589"/>
    <w:rsid w:val="00B2156E"/>
    <w:rsid w:val="00B23127"/>
    <w:rsid w:val="00B23A36"/>
    <w:rsid w:val="00B23E08"/>
    <w:rsid w:val="00B3339E"/>
    <w:rsid w:val="00B342A7"/>
    <w:rsid w:val="00B35CD5"/>
    <w:rsid w:val="00B361F6"/>
    <w:rsid w:val="00B368F7"/>
    <w:rsid w:val="00B36CEA"/>
    <w:rsid w:val="00B40219"/>
    <w:rsid w:val="00B42854"/>
    <w:rsid w:val="00B4378B"/>
    <w:rsid w:val="00B43CCB"/>
    <w:rsid w:val="00B46B1F"/>
    <w:rsid w:val="00B46FC3"/>
    <w:rsid w:val="00B50678"/>
    <w:rsid w:val="00B50909"/>
    <w:rsid w:val="00B5209B"/>
    <w:rsid w:val="00B531B7"/>
    <w:rsid w:val="00B57EB0"/>
    <w:rsid w:val="00B614D5"/>
    <w:rsid w:val="00B63A6B"/>
    <w:rsid w:val="00B64CA8"/>
    <w:rsid w:val="00B708F3"/>
    <w:rsid w:val="00B71DC7"/>
    <w:rsid w:val="00B72D6D"/>
    <w:rsid w:val="00B75609"/>
    <w:rsid w:val="00B75C44"/>
    <w:rsid w:val="00B77C8A"/>
    <w:rsid w:val="00B825C1"/>
    <w:rsid w:val="00B83AF0"/>
    <w:rsid w:val="00B86FA0"/>
    <w:rsid w:val="00B8752B"/>
    <w:rsid w:val="00B90781"/>
    <w:rsid w:val="00B93876"/>
    <w:rsid w:val="00B93988"/>
    <w:rsid w:val="00B94A5F"/>
    <w:rsid w:val="00B96F25"/>
    <w:rsid w:val="00B9723A"/>
    <w:rsid w:val="00BA0996"/>
    <w:rsid w:val="00BA1DDB"/>
    <w:rsid w:val="00BA2C07"/>
    <w:rsid w:val="00BA7E92"/>
    <w:rsid w:val="00BB1821"/>
    <w:rsid w:val="00BB30F7"/>
    <w:rsid w:val="00BB43E0"/>
    <w:rsid w:val="00BC0B23"/>
    <w:rsid w:val="00BC15B7"/>
    <w:rsid w:val="00BC2F93"/>
    <w:rsid w:val="00BC3DCA"/>
    <w:rsid w:val="00BC4C73"/>
    <w:rsid w:val="00BC564B"/>
    <w:rsid w:val="00BC5685"/>
    <w:rsid w:val="00BC6264"/>
    <w:rsid w:val="00BC6282"/>
    <w:rsid w:val="00BC6634"/>
    <w:rsid w:val="00BC6F80"/>
    <w:rsid w:val="00BD0B21"/>
    <w:rsid w:val="00BD257B"/>
    <w:rsid w:val="00BE4D3F"/>
    <w:rsid w:val="00BE6AFA"/>
    <w:rsid w:val="00BF0D12"/>
    <w:rsid w:val="00BF2001"/>
    <w:rsid w:val="00BF3F87"/>
    <w:rsid w:val="00C004B6"/>
    <w:rsid w:val="00C03CFA"/>
    <w:rsid w:val="00C03F64"/>
    <w:rsid w:val="00C062C2"/>
    <w:rsid w:val="00C06A86"/>
    <w:rsid w:val="00C10D62"/>
    <w:rsid w:val="00C116DE"/>
    <w:rsid w:val="00C129AE"/>
    <w:rsid w:val="00C164E3"/>
    <w:rsid w:val="00C20EE9"/>
    <w:rsid w:val="00C21F40"/>
    <w:rsid w:val="00C229EE"/>
    <w:rsid w:val="00C22A8C"/>
    <w:rsid w:val="00C22AF5"/>
    <w:rsid w:val="00C23828"/>
    <w:rsid w:val="00C25C2C"/>
    <w:rsid w:val="00C260D8"/>
    <w:rsid w:val="00C31577"/>
    <w:rsid w:val="00C31D22"/>
    <w:rsid w:val="00C32416"/>
    <w:rsid w:val="00C32716"/>
    <w:rsid w:val="00C3325E"/>
    <w:rsid w:val="00C3470E"/>
    <w:rsid w:val="00C375C8"/>
    <w:rsid w:val="00C41EF7"/>
    <w:rsid w:val="00C4521F"/>
    <w:rsid w:val="00C45D05"/>
    <w:rsid w:val="00C46F13"/>
    <w:rsid w:val="00C60FE7"/>
    <w:rsid w:val="00C62CEE"/>
    <w:rsid w:val="00C63403"/>
    <w:rsid w:val="00C67BD2"/>
    <w:rsid w:val="00C70E44"/>
    <w:rsid w:val="00C805EC"/>
    <w:rsid w:val="00C83BB1"/>
    <w:rsid w:val="00C84BD8"/>
    <w:rsid w:val="00C84E19"/>
    <w:rsid w:val="00C87372"/>
    <w:rsid w:val="00CA04D8"/>
    <w:rsid w:val="00CB079B"/>
    <w:rsid w:val="00CB3D2E"/>
    <w:rsid w:val="00CB44CA"/>
    <w:rsid w:val="00CB4661"/>
    <w:rsid w:val="00CB5759"/>
    <w:rsid w:val="00CB6A54"/>
    <w:rsid w:val="00CC0150"/>
    <w:rsid w:val="00CC0C43"/>
    <w:rsid w:val="00CC37E2"/>
    <w:rsid w:val="00CC42A5"/>
    <w:rsid w:val="00CC5969"/>
    <w:rsid w:val="00CC6C93"/>
    <w:rsid w:val="00CD3EE1"/>
    <w:rsid w:val="00CD47B3"/>
    <w:rsid w:val="00CD5F1A"/>
    <w:rsid w:val="00CE0251"/>
    <w:rsid w:val="00CE49D4"/>
    <w:rsid w:val="00CE53BA"/>
    <w:rsid w:val="00CE6504"/>
    <w:rsid w:val="00CF0309"/>
    <w:rsid w:val="00CF4024"/>
    <w:rsid w:val="00CF45E7"/>
    <w:rsid w:val="00CF5E16"/>
    <w:rsid w:val="00D045AB"/>
    <w:rsid w:val="00D06468"/>
    <w:rsid w:val="00D06B2C"/>
    <w:rsid w:val="00D119A1"/>
    <w:rsid w:val="00D14B23"/>
    <w:rsid w:val="00D14DAF"/>
    <w:rsid w:val="00D16250"/>
    <w:rsid w:val="00D21E38"/>
    <w:rsid w:val="00D2412E"/>
    <w:rsid w:val="00D350B9"/>
    <w:rsid w:val="00D36F19"/>
    <w:rsid w:val="00D403D9"/>
    <w:rsid w:val="00D407A4"/>
    <w:rsid w:val="00D42C3F"/>
    <w:rsid w:val="00D43C10"/>
    <w:rsid w:val="00D4573C"/>
    <w:rsid w:val="00D51F7F"/>
    <w:rsid w:val="00D56C82"/>
    <w:rsid w:val="00D57583"/>
    <w:rsid w:val="00D5789C"/>
    <w:rsid w:val="00D61050"/>
    <w:rsid w:val="00D61F7B"/>
    <w:rsid w:val="00D624BB"/>
    <w:rsid w:val="00D632B5"/>
    <w:rsid w:val="00D63644"/>
    <w:rsid w:val="00D71BD0"/>
    <w:rsid w:val="00D74455"/>
    <w:rsid w:val="00D749A4"/>
    <w:rsid w:val="00D76BC7"/>
    <w:rsid w:val="00D83021"/>
    <w:rsid w:val="00D84BB0"/>
    <w:rsid w:val="00D877B6"/>
    <w:rsid w:val="00D910FC"/>
    <w:rsid w:val="00D91667"/>
    <w:rsid w:val="00D91C41"/>
    <w:rsid w:val="00D92B1B"/>
    <w:rsid w:val="00D95011"/>
    <w:rsid w:val="00D970EA"/>
    <w:rsid w:val="00DA0465"/>
    <w:rsid w:val="00DA1F8C"/>
    <w:rsid w:val="00DA43A4"/>
    <w:rsid w:val="00DA4534"/>
    <w:rsid w:val="00DB09EB"/>
    <w:rsid w:val="00DB298F"/>
    <w:rsid w:val="00DB2FBB"/>
    <w:rsid w:val="00DB3D54"/>
    <w:rsid w:val="00DB5CF6"/>
    <w:rsid w:val="00DC1872"/>
    <w:rsid w:val="00DC3B0C"/>
    <w:rsid w:val="00DC619D"/>
    <w:rsid w:val="00DD103A"/>
    <w:rsid w:val="00DD2792"/>
    <w:rsid w:val="00DD27EC"/>
    <w:rsid w:val="00DD52D4"/>
    <w:rsid w:val="00DE276C"/>
    <w:rsid w:val="00DE47AF"/>
    <w:rsid w:val="00DE7EF4"/>
    <w:rsid w:val="00DF0FE2"/>
    <w:rsid w:val="00DF2961"/>
    <w:rsid w:val="00DF347E"/>
    <w:rsid w:val="00E01752"/>
    <w:rsid w:val="00E044FC"/>
    <w:rsid w:val="00E04E45"/>
    <w:rsid w:val="00E12D00"/>
    <w:rsid w:val="00E17D56"/>
    <w:rsid w:val="00E21974"/>
    <w:rsid w:val="00E21E17"/>
    <w:rsid w:val="00E23767"/>
    <w:rsid w:val="00E26ECC"/>
    <w:rsid w:val="00E271F3"/>
    <w:rsid w:val="00E27AF5"/>
    <w:rsid w:val="00E30F30"/>
    <w:rsid w:val="00E317B9"/>
    <w:rsid w:val="00E31D75"/>
    <w:rsid w:val="00E4105B"/>
    <w:rsid w:val="00E42FF1"/>
    <w:rsid w:val="00E462E8"/>
    <w:rsid w:val="00E50E22"/>
    <w:rsid w:val="00E51038"/>
    <w:rsid w:val="00E531BA"/>
    <w:rsid w:val="00E56A3A"/>
    <w:rsid w:val="00E61849"/>
    <w:rsid w:val="00E61A30"/>
    <w:rsid w:val="00E64342"/>
    <w:rsid w:val="00E643A6"/>
    <w:rsid w:val="00E650AF"/>
    <w:rsid w:val="00E665F3"/>
    <w:rsid w:val="00E80FDD"/>
    <w:rsid w:val="00E82089"/>
    <w:rsid w:val="00E92414"/>
    <w:rsid w:val="00EA108C"/>
    <w:rsid w:val="00EA1875"/>
    <w:rsid w:val="00EB09C3"/>
    <w:rsid w:val="00EB0C0A"/>
    <w:rsid w:val="00EB5382"/>
    <w:rsid w:val="00EB7E90"/>
    <w:rsid w:val="00EC059F"/>
    <w:rsid w:val="00EC17FB"/>
    <w:rsid w:val="00EC5FA6"/>
    <w:rsid w:val="00EC633C"/>
    <w:rsid w:val="00EC72E4"/>
    <w:rsid w:val="00ED0469"/>
    <w:rsid w:val="00ED2995"/>
    <w:rsid w:val="00ED7377"/>
    <w:rsid w:val="00ED75AE"/>
    <w:rsid w:val="00ED777F"/>
    <w:rsid w:val="00EF0A69"/>
    <w:rsid w:val="00EF252C"/>
    <w:rsid w:val="00EF5AAF"/>
    <w:rsid w:val="00EF708D"/>
    <w:rsid w:val="00F00C35"/>
    <w:rsid w:val="00F020C1"/>
    <w:rsid w:val="00F0307E"/>
    <w:rsid w:val="00F049E8"/>
    <w:rsid w:val="00F06E33"/>
    <w:rsid w:val="00F072D3"/>
    <w:rsid w:val="00F10C26"/>
    <w:rsid w:val="00F10F90"/>
    <w:rsid w:val="00F11D4D"/>
    <w:rsid w:val="00F161D8"/>
    <w:rsid w:val="00F16632"/>
    <w:rsid w:val="00F30030"/>
    <w:rsid w:val="00F30D3C"/>
    <w:rsid w:val="00F369E9"/>
    <w:rsid w:val="00F37196"/>
    <w:rsid w:val="00F41D1E"/>
    <w:rsid w:val="00F428AD"/>
    <w:rsid w:val="00F46365"/>
    <w:rsid w:val="00F46479"/>
    <w:rsid w:val="00F46873"/>
    <w:rsid w:val="00F53510"/>
    <w:rsid w:val="00F53E2C"/>
    <w:rsid w:val="00F53E34"/>
    <w:rsid w:val="00F55326"/>
    <w:rsid w:val="00F633C6"/>
    <w:rsid w:val="00F644F4"/>
    <w:rsid w:val="00F64EB5"/>
    <w:rsid w:val="00F65E2A"/>
    <w:rsid w:val="00F6752A"/>
    <w:rsid w:val="00F73F5A"/>
    <w:rsid w:val="00F7447D"/>
    <w:rsid w:val="00F7483B"/>
    <w:rsid w:val="00F75B77"/>
    <w:rsid w:val="00F75D33"/>
    <w:rsid w:val="00F81195"/>
    <w:rsid w:val="00F84BD6"/>
    <w:rsid w:val="00F85E0B"/>
    <w:rsid w:val="00F86B0C"/>
    <w:rsid w:val="00F87B87"/>
    <w:rsid w:val="00F91947"/>
    <w:rsid w:val="00F920EA"/>
    <w:rsid w:val="00F934F5"/>
    <w:rsid w:val="00F95E40"/>
    <w:rsid w:val="00FA269A"/>
    <w:rsid w:val="00FB2031"/>
    <w:rsid w:val="00FB3697"/>
    <w:rsid w:val="00FB6EA6"/>
    <w:rsid w:val="00FC399C"/>
    <w:rsid w:val="00FC64B1"/>
    <w:rsid w:val="00FC70CE"/>
    <w:rsid w:val="00FD33D3"/>
    <w:rsid w:val="00FD6E93"/>
    <w:rsid w:val="00FE1F82"/>
    <w:rsid w:val="00FE7642"/>
    <w:rsid w:val="00FE76BF"/>
    <w:rsid w:val="00FF0270"/>
    <w:rsid w:val="00FF0ABC"/>
    <w:rsid w:val="00FF1EFE"/>
    <w:rsid w:val="00FF22CC"/>
    <w:rsid w:val="00FF52D2"/>
    <w:rsid w:val="00FF67E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4EA7"/>
    <w:pPr>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D4EA7"/>
    <w:pPr>
      <w:tabs>
        <w:tab w:val="center" w:pos="4680"/>
        <w:tab w:val="right" w:pos="9360"/>
      </w:tabs>
    </w:pPr>
  </w:style>
  <w:style w:type="character" w:customStyle="1" w:styleId="FooterChar">
    <w:name w:val="Footer Char"/>
    <w:basedOn w:val="DefaultParagraphFont"/>
    <w:link w:val="Footer"/>
    <w:uiPriority w:val="99"/>
    <w:rsid w:val="009D4EA7"/>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4EA7"/>
    <w:pPr>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D4EA7"/>
    <w:pPr>
      <w:tabs>
        <w:tab w:val="center" w:pos="4680"/>
        <w:tab w:val="right" w:pos="9360"/>
      </w:tabs>
    </w:pPr>
  </w:style>
  <w:style w:type="character" w:customStyle="1" w:styleId="FooterChar">
    <w:name w:val="Footer Char"/>
    <w:basedOn w:val="DefaultParagraphFont"/>
    <w:link w:val="Footer"/>
    <w:uiPriority w:val="99"/>
    <w:rsid w:val="009D4EA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7150</Words>
  <Characters>41686</Characters>
  <Application>Microsoft Office Word</Application>
  <DocSecurity>0</DocSecurity>
  <Lines>1302</Lines>
  <Paragraphs>353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dc:creator>
  <cp:keywords/>
  <dc:description/>
  <cp:lastModifiedBy>GCREDO</cp:lastModifiedBy>
  <cp:revision>2</cp:revision>
  <dcterms:created xsi:type="dcterms:W3CDTF">2018-03-04T13:03:00Z</dcterms:created>
  <dcterms:modified xsi:type="dcterms:W3CDTF">2018-11-28T06:41:00Z</dcterms:modified>
</cp:coreProperties>
</file>