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840"/>
        <w:tblW w:w="9639" w:type="dxa"/>
        <w:tblLayout w:type="fixed"/>
        <w:tblLook w:val="04A0" w:firstRow="1" w:lastRow="0" w:firstColumn="1" w:lastColumn="0" w:noHBand="0" w:noVBand="1"/>
      </w:tblPr>
      <w:tblGrid>
        <w:gridCol w:w="2689"/>
        <w:gridCol w:w="6950"/>
      </w:tblGrid>
      <w:tr w:rsidR="000F0440" w:rsidRPr="00EE63EA" w:rsidTr="0037373F">
        <w:trPr>
          <w:trHeight w:val="227"/>
        </w:trPr>
        <w:tc>
          <w:tcPr>
            <w:tcW w:w="2689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spacing w:before="100" w:beforeAutospacing="1" w:after="100" w:afterAutospacing="1"/>
              <w:rPr>
                <w:rFonts w:cstheme="minorHAnsi"/>
                <w:b/>
                <w:sz w:val="20"/>
                <w:szCs w:val="16"/>
                <w:u w:val="single"/>
              </w:rPr>
            </w:pPr>
            <w:r w:rsidRPr="00EE63EA">
              <w:rPr>
                <w:rFonts w:cstheme="minorHAnsi"/>
                <w:b/>
                <w:sz w:val="20"/>
                <w:szCs w:val="16"/>
                <w:u w:val="single"/>
              </w:rPr>
              <w:t>Generic medication</w:t>
            </w:r>
          </w:p>
        </w:tc>
        <w:tc>
          <w:tcPr>
            <w:tcW w:w="6950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spacing w:before="100" w:beforeAutospacing="1" w:after="100" w:afterAutospacing="1"/>
              <w:rPr>
                <w:rFonts w:cstheme="minorHAnsi"/>
                <w:b/>
                <w:sz w:val="20"/>
                <w:szCs w:val="16"/>
                <w:u w:val="single"/>
              </w:rPr>
            </w:pPr>
            <w:r w:rsidRPr="00EE63EA">
              <w:rPr>
                <w:rFonts w:cstheme="minorHAnsi"/>
                <w:b/>
                <w:sz w:val="20"/>
                <w:szCs w:val="16"/>
                <w:u w:val="single"/>
              </w:rPr>
              <w:t>Brands available</w:t>
            </w:r>
            <w:r w:rsidRPr="00EE63EA">
              <w:rPr>
                <w:rStyle w:val="FootnoteReference"/>
                <w:rFonts w:cstheme="minorHAnsi"/>
                <w:b/>
                <w:sz w:val="20"/>
                <w:szCs w:val="16"/>
                <w:u w:val="single"/>
              </w:rPr>
              <w:footnoteReference w:id="1"/>
            </w:r>
          </w:p>
        </w:tc>
      </w:tr>
      <w:tr w:rsidR="000F0440" w:rsidRPr="008B21FC" w:rsidTr="0037373F">
        <w:trPr>
          <w:trHeight w:val="227"/>
        </w:trPr>
        <w:tc>
          <w:tcPr>
            <w:tcW w:w="2689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b/>
                <w:sz w:val="20"/>
                <w:szCs w:val="16"/>
              </w:rPr>
            </w:pPr>
            <w:r w:rsidRPr="00EE63EA">
              <w:rPr>
                <w:rFonts w:cstheme="minorHAnsi"/>
                <w:b/>
                <w:sz w:val="20"/>
                <w:szCs w:val="16"/>
              </w:rPr>
              <w:t>Biguanides</w:t>
            </w:r>
          </w:p>
        </w:tc>
        <w:tc>
          <w:tcPr>
            <w:tcW w:w="6950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</w:p>
        </w:tc>
      </w:tr>
      <w:tr w:rsidR="000F0440" w:rsidRPr="008B21FC" w:rsidTr="0037373F">
        <w:trPr>
          <w:trHeight w:val="212"/>
        </w:trPr>
        <w:tc>
          <w:tcPr>
            <w:tcW w:w="2689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Metformin</w:t>
            </w:r>
          </w:p>
        </w:tc>
        <w:tc>
          <w:tcPr>
            <w:tcW w:w="6950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Formet, Glucobete, Diabex, Diaformin</w:t>
            </w:r>
          </w:p>
        </w:tc>
      </w:tr>
      <w:tr w:rsidR="000F0440" w:rsidRPr="008B21FC" w:rsidTr="0037373F">
        <w:trPr>
          <w:trHeight w:val="212"/>
        </w:trPr>
        <w:tc>
          <w:tcPr>
            <w:tcW w:w="2689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Metformin XR</w:t>
            </w:r>
          </w:p>
        </w:tc>
        <w:tc>
          <w:tcPr>
            <w:tcW w:w="6950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Diabex XR, Diaformin XR, Metex XR</w:t>
            </w:r>
          </w:p>
        </w:tc>
      </w:tr>
      <w:tr w:rsidR="000F0440" w:rsidRPr="008B21FC" w:rsidTr="0037373F">
        <w:trPr>
          <w:trHeight w:val="212"/>
        </w:trPr>
        <w:tc>
          <w:tcPr>
            <w:tcW w:w="2689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b/>
                <w:sz w:val="20"/>
                <w:szCs w:val="16"/>
              </w:rPr>
            </w:pPr>
            <w:r w:rsidRPr="00EE63EA">
              <w:rPr>
                <w:rFonts w:cstheme="minorHAnsi"/>
                <w:b/>
                <w:sz w:val="20"/>
                <w:szCs w:val="16"/>
              </w:rPr>
              <w:t>Sulphonylureas</w:t>
            </w:r>
          </w:p>
        </w:tc>
        <w:tc>
          <w:tcPr>
            <w:tcW w:w="6950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</w:p>
        </w:tc>
      </w:tr>
      <w:tr w:rsidR="000F0440" w:rsidRPr="006F7FA7" w:rsidTr="0037373F">
        <w:trPr>
          <w:trHeight w:val="229"/>
        </w:trPr>
        <w:tc>
          <w:tcPr>
            <w:tcW w:w="2689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Gliclazide</w:t>
            </w:r>
          </w:p>
        </w:tc>
        <w:tc>
          <w:tcPr>
            <w:tcW w:w="6950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Glyade</w:t>
            </w:r>
          </w:p>
        </w:tc>
      </w:tr>
      <w:tr w:rsidR="000F0440" w:rsidRPr="006F7FA7" w:rsidTr="0037373F">
        <w:trPr>
          <w:trHeight w:val="162"/>
        </w:trPr>
        <w:tc>
          <w:tcPr>
            <w:tcW w:w="2689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Gliclazide MR</w:t>
            </w:r>
          </w:p>
        </w:tc>
        <w:tc>
          <w:tcPr>
            <w:tcW w:w="6950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Glyade MR, Diamicron MR</w:t>
            </w:r>
          </w:p>
        </w:tc>
      </w:tr>
      <w:tr w:rsidR="000F0440" w:rsidRPr="006F7FA7" w:rsidTr="0037373F">
        <w:trPr>
          <w:trHeight w:val="212"/>
        </w:trPr>
        <w:tc>
          <w:tcPr>
            <w:tcW w:w="2689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Glibenclamide</w:t>
            </w:r>
          </w:p>
        </w:tc>
        <w:tc>
          <w:tcPr>
            <w:tcW w:w="6950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Daonil, Glimel</w:t>
            </w:r>
          </w:p>
        </w:tc>
      </w:tr>
      <w:tr w:rsidR="000F0440" w:rsidRPr="006F7FA7" w:rsidTr="0037373F">
        <w:trPr>
          <w:trHeight w:val="212"/>
        </w:trPr>
        <w:tc>
          <w:tcPr>
            <w:tcW w:w="2689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Glimepiride</w:t>
            </w:r>
          </w:p>
        </w:tc>
        <w:tc>
          <w:tcPr>
            <w:tcW w:w="6950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Amaryl, Aylide, Diapride, Dimirel</w:t>
            </w:r>
          </w:p>
        </w:tc>
      </w:tr>
      <w:tr w:rsidR="000F0440" w:rsidRPr="006F7FA7" w:rsidTr="0037373F">
        <w:trPr>
          <w:trHeight w:val="212"/>
        </w:trPr>
        <w:tc>
          <w:tcPr>
            <w:tcW w:w="2689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Glipizide</w:t>
            </w:r>
          </w:p>
        </w:tc>
        <w:tc>
          <w:tcPr>
            <w:tcW w:w="6950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iCs/>
                <w:color w:val="333333"/>
                <w:sz w:val="20"/>
                <w:szCs w:val="16"/>
                <w:bdr w:val="none" w:sz="0" w:space="0" w:color="auto" w:frame="1"/>
                <w:shd w:val="clear" w:color="auto" w:fill="FFFFFF"/>
              </w:rPr>
              <w:t>Melizide</w:t>
            </w:r>
            <w:r w:rsidRPr="00EE63EA">
              <w:rPr>
                <w:rFonts w:cstheme="minorHAnsi"/>
                <w:color w:val="333333"/>
                <w:sz w:val="20"/>
                <w:szCs w:val="16"/>
                <w:shd w:val="clear" w:color="auto" w:fill="FFFFFF"/>
              </w:rPr>
              <w:t>, </w:t>
            </w:r>
            <w:r w:rsidRPr="00EE63EA">
              <w:rPr>
                <w:rFonts w:cstheme="minorHAnsi"/>
                <w:iCs/>
                <w:color w:val="333333"/>
                <w:sz w:val="20"/>
                <w:szCs w:val="16"/>
                <w:bdr w:val="none" w:sz="0" w:space="0" w:color="auto" w:frame="1"/>
                <w:shd w:val="clear" w:color="auto" w:fill="FFFFFF"/>
              </w:rPr>
              <w:t>Minidiab</w:t>
            </w:r>
          </w:p>
        </w:tc>
      </w:tr>
      <w:tr w:rsidR="000F0440" w:rsidRPr="008B21FC" w:rsidTr="0037373F">
        <w:trPr>
          <w:trHeight w:val="212"/>
        </w:trPr>
        <w:tc>
          <w:tcPr>
            <w:tcW w:w="2689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b/>
                <w:sz w:val="20"/>
                <w:szCs w:val="16"/>
              </w:rPr>
            </w:pPr>
            <w:r w:rsidRPr="00EE63EA">
              <w:rPr>
                <w:rFonts w:cstheme="minorHAnsi"/>
                <w:b/>
                <w:sz w:val="20"/>
                <w:szCs w:val="16"/>
              </w:rPr>
              <w:t>Acarbose</w:t>
            </w:r>
          </w:p>
        </w:tc>
        <w:tc>
          <w:tcPr>
            <w:tcW w:w="6950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</w:p>
        </w:tc>
      </w:tr>
      <w:tr w:rsidR="000F0440" w:rsidRPr="006F7FA7" w:rsidTr="0037373F">
        <w:trPr>
          <w:trHeight w:val="227"/>
        </w:trPr>
        <w:tc>
          <w:tcPr>
            <w:tcW w:w="2689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Acarbose</w:t>
            </w:r>
          </w:p>
        </w:tc>
        <w:tc>
          <w:tcPr>
            <w:tcW w:w="6950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iCs/>
                <w:color w:val="333333"/>
                <w:sz w:val="20"/>
                <w:szCs w:val="16"/>
                <w:bdr w:val="none" w:sz="0" w:space="0" w:color="auto" w:frame="1"/>
                <w:shd w:val="clear" w:color="auto" w:fill="FFFFFF"/>
              </w:rPr>
              <w:t>Glucobay</w:t>
            </w:r>
            <w:r w:rsidRPr="00EE63EA">
              <w:rPr>
                <w:rFonts w:cstheme="minorHAnsi"/>
                <w:color w:val="333333"/>
                <w:sz w:val="20"/>
                <w:szCs w:val="16"/>
                <w:shd w:val="clear" w:color="auto" w:fill="FFFFFF"/>
              </w:rPr>
              <w:t>, </w:t>
            </w:r>
            <w:r w:rsidRPr="00EE63EA">
              <w:rPr>
                <w:rFonts w:cstheme="minorHAnsi"/>
                <w:iCs/>
                <w:color w:val="333333"/>
                <w:sz w:val="20"/>
                <w:szCs w:val="16"/>
                <w:bdr w:val="none" w:sz="0" w:space="0" w:color="auto" w:frame="1"/>
                <w:shd w:val="clear" w:color="auto" w:fill="FFFFFF"/>
              </w:rPr>
              <w:t>Glybosay</w:t>
            </w:r>
          </w:p>
        </w:tc>
      </w:tr>
      <w:tr w:rsidR="000F0440" w:rsidRPr="008B21FC" w:rsidTr="0037373F">
        <w:trPr>
          <w:trHeight w:val="212"/>
        </w:trPr>
        <w:tc>
          <w:tcPr>
            <w:tcW w:w="2689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b/>
                <w:sz w:val="20"/>
                <w:szCs w:val="16"/>
              </w:rPr>
            </w:pPr>
            <w:r w:rsidRPr="00EE63EA">
              <w:rPr>
                <w:rFonts w:cstheme="minorHAnsi"/>
                <w:b/>
                <w:sz w:val="20"/>
                <w:szCs w:val="16"/>
              </w:rPr>
              <w:t>TZDs</w:t>
            </w:r>
          </w:p>
        </w:tc>
        <w:tc>
          <w:tcPr>
            <w:tcW w:w="6950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</w:p>
        </w:tc>
      </w:tr>
      <w:tr w:rsidR="000F0440" w:rsidRPr="006F7FA7" w:rsidTr="0037373F">
        <w:trPr>
          <w:trHeight w:val="212"/>
        </w:trPr>
        <w:tc>
          <w:tcPr>
            <w:tcW w:w="2689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Pioglitazone</w:t>
            </w:r>
          </w:p>
        </w:tc>
        <w:tc>
          <w:tcPr>
            <w:tcW w:w="6950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iCs/>
                <w:color w:val="333333"/>
                <w:sz w:val="20"/>
                <w:szCs w:val="16"/>
                <w:bdr w:val="none" w:sz="0" w:space="0" w:color="auto" w:frame="1"/>
                <w:shd w:val="clear" w:color="auto" w:fill="FFFFFF"/>
              </w:rPr>
              <w:t>Acpio</w:t>
            </w:r>
            <w:r w:rsidRPr="00EE63EA">
              <w:rPr>
                <w:rFonts w:cstheme="minorHAnsi"/>
                <w:color w:val="333333"/>
                <w:sz w:val="20"/>
                <w:szCs w:val="16"/>
                <w:shd w:val="clear" w:color="auto" w:fill="FFFFFF"/>
              </w:rPr>
              <w:t>, </w:t>
            </w:r>
            <w:r w:rsidRPr="00EE63EA">
              <w:rPr>
                <w:rFonts w:cstheme="minorHAnsi"/>
                <w:iCs/>
                <w:color w:val="333333"/>
                <w:sz w:val="20"/>
                <w:szCs w:val="16"/>
                <w:bdr w:val="none" w:sz="0" w:space="0" w:color="auto" w:frame="1"/>
                <w:shd w:val="clear" w:color="auto" w:fill="FFFFFF"/>
              </w:rPr>
              <w:t>Actaze</w:t>
            </w:r>
            <w:r w:rsidRPr="00EE63EA">
              <w:rPr>
                <w:rFonts w:cstheme="minorHAnsi"/>
                <w:color w:val="333333"/>
                <w:sz w:val="20"/>
                <w:szCs w:val="16"/>
                <w:shd w:val="clear" w:color="auto" w:fill="FFFFFF"/>
              </w:rPr>
              <w:t>, </w:t>
            </w:r>
            <w:r w:rsidRPr="00EE63EA">
              <w:rPr>
                <w:rFonts w:cstheme="minorHAnsi"/>
                <w:iCs/>
                <w:color w:val="333333"/>
                <w:sz w:val="20"/>
                <w:szCs w:val="16"/>
                <w:bdr w:val="none" w:sz="0" w:space="0" w:color="auto" w:frame="1"/>
                <w:shd w:val="clear" w:color="auto" w:fill="FFFFFF"/>
              </w:rPr>
              <w:t>Actos</w:t>
            </w:r>
            <w:r w:rsidRPr="00EE63EA">
              <w:rPr>
                <w:rFonts w:cstheme="minorHAnsi"/>
                <w:color w:val="333333"/>
                <w:sz w:val="20"/>
                <w:szCs w:val="16"/>
                <w:shd w:val="clear" w:color="auto" w:fill="FFFFFF"/>
              </w:rPr>
              <w:t>, </w:t>
            </w:r>
            <w:r w:rsidRPr="00EE63EA">
              <w:rPr>
                <w:rFonts w:cstheme="minorHAnsi"/>
                <w:iCs/>
                <w:color w:val="333333"/>
                <w:sz w:val="20"/>
                <w:szCs w:val="16"/>
                <w:bdr w:val="none" w:sz="0" w:space="0" w:color="auto" w:frame="1"/>
                <w:shd w:val="clear" w:color="auto" w:fill="FFFFFF"/>
              </w:rPr>
              <w:t>Pizaccord</w:t>
            </w:r>
            <w:r w:rsidRPr="00EE63EA">
              <w:rPr>
                <w:rFonts w:cstheme="minorHAnsi"/>
                <w:color w:val="333333"/>
                <w:sz w:val="20"/>
                <w:szCs w:val="16"/>
                <w:shd w:val="clear" w:color="auto" w:fill="FFFFFF"/>
              </w:rPr>
              <w:t>, </w:t>
            </w:r>
            <w:r w:rsidRPr="00EE63EA">
              <w:rPr>
                <w:rFonts w:cstheme="minorHAnsi"/>
                <w:iCs/>
                <w:color w:val="333333"/>
                <w:sz w:val="20"/>
                <w:szCs w:val="16"/>
                <w:bdr w:val="none" w:sz="0" w:space="0" w:color="auto" w:frame="1"/>
                <w:shd w:val="clear" w:color="auto" w:fill="FFFFFF"/>
              </w:rPr>
              <w:t>Prioten</w:t>
            </w:r>
            <w:r w:rsidRPr="00EE63EA">
              <w:rPr>
                <w:rFonts w:cstheme="minorHAnsi"/>
                <w:color w:val="333333"/>
                <w:sz w:val="20"/>
                <w:szCs w:val="16"/>
                <w:shd w:val="clear" w:color="auto" w:fill="FFFFFF"/>
              </w:rPr>
              <w:t>, </w:t>
            </w:r>
            <w:r w:rsidRPr="00EE63EA">
              <w:rPr>
                <w:rFonts w:cstheme="minorHAnsi"/>
                <w:iCs/>
                <w:color w:val="333333"/>
                <w:sz w:val="20"/>
                <w:szCs w:val="16"/>
                <w:bdr w:val="none" w:sz="0" w:space="0" w:color="auto" w:frame="1"/>
                <w:shd w:val="clear" w:color="auto" w:fill="FFFFFF"/>
              </w:rPr>
              <w:t>Vexazone, Pioglitazone</w:t>
            </w:r>
          </w:p>
        </w:tc>
      </w:tr>
      <w:tr w:rsidR="000F0440" w:rsidRPr="006F7FA7" w:rsidTr="0037373F">
        <w:trPr>
          <w:trHeight w:val="207"/>
        </w:trPr>
        <w:tc>
          <w:tcPr>
            <w:tcW w:w="2689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Rosiglitazone</w:t>
            </w:r>
          </w:p>
        </w:tc>
        <w:tc>
          <w:tcPr>
            <w:tcW w:w="6950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N/A</w:t>
            </w:r>
          </w:p>
        </w:tc>
      </w:tr>
      <w:tr w:rsidR="000F0440" w:rsidRPr="008B21FC" w:rsidTr="0037373F">
        <w:trPr>
          <w:trHeight w:val="227"/>
        </w:trPr>
        <w:tc>
          <w:tcPr>
            <w:tcW w:w="2689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b/>
                <w:sz w:val="20"/>
                <w:szCs w:val="16"/>
              </w:rPr>
            </w:pPr>
            <w:r w:rsidRPr="00EE63EA">
              <w:rPr>
                <w:rFonts w:cstheme="minorHAnsi"/>
                <w:b/>
                <w:sz w:val="20"/>
                <w:szCs w:val="16"/>
              </w:rPr>
              <w:t>DPP4i</w:t>
            </w:r>
          </w:p>
        </w:tc>
        <w:tc>
          <w:tcPr>
            <w:tcW w:w="6950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</w:p>
        </w:tc>
      </w:tr>
      <w:tr w:rsidR="000F0440" w:rsidRPr="006F7FA7" w:rsidTr="0037373F">
        <w:trPr>
          <w:trHeight w:val="212"/>
        </w:trPr>
        <w:tc>
          <w:tcPr>
            <w:tcW w:w="2689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Sitagliptin</w:t>
            </w:r>
          </w:p>
        </w:tc>
        <w:tc>
          <w:tcPr>
            <w:tcW w:w="6950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Januvia</w:t>
            </w:r>
          </w:p>
        </w:tc>
      </w:tr>
      <w:tr w:rsidR="000F0440" w:rsidRPr="006F7FA7" w:rsidTr="0037373F">
        <w:trPr>
          <w:trHeight w:val="212"/>
        </w:trPr>
        <w:tc>
          <w:tcPr>
            <w:tcW w:w="2689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Vildagliptin</w:t>
            </w:r>
          </w:p>
        </w:tc>
        <w:tc>
          <w:tcPr>
            <w:tcW w:w="6950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Galvus</w:t>
            </w:r>
          </w:p>
        </w:tc>
      </w:tr>
      <w:tr w:rsidR="000F0440" w:rsidRPr="006F7FA7" w:rsidTr="0037373F">
        <w:trPr>
          <w:trHeight w:val="227"/>
        </w:trPr>
        <w:tc>
          <w:tcPr>
            <w:tcW w:w="2689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Saxagliptin</w:t>
            </w:r>
          </w:p>
        </w:tc>
        <w:tc>
          <w:tcPr>
            <w:tcW w:w="6950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Onglyza</w:t>
            </w:r>
          </w:p>
        </w:tc>
      </w:tr>
      <w:tr w:rsidR="000F0440" w:rsidRPr="006F7FA7" w:rsidTr="0037373F">
        <w:trPr>
          <w:trHeight w:val="212"/>
        </w:trPr>
        <w:tc>
          <w:tcPr>
            <w:tcW w:w="2689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Linagliptin</w:t>
            </w:r>
          </w:p>
        </w:tc>
        <w:tc>
          <w:tcPr>
            <w:tcW w:w="6950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Trajenta</w:t>
            </w:r>
          </w:p>
        </w:tc>
      </w:tr>
      <w:tr w:rsidR="000F0440" w:rsidRPr="006F7FA7" w:rsidTr="0037373F">
        <w:trPr>
          <w:trHeight w:val="212"/>
        </w:trPr>
        <w:tc>
          <w:tcPr>
            <w:tcW w:w="2689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Alogliptin</w:t>
            </w:r>
          </w:p>
        </w:tc>
        <w:tc>
          <w:tcPr>
            <w:tcW w:w="6950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Nesina</w:t>
            </w:r>
          </w:p>
        </w:tc>
      </w:tr>
      <w:tr w:rsidR="000F0440" w:rsidRPr="008B21FC" w:rsidTr="0037373F">
        <w:trPr>
          <w:trHeight w:val="227"/>
        </w:trPr>
        <w:tc>
          <w:tcPr>
            <w:tcW w:w="2689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b/>
                <w:sz w:val="20"/>
                <w:szCs w:val="16"/>
                <w:highlight w:val="yellow"/>
              </w:rPr>
            </w:pPr>
            <w:r w:rsidRPr="00EE63EA">
              <w:rPr>
                <w:rFonts w:cstheme="minorHAnsi"/>
                <w:b/>
                <w:sz w:val="20"/>
                <w:szCs w:val="16"/>
              </w:rPr>
              <w:t>Incretin mimetics</w:t>
            </w:r>
          </w:p>
        </w:tc>
        <w:tc>
          <w:tcPr>
            <w:tcW w:w="6950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</w:p>
        </w:tc>
      </w:tr>
      <w:tr w:rsidR="000F0440" w:rsidRPr="006F7FA7" w:rsidTr="0037373F">
        <w:trPr>
          <w:trHeight w:val="124"/>
        </w:trPr>
        <w:tc>
          <w:tcPr>
            <w:tcW w:w="2689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Exenatide</w:t>
            </w:r>
          </w:p>
        </w:tc>
        <w:tc>
          <w:tcPr>
            <w:tcW w:w="6950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Byetta</w:t>
            </w:r>
          </w:p>
        </w:tc>
      </w:tr>
      <w:tr w:rsidR="000F0440" w:rsidRPr="006F7FA7" w:rsidTr="0037373F">
        <w:trPr>
          <w:trHeight w:val="227"/>
        </w:trPr>
        <w:tc>
          <w:tcPr>
            <w:tcW w:w="2689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Exenatide XR</w:t>
            </w:r>
          </w:p>
        </w:tc>
        <w:tc>
          <w:tcPr>
            <w:tcW w:w="6950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Bydureon</w:t>
            </w:r>
          </w:p>
        </w:tc>
      </w:tr>
      <w:tr w:rsidR="000F0440" w:rsidRPr="006F7FA7" w:rsidTr="0037373F">
        <w:trPr>
          <w:trHeight w:val="251"/>
        </w:trPr>
        <w:tc>
          <w:tcPr>
            <w:tcW w:w="2689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Liraglutide</w:t>
            </w:r>
          </w:p>
        </w:tc>
        <w:tc>
          <w:tcPr>
            <w:tcW w:w="6950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Victoza</w:t>
            </w:r>
          </w:p>
        </w:tc>
      </w:tr>
      <w:tr w:rsidR="000F0440" w:rsidRPr="008B21FC" w:rsidTr="0037373F">
        <w:trPr>
          <w:trHeight w:val="212"/>
        </w:trPr>
        <w:tc>
          <w:tcPr>
            <w:tcW w:w="2689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b/>
                <w:sz w:val="20"/>
                <w:szCs w:val="16"/>
              </w:rPr>
            </w:pPr>
            <w:r w:rsidRPr="00EE63EA">
              <w:rPr>
                <w:rFonts w:cstheme="minorHAnsi"/>
                <w:b/>
                <w:sz w:val="20"/>
                <w:szCs w:val="16"/>
              </w:rPr>
              <w:t>SGLT2 inhibitors</w:t>
            </w:r>
          </w:p>
        </w:tc>
        <w:tc>
          <w:tcPr>
            <w:tcW w:w="6950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</w:p>
        </w:tc>
      </w:tr>
      <w:tr w:rsidR="000F0440" w:rsidRPr="006F7FA7" w:rsidTr="0037373F">
        <w:trPr>
          <w:trHeight w:val="212"/>
        </w:trPr>
        <w:tc>
          <w:tcPr>
            <w:tcW w:w="2689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Dapagliflozin</w:t>
            </w:r>
          </w:p>
        </w:tc>
        <w:tc>
          <w:tcPr>
            <w:tcW w:w="6950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Forxiga</w:t>
            </w:r>
          </w:p>
        </w:tc>
      </w:tr>
      <w:tr w:rsidR="000F0440" w:rsidRPr="006F7FA7" w:rsidTr="0037373F">
        <w:trPr>
          <w:trHeight w:val="152"/>
        </w:trPr>
        <w:tc>
          <w:tcPr>
            <w:tcW w:w="2689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Canagliflozin</w:t>
            </w:r>
          </w:p>
        </w:tc>
        <w:tc>
          <w:tcPr>
            <w:tcW w:w="6950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Invokana (was available during the study period, but now withdrawn from market)</w:t>
            </w:r>
          </w:p>
        </w:tc>
      </w:tr>
      <w:tr w:rsidR="000F0440" w:rsidRPr="006F7FA7" w:rsidTr="0037373F">
        <w:trPr>
          <w:trHeight w:val="152"/>
        </w:trPr>
        <w:tc>
          <w:tcPr>
            <w:tcW w:w="2689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Empagliflozin</w:t>
            </w:r>
            <w:r w:rsidRPr="00EE63EA">
              <w:rPr>
                <w:rStyle w:val="FootnoteReference"/>
                <w:rFonts w:cstheme="minorHAnsi"/>
                <w:sz w:val="20"/>
                <w:szCs w:val="16"/>
              </w:rPr>
              <w:footnoteReference w:id="2"/>
            </w:r>
          </w:p>
        </w:tc>
        <w:tc>
          <w:tcPr>
            <w:tcW w:w="6950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Jardiance</w:t>
            </w:r>
          </w:p>
        </w:tc>
      </w:tr>
      <w:tr w:rsidR="000F0440" w:rsidRPr="006F7FA7" w:rsidTr="0037373F">
        <w:trPr>
          <w:trHeight w:val="152"/>
        </w:trPr>
        <w:tc>
          <w:tcPr>
            <w:tcW w:w="2689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b/>
                <w:sz w:val="20"/>
                <w:szCs w:val="16"/>
              </w:rPr>
            </w:pPr>
            <w:r w:rsidRPr="00EE63EA">
              <w:rPr>
                <w:rFonts w:cstheme="minorHAnsi"/>
                <w:b/>
                <w:sz w:val="20"/>
                <w:szCs w:val="16"/>
              </w:rPr>
              <w:t>Combination formulations</w:t>
            </w:r>
          </w:p>
        </w:tc>
        <w:tc>
          <w:tcPr>
            <w:tcW w:w="6950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</w:p>
        </w:tc>
      </w:tr>
      <w:tr w:rsidR="000F0440" w:rsidRPr="006F7FA7" w:rsidTr="0037373F">
        <w:trPr>
          <w:trHeight w:val="152"/>
        </w:trPr>
        <w:tc>
          <w:tcPr>
            <w:tcW w:w="2689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Metformin-glibenlamide</w:t>
            </w:r>
          </w:p>
        </w:tc>
        <w:tc>
          <w:tcPr>
            <w:tcW w:w="6950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Glucovance</w:t>
            </w:r>
          </w:p>
        </w:tc>
      </w:tr>
      <w:tr w:rsidR="000F0440" w:rsidRPr="006F7FA7" w:rsidTr="0037373F">
        <w:trPr>
          <w:trHeight w:val="152"/>
        </w:trPr>
        <w:tc>
          <w:tcPr>
            <w:tcW w:w="2689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Rosiglitazone-metformin</w:t>
            </w:r>
          </w:p>
        </w:tc>
        <w:tc>
          <w:tcPr>
            <w:tcW w:w="6950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Avandamet</w:t>
            </w:r>
          </w:p>
        </w:tc>
      </w:tr>
      <w:tr w:rsidR="000F0440" w:rsidRPr="006F7FA7" w:rsidTr="0037373F">
        <w:trPr>
          <w:trHeight w:val="152"/>
        </w:trPr>
        <w:tc>
          <w:tcPr>
            <w:tcW w:w="2689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Sitagliptin-metformin</w:t>
            </w:r>
          </w:p>
        </w:tc>
        <w:tc>
          <w:tcPr>
            <w:tcW w:w="6950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Janumet</w:t>
            </w:r>
          </w:p>
        </w:tc>
      </w:tr>
      <w:tr w:rsidR="000F0440" w:rsidRPr="006F7FA7" w:rsidTr="0037373F">
        <w:trPr>
          <w:trHeight w:val="152"/>
        </w:trPr>
        <w:tc>
          <w:tcPr>
            <w:tcW w:w="2689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spacing w:before="100" w:beforeAutospacing="1" w:after="100" w:afterAutospacing="1"/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Sitagliptin-metformin XR</w:t>
            </w:r>
          </w:p>
        </w:tc>
        <w:tc>
          <w:tcPr>
            <w:tcW w:w="6950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spacing w:before="100" w:beforeAutospacing="1" w:after="100" w:afterAutospacing="1"/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Janumet XR</w:t>
            </w:r>
          </w:p>
        </w:tc>
      </w:tr>
      <w:tr w:rsidR="000F0440" w:rsidRPr="006F7FA7" w:rsidTr="0037373F">
        <w:trPr>
          <w:trHeight w:val="152"/>
        </w:trPr>
        <w:tc>
          <w:tcPr>
            <w:tcW w:w="2689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spacing w:before="100" w:beforeAutospacing="1" w:after="100" w:afterAutospacing="1"/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Vildagliptin-metformin</w:t>
            </w:r>
          </w:p>
        </w:tc>
        <w:tc>
          <w:tcPr>
            <w:tcW w:w="6950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spacing w:before="100" w:beforeAutospacing="1" w:after="100" w:afterAutospacing="1"/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Galvumet</w:t>
            </w:r>
          </w:p>
        </w:tc>
      </w:tr>
      <w:tr w:rsidR="000F0440" w:rsidRPr="006F7FA7" w:rsidTr="0037373F">
        <w:trPr>
          <w:trHeight w:val="152"/>
        </w:trPr>
        <w:tc>
          <w:tcPr>
            <w:tcW w:w="2689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spacing w:before="100" w:beforeAutospacing="1" w:after="100" w:afterAutospacing="1"/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Saxagliptin-metformin XR</w:t>
            </w:r>
          </w:p>
        </w:tc>
        <w:tc>
          <w:tcPr>
            <w:tcW w:w="6950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spacing w:before="100" w:beforeAutospacing="1" w:after="100" w:afterAutospacing="1"/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Kombiglyze XR</w:t>
            </w:r>
          </w:p>
        </w:tc>
      </w:tr>
      <w:tr w:rsidR="000F0440" w:rsidRPr="006F7FA7" w:rsidTr="0037373F">
        <w:trPr>
          <w:trHeight w:val="152"/>
        </w:trPr>
        <w:tc>
          <w:tcPr>
            <w:tcW w:w="2689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spacing w:before="100" w:beforeAutospacing="1" w:after="100" w:afterAutospacing="1"/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Linagliptin-metformin</w:t>
            </w:r>
          </w:p>
        </w:tc>
        <w:tc>
          <w:tcPr>
            <w:tcW w:w="6950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spacing w:before="100" w:beforeAutospacing="1" w:after="100" w:afterAutospacing="1"/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Tranjentamet</w:t>
            </w:r>
          </w:p>
        </w:tc>
      </w:tr>
      <w:tr w:rsidR="000F0440" w:rsidRPr="006F7FA7" w:rsidTr="0037373F">
        <w:trPr>
          <w:trHeight w:val="152"/>
        </w:trPr>
        <w:tc>
          <w:tcPr>
            <w:tcW w:w="2689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spacing w:before="100" w:beforeAutospacing="1" w:after="100" w:afterAutospacing="1"/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Alogliptin-metformin</w:t>
            </w:r>
          </w:p>
        </w:tc>
        <w:tc>
          <w:tcPr>
            <w:tcW w:w="6950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spacing w:before="100" w:beforeAutospacing="1" w:after="100" w:afterAutospacing="1"/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Nesina Met</w:t>
            </w:r>
          </w:p>
        </w:tc>
      </w:tr>
      <w:tr w:rsidR="000F0440" w:rsidRPr="006F7FA7" w:rsidTr="0037373F">
        <w:trPr>
          <w:trHeight w:val="152"/>
        </w:trPr>
        <w:tc>
          <w:tcPr>
            <w:tcW w:w="2689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spacing w:before="100" w:beforeAutospacing="1" w:after="100" w:afterAutospacing="1"/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Dapagliflozin-metformin XR</w:t>
            </w:r>
          </w:p>
        </w:tc>
        <w:tc>
          <w:tcPr>
            <w:tcW w:w="6950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spacing w:before="100" w:beforeAutospacing="1" w:after="100" w:afterAutospacing="1"/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Xigduo XR</w:t>
            </w:r>
          </w:p>
        </w:tc>
      </w:tr>
      <w:tr w:rsidR="000F0440" w:rsidRPr="006F7FA7" w:rsidTr="0037373F">
        <w:trPr>
          <w:trHeight w:val="152"/>
        </w:trPr>
        <w:tc>
          <w:tcPr>
            <w:tcW w:w="2689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spacing w:before="100" w:beforeAutospacing="1" w:after="100" w:afterAutospacing="1"/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Empagliflozin-metformin</w:t>
            </w:r>
          </w:p>
        </w:tc>
        <w:tc>
          <w:tcPr>
            <w:tcW w:w="6950" w:type="dxa"/>
            <w:tcBorders>
              <w:right w:val="single" w:sz="4" w:space="0" w:color="auto"/>
            </w:tcBorders>
          </w:tcPr>
          <w:p w:rsidR="000F0440" w:rsidRPr="00EE63EA" w:rsidRDefault="000F0440" w:rsidP="0037373F">
            <w:pPr>
              <w:spacing w:before="100" w:beforeAutospacing="1" w:after="100" w:afterAutospacing="1"/>
              <w:rPr>
                <w:rFonts w:cstheme="minorHAnsi"/>
                <w:sz w:val="20"/>
                <w:szCs w:val="16"/>
              </w:rPr>
            </w:pPr>
            <w:r w:rsidRPr="00EE63EA">
              <w:rPr>
                <w:rFonts w:cstheme="minorHAnsi"/>
                <w:sz w:val="20"/>
                <w:szCs w:val="16"/>
              </w:rPr>
              <w:t>Jardiamet</w:t>
            </w:r>
          </w:p>
        </w:tc>
      </w:tr>
    </w:tbl>
    <w:p w:rsidR="000F0440" w:rsidRDefault="001D286C" w:rsidP="000F0440">
      <w:pPr>
        <w:jc w:val="both"/>
        <w:rPr>
          <w:b/>
        </w:rPr>
      </w:pPr>
      <w:r>
        <w:rPr>
          <w:b/>
        </w:rPr>
        <w:t>Additional file 1: Table S1</w:t>
      </w:r>
      <w:bookmarkStart w:id="0" w:name="_GoBack"/>
      <w:bookmarkEnd w:id="0"/>
    </w:p>
    <w:p w:rsidR="0037373F" w:rsidRDefault="000F0440" w:rsidP="000F0440">
      <w:pPr>
        <w:pStyle w:val="EndNoteBibliography"/>
      </w:pPr>
      <w:r>
        <w:fldChar w:fldCharType="begin"/>
      </w:r>
      <w:r>
        <w:instrText xml:space="preserve"> ADDIN EN.REFLIST </w:instrText>
      </w:r>
      <w:r>
        <w:fldChar w:fldCharType="separate"/>
      </w:r>
      <w:r>
        <w:t xml:space="preserve">Ref: </w:t>
      </w:r>
      <w:r w:rsidRPr="000F0440">
        <w:t xml:space="preserve">Australian Medicines Handbook. Australian Medicines Handbook Adelaide: Australian Medicines </w:t>
      </w:r>
    </w:p>
    <w:p w:rsidR="000F0440" w:rsidRDefault="000F0440" w:rsidP="000F0440">
      <w:pPr>
        <w:pStyle w:val="EndNoteBibliography"/>
      </w:pPr>
      <w:r w:rsidRPr="000F0440">
        <w:t xml:space="preserve">Handbook Pty Ltd; 2018 (online) Available from: </w:t>
      </w:r>
      <w:hyperlink r:id="rId7" w:history="1">
        <w:r w:rsidRPr="000F0440">
          <w:rPr>
            <w:rStyle w:val="Hyperlink"/>
          </w:rPr>
          <w:t>http://amhonline.amh.net.au/</w:t>
        </w:r>
      </w:hyperlink>
      <w:r w:rsidRPr="000F0440">
        <w:t>.</w:t>
      </w:r>
      <w:r>
        <w:fldChar w:fldCharType="end"/>
      </w:r>
    </w:p>
    <w:p w:rsidR="00362FB9" w:rsidRPr="000F0440" w:rsidRDefault="00362FB9" w:rsidP="000F0440"/>
    <w:sectPr w:rsidR="00362FB9" w:rsidRPr="000F04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440" w:rsidRDefault="000F0440" w:rsidP="000F0440">
      <w:pPr>
        <w:spacing w:after="0" w:line="240" w:lineRule="auto"/>
      </w:pPr>
      <w:r>
        <w:separator/>
      </w:r>
    </w:p>
  </w:endnote>
  <w:endnote w:type="continuationSeparator" w:id="0">
    <w:p w:rsidR="000F0440" w:rsidRDefault="000F0440" w:rsidP="000F0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440" w:rsidRDefault="000F0440" w:rsidP="000F0440">
      <w:pPr>
        <w:spacing w:after="0" w:line="240" w:lineRule="auto"/>
      </w:pPr>
      <w:r>
        <w:separator/>
      </w:r>
    </w:p>
  </w:footnote>
  <w:footnote w:type="continuationSeparator" w:id="0">
    <w:p w:rsidR="000F0440" w:rsidRDefault="000F0440" w:rsidP="000F0440">
      <w:pPr>
        <w:spacing w:after="0" w:line="240" w:lineRule="auto"/>
      </w:pPr>
      <w:r>
        <w:continuationSeparator/>
      </w:r>
    </w:p>
  </w:footnote>
  <w:footnote w:id="1">
    <w:p w:rsidR="000F0440" w:rsidRPr="00FE58CB" w:rsidRDefault="000F0440" w:rsidP="000F0440">
      <w:pPr>
        <w:pStyle w:val="FootnoteText"/>
        <w:rPr>
          <w:sz w:val="16"/>
          <w:szCs w:val="16"/>
        </w:rPr>
      </w:pPr>
      <w:r w:rsidRPr="00FE58CB">
        <w:rPr>
          <w:rStyle w:val="FootnoteReference"/>
          <w:sz w:val="16"/>
          <w:szCs w:val="16"/>
        </w:rPr>
        <w:footnoteRef/>
      </w:r>
      <w:r w:rsidRPr="00FE58CB">
        <w:rPr>
          <w:sz w:val="16"/>
          <w:szCs w:val="16"/>
        </w:rPr>
        <w:t xml:space="preserve"> Note – other generic brands may be available that are not listed</w:t>
      </w:r>
    </w:p>
  </w:footnote>
  <w:footnote w:id="2">
    <w:p w:rsidR="000F0440" w:rsidRPr="00FE58CB" w:rsidRDefault="000F0440" w:rsidP="000F0440">
      <w:pPr>
        <w:pStyle w:val="FootnoteText"/>
        <w:rPr>
          <w:sz w:val="16"/>
          <w:szCs w:val="16"/>
        </w:rPr>
      </w:pPr>
      <w:r w:rsidRPr="00FE58CB">
        <w:rPr>
          <w:rStyle w:val="FootnoteReference"/>
          <w:sz w:val="16"/>
          <w:szCs w:val="16"/>
        </w:rPr>
        <w:footnoteRef/>
      </w:r>
      <w:r w:rsidRPr="00FE58CB">
        <w:rPr>
          <w:sz w:val="16"/>
          <w:szCs w:val="16"/>
        </w:rPr>
        <w:t>Empagliflozin not included in ADS guidelines. Dosing information taken from manufacturer’s Product Information.</w:t>
      </w:r>
    </w:p>
    <w:p w:rsidR="000F0440" w:rsidRPr="00730B6F" w:rsidRDefault="000F0440" w:rsidP="000F0440">
      <w:pPr>
        <w:pStyle w:val="FootnoteText"/>
        <w:rPr>
          <w:sz w:val="14"/>
          <w:szCs w:val="14"/>
        </w:rPr>
      </w:pPr>
      <w:r w:rsidRPr="00FE58CB">
        <w:rPr>
          <w:sz w:val="16"/>
          <w:szCs w:val="16"/>
        </w:rPr>
        <w:t>*Average eGFR calculated from the two most recent eGFR results within 3.5 year period prior to prescription date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  <w:docVar w:name="Total_Editing_Time" w:val="2"/>
  </w:docVars>
  <w:rsids>
    <w:rsidRoot w:val="000F0440"/>
    <w:rsid w:val="000F0440"/>
    <w:rsid w:val="001D286C"/>
    <w:rsid w:val="00362FB9"/>
    <w:rsid w:val="0037373F"/>
    <w:rsid w:val="006B237B"/>
    <w:rsid w:val="00C60193"/>
    <w:rsid w:val="00E4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4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0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0F04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F04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0F0440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0F044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0F0440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F0440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F0440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F0440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0F044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F044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4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0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0F04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F04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0F0440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0F044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0F0440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F0440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F0440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F0440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0F044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F04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mhonline.amh.net.a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1328</Characters>
  <Application>Microsoft Office Word</Application>
  <DocSecurity>0</DocSecurity>
  <Lines>94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Jo-Anne Manski-Nankervis</dc:creator>
  <cp:keywords/>
  <dc:description/>
  <cp:lastModifiedBy>AOMANGAY</cp:lastModifiedBy>
  <cp:revision>4</cp:revision>
  <dcterms:created xsi:type="dcterms:W3CDTF">2019-01-20T23:36:00Z</dcterms:created>
  <dcterms:modified xsi:type="dcterms:W3CDTF">2019-01-31T03:38:00Z</dcterms:modified>
</cp:coreProperties>
</file>