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F92" w:rsidRPr="00D91BF8" w:rsidRDefault="00E913AF" w:rsidP="00D91BF8">
      <w:pPr>
        <w:pBdr>
          <w:bottom w:val="single" w:sz="4" w:space="1" w:color="auto"/>
        </w:pBdr>
        <w:spacing w:line="360" w:lineRule="auto"/>
        <w:jc w:val="both"/>
        <w:rPr>
          <w:rFonts w:ascii="Helvetica" w:hAnsi="Helvetica"/>
          <w:b/>
          <w:sz w:val="20"/>
          <w:szCs w:val="20"/>
          <w:lang w:val="en-US"/>
        </w:rPr>
      </w:pPr>
      <w:r>
        <w:rPr>
          <w:rFonts w:ascii="Helvetica" w:hAnsi="Helvetica"/>
          <w:b/>
          <w:sz w:val="20"/>
          <w:szCs w:val="20"/>
          <w:lang w:val="en-US"/>
        </w:rPr>
        <w:t>Supplementary D</w:t>
      </w:r>
      <w:r w:rsidR="00D91BF8" w:rsidRPr="00D91BF8">
        <w:rPr>
          <w:rFonts w:ascii="Helvetica" w:hAnsi="Helvetica"/>
          <w:b/>
          <w:sz w:val="20"/>
          <w:szCs w:val="20"/>
          <w:lang w:val="en-US"/>
        </w:rPr>
        <w:t>ata</w:t>
      </w:r>
      <w:r>
        <w:rPr>
          <w:rFonts w:ascii="Helvetica" w:hAnsi="Helvetica"/>
          <w:b/>
          <w:sz w:val="20"/>
          <w:szCs w:val="20"/>
          <w:lang w:val="en-US"/>
        </w:rPr>
        <w:t xml:space="preserve"> Table S1</w:t>
      </w:r>
      <w:r w:rsidR="00D91BF8" w:rsidRPr="00D91BF8">
        <w:rPr>
          <w:rFonts w:ascii="Helvetica" w:hAnsi="Helvetica"/>
          <w:b/>
          <w:sz w:val="20"/>
          <w:szCs w:val="20"/>
          <w:lang w:val="en-US"/>
        </w:rPr>
        <w:t>:</w:t>
      </w:r>
      <w:r w:rsidR="00A66F92" w:rsidRPr="00D91BF8">
        <w:rPr>
          <w:rFonts w:ascii="Helvetica" w:hAnsi="Helvetica"/>
          <w:b/>
          <w:sz w:val="20"/>
          <w:szCs w:val="20"/>
          <w:lang w:val="en-US"/>
        </w:rPr>
        <w:t xml:space="preserve"> </w:t>
      </w:r>
      <w:r w:rsidR="00A66F92" w:rsidRPr="00D91BF8">
        <w:rPr>
          <w:rFonts w:ascii="Helvetica" w:hAnsi="Helvetica"/>
          <w:sz w:val="20"/>
          <w:szCs w:val="20"/>
          <w:lang w:val="en-US"/>
        </w:rPr>
        <w:t>Cost calculations</w:t>
      </w:r>
      <w:r w:rsidR="00464812">
        <w:rPr>
          <w:rFonts w:ascii="Helvetica" w:hAnsi="Helvetica"/>
          <w:sz w:val="20"/>
          <w:szCs w:val="20"/>
          <w:lang w:val="en-US"/>
        </w:rPr>
        <w:t xml:space="preserve"> per cost category (year of financial data=2012)</w:t>
      </w:r>
    </w:p>
    <w:p w:rsidR="00D91BF8" w:rsidRDefault="00D91BF8" w:rsidP="00D91BF8">
      <w:pPr>
        <w:pStyle w:val="ListParagraph1"/>
        <w:spacing w:line="360" w:lineRule="auto"/>
        <w:ind w:left="0"/>
        <w:jc w:val="both"/>
        <w:rPr>
          <w:rFonts w:ascii="Helvetica" w:hAnsi="Helvetica" w:cs="Arial"/>
          <w:b/>
          <w:sz w:val="20"/>
          <w:szCs w:val="20"/>
          <w:lang w:val="en-US"/>
        </w:rPr>
      </w:pPr>
    </w:p>
    <w:p w:rsidR="00A66F92" w:rsidRPr="00D91BF8" w:rsidRDefault="00A66F92" w:rsidP="00D91BF8">
      <w:pPr>
        <w:pStyle w:val="ListParagraph1"/>
        <w:spacing w:line="360" w:lineRule="auto"/>
        <w:ind w:left="0"/>
        <w:jc w:val="both"/>
        <w:rPr>
          <w:rFonts w:ascii="Helvetica" w:hAnsi="Helvetica" w:cs="Arial"/>
          <w:b/>
          <w:sz w:val="20"/>
          <w:szCs w:val="20"/>
          <w:lang w:val="en-US"/>
        </w:rPr>
      </w:pPr>
      <w:r w:rsidRPr="00D91BF8">
        <w:rPr>
          <w:rFonts w:ascii="Helvetica" w:hAnsi="Helvetica" w:cs="Arial"/>
          <w:b/>
          <w:sz w:val="20"/>
          <w:szCs w:val="20"/>
          <w:lang w:val="en-US"/>
        </w:rPr>
        <w:t xml:space="preserve">(i) Intervention costs </w:t>
      </w:r>
    </w:p>
    <w:p w:rsidR="00A66F92" w:rsidRPr="006C3B86" w:rsidRDefault="00A66F92" w:rsidP="00D91BF8">
      <w:pPr>
        <w:pStyle w:val="ListParagraph1"/>
        <w:spacing w:line="360" w:lineRule="auto"/>
        <w:ind w:left="0"/>
        <w:jc w:val="both"/>
        <w:rPr>
          <w:rFonts w:ascii="Helvetica" w:hAnsi="Helvetica"/>
          <w:sz w:val="20"/>
          <w:szCs w:val="20"/>
          <w:lang w:val="en-GB"/>
        </w:rPr>
      </w:pPr>
      <w:r w:rsidRPr="006C3B86">
        <w:rPr>
          <w:rFonts w:ascii="Helvetica" w:hAnsi="Helvetica" w:cs="Arial"/>
          <w:sz w:val="20"/>
          <w:szCs w:val="20"/>
          <w:lang w:val="en-US"/>
        </w:rPr>
        <w:t xml:space="preserve">The intervention costs were calculated using a bottom-up approach (see </w:t>
      </w:r>
      <w:r w:rsidRPr="006C3B86">
        <w:rPr>
          <w:rFonts w:ascii="Helvetica" w:hAnsi="Helvetica" w:cs="Arial"/>
          <w:b/>
          <w:sz w:val="20"/>
          <w:szCs w:val="20"/>
          <w:lang w:val="en-US"/>
        </w:rPr>
        <w:t>table a.1</w:t>
      </w:r>
      <w:r w:rsidRPr="006C3B86">
        <w:rPr>
          <w:rFonts w:ascii="Helvetica" w:hAnsi="Helvetica" w:cs="Arial"/>
          <w:sz w:val="20"/>
          <w:szCs w:val="20"/>
          <w:lang w:val="en-US"/>
        </w:rPr>
        <w:t>). In order to calculate the per patient intervention costs, the average</w:t>
      </w:r>
      <w:r w:rsidRPr="006C3B86">
        <w:rPr>
          <w:rFonts w:ascii="Helvetica" w:hAnsi="Helvetica"/>
          <w:color w:val="000000"/>
          <w:sz w:val="20"/>
          <w:szCs w:val="20"/>
          <w:lang w:val="en-GB" w:eastAsia="en-GB"/>
        </w:rPr>
        <w:t xml:space="preserve"> number of working patients per GP practice (672,8) was multiplied with the number of GP practices included in the intervention (12) (per trainer approximately 6 GPs in one group, per training 12 GPs). It is important to note that </w:t>
      </w:r>
      <w:r w:rsidRPr="006C3B86">
        <w:rPr>
          <w:rFonts w:ascii="Helvetica" w:hAnsi="Helvetica"/>
          <w:sz w:val="20"/>
          <w:szCs w:val="20"/>
          <w:lang w:val="en-GB"/>
        </w:rPr>
        <w:t>when the number of working patients per GPs,  or the number of GPs being trained, would increase, the total intervention costs would further decrease.</w:t>
      </w:r>
    </w:p>
    <w:p w:rsidR="00D91BF8" w:rsidRDefault="00D91BF8" w:rsidP="00D91BF8">
      <w:pPr>
        <w:pStyle w:val="ListParagraph1"/>
        <w:spacing w:after="0" w:line="360" w:lineRule="auto"/>
        <w:ind w:left="0"/>
        <w:jc w:val="both"/>
        <w:rPr>
          <w:rFonts w:ascii="Helvetica" w:hAnsi="Helvetica"/>
          <w:b/>
          <w:i/>
          <w:sz w:val="20"/>
          <w:szCs w:val="20"/>
          <w:lang w:val="en-GB"/>
        </w:rPr>
      </w:pPr>
    </w:p>
    <w:p w:rsidR="00A66F92" w:rsidRPr="00D91BF8" w:rsidRDefault="00A66F92" w:rsidP="00D91BF8">
      <w:pPr>
        <w:pStyle w:val="ListParagraph1"/>
        <w:spacing w:after="0" w:line="360" w:lineRule="auto"/>
        <w:ind w:left="0"/>
        <w:jc w:val="both"/>
        <w:rPr>
          <w:rFonts w:ascii="Helvetica" w:hAnsi="Helvetica" w:cs="Arial"/>
          <w:sz w:val="20"/>
          <w:szCs w:val="20"/>
          <w:lang w:val="en-US"/>
        </w:rPr>
      </w:pPr>
      <w:r w:rsidRPr="00D91BF8">
        <w:rPr>
          <w:rFonts w:ascii="Helvetica" w:hAnsi="Helvetica"/>
          <w:b/>
          <w:sz w:val="20"/>
          <w:szCs w:val="20"/>
          <w:lang w:val="en-GB"/>
        </w:rPr>
        <w:t>Table a.1</w:t>
      </w:r>
      <w:r w:rsidRPr="00D91BF8">
        <w:rPr>
          <w:rFonts w:ascii="Helvetica" w:hAnsi="Helvetica"/>
          <w:sz w:val="20"/>
          <w:szCs w:val="20"/>
          <w:lang w:val="en-GB"/>
        </w:rPr>
        <w:t xml:space="preserve"> Intervention costs</w:t>
      </w:r>
    </w:p>
    <w:tbl>
      <w:tblPr>
        <w:tblW w:w="9642" w:type="dxa"/>
        <w:tblBorders>
          <w:insideH w:val="single" w:sz="4" w:space="0" w:color="auto"/>
          <w:insideV w:val="single" w:sz="4" w:space="0" w:color="auto"/>
        </w:tblBorders>
        <w:tblLook w:val="04A0"/>
      </w:tblPr>
      <w:tblGrid>
        <w:gridCol w:w="2977"/>
        <w:gridCol w:w="5245"/>
        <w:gridCol w:w="1420"/>
      </w:tblGrid>
      <w:tr w:rsidR="00A66F92" w:rsidRPr="006C3B86" w:rsidTr="00464812">
        <w:trPr>
          <w:trHeight w:val="20"/>
        </w:trPr>
        <w:tc>
          <w:tcPr>
            <w:tcW w:w="2977" w:type="dxa"/>
            <w:shd w:val="clear" w:color="auto" w:fill="auto"/>
            <w:hideMark/>
          </w:tcPr>
          <w:p w:rsidR="00A66F92" w:rsidRPr="006C3B86" w:rsidRDefault="00A66F92" w:rsidP="00D91BF8">
            <w:pPr>
              <w:spacing w:line="360" w:lineRule="auto"/>
              <w:jc w:val="both"/>
              <w:rPr>
                <w:rFonts w:ascii="Helvetica" w:hAnsi="Helvetica"/>
                <w:b/>
                <w:bCs/>
                <w:color w:val="000000"/>
                <w:sz w:val="20"/>
                <w:szCs w:val="20"/>
                <w:lang w:val="en-GB" w:eastAsia="en-GB"/>
              </w:rPr>
            </w:pPr>
            <w:r w:rsidRPr="006C3B86">
              <w:rPr>
                <w:rFonts w:ascii="Helvetica" w:hAnsi="Helvetica"/>
                <w:b/>
                <w:bCs/>
                <w:color w:val="000000"/>
                <w:sz w:val="20"/>
                <w:szCs w:val="20"/>
                <w:lang w:val="en-GB" w:eastAsia="en-GB"/>
              </w:rPr>
              <w:t>Type of cost factor</w:t>
            </w:r>
          </w:p>
        </w:tc>
        <w:tc>
          <w:tcPr>
            <w:tcW w:w="5245" w:type="dxa"/>
            <w:shd w:val="clear" w:color="auto" w:fill="auto"/>
            <w:hideMark/>
          </w:tcPr>
          <w:p w:rsidR="00A66F92" w:rsidRPr="006C3B86" w:rsidRDefault="00A66F92" w:rsidP="00D91BF8">
            <w:pPr>
              <w:spacing w:line="360" w:lineRule="auto"/>
              <w:jc w:val="both"/>
              <w:rPr>
                <w:rFonts w:ascii="Helvetica" w:hAnsi="Helvetica"/>
                <w:b/>
                <w:bCs/>
                <w:color w:val="000000"/>
                <w:sz w:val="20"/>
                <w:szCs w:val="20"/>
                <w:lang w:val="en-GB" w:eastAsia="en-GB"/>
              </w:rPr>
            </w:pPr>
            <w:r w:rsidRPr="006C3B86">
              <w:rPr>
                <w:rFonts w:ascii="Helvetica" w:hAnsi="Helvetica"/>
                <w:b/>
                <w:bCs/>
                <w:color w:val="000000"/>
                <w:sz w:val="20"/>
                <w:szCs w:val="20"/>
                <w:lang w:val="en-GB" w:eastAsia="en-GB"/>
              </w:rPr>
              <w:t>Calculation</w:t>
            </w:r>
          </w:p>
        </w:tc>
        <w:tc>
          <w:tcPr>
            <w:tcW w:w="1420" w:type="dxa"/>
            <w:shd w:val="clear" w:color="auto" w:fill="auto"/>
            <w:hideMark/>
          </w:tcPr>
          <w:p w:rsidR="00A66F92" w:rsidRPr="006C3B86" w:rsidRDefault="00A66F92" w:rsidP="00D91BF8">
            <w:pPr>
              <w:spacing w:line="360" w:lineRule="auto"/>
              <w:jc w:val="both"/>
              <w:rPr>
                <w:rFonts w:ascii="Helvetica" w:hAnsi="Helvetica"/>
                <w:b/>
                <w:bCs/>
                <w:color w:val="000000"/>
                <w:sz w:val="20"/>
                <w:szCs w:val="20"/>
                <w:lang w:val="en-GB" w:eastAsia="en-GB"/>
              </w:rPr>
            </w:pPr>
            <w:r w:rsidRPr="006C3B86">
              <w:rPr>
                <w:rFonts w:ascii="Helvetica" w:hAnsi="Helvetica"/>
                <w:b/>
                <w:bCs/>
                <w:color w:val="000000"/>
                <w:sz w:val="20"/>
                <w:szCs w:val="20"/>
                <w:lang w:val="en-GB" w:eastAsia="en-GB"/>
              </w:rPr>
              <w:t xml:space="preserve">Total Cost (€) </w:t>
            </w:r>
          </w:p>
        </w:tc>
      </w:tr>
      <w:tr w:rsidR="00A66F92" w:rsidRPr="006C3B86" w:rsidTr="00464812">
        <w:trPr>
          <w:trHeight w:val="20"/>
        </w:trPr>
        <w:tc>
          <w:tcPr>
            <w:tcW w:w="2977" w:type="dxa"/>
            <w:shd w:val="clear" w:color="auto" w:fill="auto"/>
            <w:hideMark/>
          </w:tcPr>
          <w:p w:rsidR="00A66F92" w:rsidRPr="006C3B86" w:rsidRDefault="00A66F92" w:rsidP="00D91BF8">
            <w:pPr>
              <w:spacing w:line="360" w:lineRule="auto"/>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Personnel costs</w:t>
            </w:r>
          </w:p>
        </w:tc>
        <w:tc>
          <w:tcPr>
            <w:tcW w:w="5245" w:type="dxa"/>
            <w:shd w:val="clear" w:color="auto" w:fill="auto"/>
            <w:hideMark/>
          </w:tcPr>
          <w:p w:rsidR="00A66F92" w:rsidRPr="006C3B86" w:rsidRDefault="00A66F92" w:rsidP="00D91BF8">
            <w:pPr>
              <w:spacing w:line="360" w:lineRule="auto"/>
              <w:jc w:val="both"/>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 </w:t>
            </w:r>
          </w:p>
        </w:tc>
        <w:tc>
          <w:tcPr>
            <w:tcW w:w="1420" w:type="dxa"/>
            <w:shd w:val="clear" w:color="auto" w:fill="auto"/>
            <w:hideMark/>
          </w:tcPr>
          <w:p w:rsidR="00A66F92" w:rsidRPr="006C3B86" w:rsidRDefault="00A66F92" w:rsidP="00D91BF8">
            <w:pPr>
              <w:spacing w:line="360" w:lineRule="auto"/>
              <w:jc w:val="both"/>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 </w:t>
            </w:r>
          </w:p>
        </w:tc>
      </w:tr>
      <w:tr w:rsidR="00A66F92" w:rsidRPr="006C3B86" w:rsidTr="00464812">
        <w:trPr>
          <w:trHeight w:val="20"/>
        </w:trPr>
        <w:tc>
          <w:tcPr>
            <w:tcW w:w="2977"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Group training expert speaker</w:t>
            </w:r>
          </w:p>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(N=2)</w:t>
            </w:r>
          </w:p>
        </w:tc>
        <w:tc>
          <w:tcPr>
            <w:tcW w:w="5245" w:type="dxa"/>
            <w:shd w:val="clear" w:color="auto" w:fill="auto"/>
            <w:hideMark/>
          </w:tcPr>
          <w:p w:rsidR="00A66F92" w:rsidRPr="006C3B86" w:rsidRDefault="00A66F92" w:rsidP="00D91BF8">
            <w:pPr>
              <w:spacing w:line="360" w:lineRule="auto"/>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Time investment (10 hours)*hourly wage (€100)</w:t>
            </w:r>
          </w:p>
        </w:tc>
        <w:tc>
          <w:tcPr>
            <w:tcW w:w="1420"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1,000</w:t>
            </w:r>
          </w:p>
        </w:tc>
      </w:tr>
      <w:tr w:rsidR="00A66F92" w:rsidRPr="006C3B86" w:rsidTr="00464812">
        <w:trPr>
          <w:trHeight w:val="20"/>
        </w:trPr>
        <w:tc>
          <w:tcPr>
            <w:tcW w:w="2977" w:type="dxa"/>
            <w:shd w:val="clear" w:color="auto" w:fill="auto"/>
            <w:hideMark/>
          </w:tcPr>
          <w:p w:rsidR="00A66F92" w:rsidRPr="006C3B86" w:rsidRDefault="00D91BF8" w:rsidP="00D91BF8">
            <w:pPr>
              <w:spacing w:line="360" w:lineRule="auto"/>
              <w:rPr>
                <w:rFonts w:ascii="Helvetica" w:hAnsi="Helvetica"/>
                <w:color w:val="000000"/>
                <w:sz w:val="20"/>
                <w:szCs w:val="20"/>
                <w:lang w:val="en-GB" w:eastAsia="en-GB"/>
              </w:rPr>
            </w:pPr>
            <w:r>
              <w:rPr>
                <w:rFonts w:ascii="Helvetica" w:hAnsi="Helvetica"/>
                <w:color w:val="000000"/>
                <w:sz w:val="20"/>
                <w:szCs w:val="20"/>
                <w:lang w:val="en-GB" w:eastAsia="en-GB"/>
              </w:rPr>
              <w:t>Booster training expert</w:t>
            </w:r>
            <w:r w:rsidR="00A66F92" w:rsidRPr="006C3B86">
              <w:rPr>
                <w:rFonts w:ascii="Helvetica" w:hAnsi="Helvetica"/>
                <w:color w:val="000000"/>
                <w:sz w:val="20"/>
                <w:szCs w:val="20"/>
                <w:lang w:val="en-GB" w:eastAsia="en-GB"/>
              </w:rPr>
              <w:t xml:space="preserve"> speaker </w:t>
            </w:r>
          </w:p>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(N=2)</w:t>
            </w:r>
          </w:p>
        </w:tc>
        <w:tc>
          <w:tcPr>
            <w:tcW w:w="5245" w:type="dxa"/>
            <w:shd w:val="clear" w:color="auto" w:fill="auto"/>
            <w:hideMark/>
          </w:tcPr>
          <w:p w:rsidR="00A66F92" w:rsidRPr="006C3B86" w:rsidRDefault="00A66F92" w:rsidP="00D91BF8">
            <w:pPr>
              <w:spacing w:line="360" w:lineRule="auto"/>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Time investment (6 hours)*hourly wage (€100)</w:t>
            </w:r>
          </w:p>
        </w:tc>
        <w:tc>
          <w:tcPr>
            <w:tcW w:w="1420"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600</w:t>
            </w:r>
          </w:p>
        </w:tc>
      </w:tr>
      <w:tr w:rsidR="00A66F92" w:rsidRPr="006C3B86" w:rsidTr="00464812">
        <w:trPr>
          <w:trHeight w:val="20"/>
        </w:trPr>
        <w:tc>
          <w:tcPr>
            <w:tcW w:w="2977"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 xml:space="preserve">Preparation and travel time </w:t>
            </w:r>
          </w:p>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(for 2 trainers)</w:t>
            </w:r>
          </w:p>
        </w:tc>
        <w:tc>
          <w:tcPr>
            <w:tcW w:w="5245" w:type="dxa"/>
            <w:shd w:val="clear" w:color="auto" w:fill="auto"/>
            <w:hideMark/>
          </w:tcPr>
          <w:p w:rsidR="00A66F92" w:rsidRPr="006C3B86" w:rsidRDefault="00A66F92" w:rsidP="00D91BF8">
            <w:pPr>
              <w:spacing w:line="360" w:lineRule="auto"/>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Time investment (16 hours)*hourly wage (€100)</w:t>
            </w:r>
          </w:p>
        </w:tc>
        <w:tc>
          <w:tcPr>
            <w:tcW w:w="1420"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1600</w:t>
            </w:r>
          </w:p>
        </w:tc>
      </w:tr>
      <w:tr w:rsidR="00A66F92" w:rsidRPr="006C3B86" w:rsidTr="00464812">
        <w:trPr>
          <w:trHeight w:val="324"/>
        </w:trPr>
        <w:tc>
          <w:tcPr>
            <w:tcW w:w="2977" w:type="dxa"/>
            <w:shd w:val="clear" w:color="auto" w:fill="auto"/>
            <w:hideMark/>
          </w:tcPr>
          <w:p w:rsidR="00A66F92" w:rsidRPr="006C3B86" w:rsidRDefault="00A66F92" w:rsidP="00D91BF8">
            <w:pPr>
              <w:spacing w:line="360" w:lineRule="auto"/>
              <w:rPr>
                <w:rFonts w:ascii="Helvetica" w:hAnsi="Helvetica"/>
                <w:b/>
                <w:i/>
                <w:iCs/>
                <w:color w:val="000000"/>
                <w:sz w:val="20"/>
                <w:szCs w:val="20"/>
                <w:lang w:val="en-GB" w:eastAsia="en-GB"/>
              </w:rPr>
            </w:pPr>
            <w:r w:rsidRPr="006C3B86">
              <w:rPr>
                <w:rFonts w:ascii="Helvetica" w:hAnsi="Helvetica"/>
                <w:b/>
                <w:i/>
                <w:iCs/>
                <w:color w:val="000000"/>
                <w:sz w:val="20"/>
                <w:szCs w:val="20"/>
                <w:lang w:val="en-GB" w:eastAsia="en-GB"/>
              </w:rPr>
              <w:t>Total personnel costs</w:t>
            </w:r>
          </w:p>
        </w:tc>
        <w:tc>
          <w:tcPr>
            <w:tcW w:w="5245" w:type="dxa"/>
            <w:shd w:val="clear" w:color="auto" w:fill="auto"/>
            <w:hideMark/>
          </w:tcPr>
          <w:p w:rsidR="00A66F92" w:rsidRPr="006C3B86" w:rsidRDefault="00A66F92" w:rsidP="00D91BF8">
            <w:pPr>
              <w:spacing w:line="360" w:lineRule="auto"/>
              <w:rPr>
                <w:rFonts w:ascii="Helvetica" w:hAnsi="Helvetica"/>
                <w:b/>
                <w:iCs/>
                <w:color w:val="000000"/>
                <w:sz w:val="20"/>
                <w:szCs w:val="20"/>
                <w:lang w:val="en-GB" w:eastAsia="en-GB"/>
              </w:rPr>
            </w:pPr>
          </w:p>
        </w:tc>
        <w:tc>
          <w:tcPr>
            <w:tcW w:w="1420" w:type="dxa"/>
            <w:shd w:val="clear" w:color="auto" w:fill="auto"/>
            <w:hideMark/>
          </w:tcPr>
          <w:p w:rsidR="00A66F92" w:rsidRPr="006C3B86" w:rsidRDefault="00A66F92" w:rsidP="00D91BF8">
            <w:pPr>
              <w:spacing w:line="360" w:lineRule="auto"/>
              <w:rPr>
                <w:rFonts w:ascii="Helvetica" w:hAnsi="Helvetica"/>
                <w:b/>
                <w:bCs/>
                <w:i/>
                <w:iCs/>
                <w:color w:val="000000"/>
                <w:sz w:val="20"/>
                <w:szCs w:val="20"/>
                <w:lang w:val="en-GB" w:eastAsia="en-GB"/>
              </w:rPr>
            </w:pPr>
            <w:r w:rsidRPr="006C3B86">
              <w:rPr>
                <w:rFonts w:ascii="Helvetica" w:hAnsi="Helvetica"/>
                <w:b/>
                <w:bCs/>
                <w:i/>
                <w:iCs/>
                <w:color w:val="000000"/>
                <w:sz w:val="20"/>
                <w:szCs w:val="20"/>
                <w:lang w:val="en-GB" w:eastAsia="en-GB"/>
              </w:rPr>
              <w:t>3,200</w:t>
            </w:r>
          </w:p>
        </w:tc>
      </w:tr>
      <w:tr w:rsidR="00A66F92" w:rsidRPr="006C3B86" w:rsidTr="00464812">
        <w:trPr>
          <w:trHeight w:val="20"/>
        </w:trPr>
        <w:tc>
          <w:tcPr>
            <w:tcW w:w="2977" w:type="dxa"/>
            <w:shd w:val="clear" w:color="auto" w:fill="auto"/>
            <w:hideMark/>
          </w:tcPr>
          <w:p w:rsidR="00A66F92" w:rsidRPr="006C3B86" w:rsidRDefault="00A66F92" w:rsidP="00D91BF8">
            <w:pPr>
              <w:spacing w:line="360" w:lineRule="auto"/>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Material costs</w:t>
            </w:r>
          </w:p>
        </w:tc>
        <w:tc>
          <w:tcPr>
            <w:tcW w:w="5245"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 </w:t>
            </w:r>
          </w:p>
        </w:tc>
        <w:tc>
          <w:tcPr>
            <w:tcW w:w="1420"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 </w:t>
            </w:r>
          </w:p>
        </w:tc>
      </w:tr>
      <w:tr w:rsidR="00A66F92" w:rsidRPr="006C3B86" w:rsidTr="00464812">
        <w:trPr>
          <w:trHeight w:val="20"/>
        </w:trPr>
        <w:tc>
          <w:tcPr>
            <w:tcW w:w="2977"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 xml:space="preserve">Binders and materials </w:t>
            </w:r>
          </w:p>
        </w:tc>
        <w:tc>
          <w:tcPr>
            <w:tcW w:w="5245" w:type="dxa"/>
            <w:shd w:val="clear" w:color="auto" w:fill="auto"/>
            <w:hideMark/>
          </w:tcPr>
          <w:p w:rsidR="00A66F92" w:rsidRPr="006C3B86" w:rsidRDefault="00A66F92" w:rsidP="00D91BF8">
            <w:pPr>
              <w:spacing w:line="360" w:lineRule="auto"/>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Binders &amp; materials (€15)*number of attendees and trainers (14)</w:t>
            </w:r>
          </w:p>
        </w:tc>
        <w:tc>
          <w:tcPr>
            <w:tcW w:w="1420"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210</w:t>
            </w:r>
          </w:p>
        </w:tc>
      </w:tr>
      <w:tr w:rsidR="00A66F92" w:rsidRPr="006C3B86" w:rsidTr="00464812">
        <w:trPr>
          <w:trHeight w:val="20"/>
        </w:trPr>
        <w:tc>
          <w:tcPr>
            <w:tcW w:w="2977"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 xml:space="preserve">Training location </w:t>
            </w:r>
          </w:p>
        </w:tc>
        <w:tc>
          <w:tcPr>
            <w:tcW w:w="5245"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(costs location group training €1,317.75)+(costs booster training €122.15/2)</w:t>
            </w:r>
          </w:p>
        </w:tc>
        <w:tc>
          <w:tcPr>
            <w:tcW w:w="1420" w:type="dxa"/>
            <w:shd w:val="clear" w:color="auto" w:fill="auto"/>
            <w:hideMark/>
          </w:tcPr>
          <w:p w:rsidR="00A66F92" w:rsidRPr="006C3B86" w:rsidRDefault="00A66F92" w:rsidP="00D91BF8">
            <w:pPr>
              <w:spacing w:line="360" w:lineRule="auto"/>
              <w:rPr>
                <w:rFonts w:ascii="Helvetica" w:hAnsi="Helvetica"/>
                <w:color w:val="000000"/>
                <w:sz w:val="20"/>
                <w:szCs w:val="20"/>
                <w:lang w:val="en-GB" w:eastAsia="en-GB"/>
              </w:rPr>
            </w:pPr>
            <w:r w:rsidRPr="006C3B86">
              <w:rPr>
                <w:rFonts w:ascii="Helvetica" w:hAnsi="Helvetica"/>
                <w:color w:val="000000"/>
                <w:sz w:val="20"/>
                <w:szCs w:val="20"/>
                <w:lang w:val="en-GB" w:eastAsia="en-GB"/>
              </w:rPr>
              <w:t>479.97</w:t>
            </w:r>
          </w:p>
        </w:tc>
      </w:tr>
      <w:tr w:rsidR="00A66F92" w:rsidRPr="006C3B86" w:rsidTr="00464812">
        <w:trPr>
          <w:trHeight w:val="318"/>
        </w:trPr>
        <w:tc>
          <w:tcPr>
            <w:tcW w:w="2977" w:type="dxa"/>
            <w:shd w:val="clear" w:color="auto" w:fill="auto"/>
            <w:hideMark/>
          </w:tcPr>
          <w:p w:rsidR="00A66F92" w:rsidRPr="006C3B86" w:rsidRDefault="00A66F92" w:rsidP="00D91BF8">
            <w:pPr>
              <w:spacing w:line="360" w:lineRule="auto"/>
              <w:rPr>
                <w:rFonts w:ascii="Helvetica" w:hAnsi="Helvetica"/>
                <w:b/>
                <w:i/>
                <w:iCs/>
                <w:color w:val="000000"/>
                <w:sz w:val="20"/>
                <w:szCs w:val="20"/>
                <w:lang w:val="en-GB" w:eastAsia="en-GB"/>
              </w:rPr>
            </w:pPr>
            <w:r w:rsidRPr="006C3B86">
              <w:rPr>
                <w:rFonts w:ascii="Helvetica" w:hAnsi="Helvetica"/>
                <w:b/>
                <w:i/>
                <w:iCs/>
                <w:color w:val="000000"/>
                <w:sz w:val="20"/>
                <w:szCs w:val="20"/>
                <w:lang w:val="en-GB" w:eastAsia="en-GB"/>
              </w:rPr>
              <w:t>Total material costs</w:t>
            </w:r>
          </w:p>
        </w:tc>
        <w:tc>
          <w:tcPr>
            <w:tcW w:w="5245" w:type="dxa"/>
            <w:shd w:val="clear" w:color="auto" w:fill="auto"/>
            <w:noWrap/>
            <w:hideMark/>
          </w:tcPr>
          <w:p w:rsidR="00A66F92" w:rsidRPr="006C3B86" w:rsidRDefault="00A66F92" w:rsidP="00D91BF8">
            <w:pPr>
              <w:spacing w:line="360" w:lineRule="auto"/>
              <w:rPr>
                <w:rFonts w:ascii="Helvetica" w:hAnsi="Helvetica"/>
                <w:b/>
                <w:color w:val="000000"/>
                <w:sz w:val="20"/>
                <w:szCs w:val="20"/>
                <w:lang w:val="en-GB" w:eastAsia="en-GB"/>
              </w:rPr>
            </w:pPr>
            <w:r w:rsidRPr="006C3B86">
              <w:rPr>
                <w:rFonts w:ascii="Helvetica" w:hAnsi="Helvetica"/>
                <w:b/>
                <w:color w:val="000000"/>
                <w:sz w:val="20"/>
                <w:szCs w:val="20"/>
                <w:lang w:val="en-GB" w:eastAsia="en-GB"/>
              </w:rPr>
              <w:t> </w:t>
            </w:r>
          </w:p>
        </w:tc>
        <w:tc>
          <w:tcPr>
            <w:tcW w:w="1420" w:type="dxa"/>
            <w:shd w:val="clear" w:color="auto" w:fill="auto"/>
            <w:noWrap/>
            <w:hideMark/>
          </w:tcPr>
          <w:p w:rsidR="00A66F92" w:rsidRPr="006C3B86" w:rsidRDefault="00A66F92" w:rsidP="00D91BF8">
            <w:pPr>
              <w:spacing w:line="360" w:lineRule="auto"/>
              <w:rPr>
                <w:rFonts w:ascii="Helvetica" w:hAnsi="Helvetica"/>
                <w:b/>
                <w:bCs/>
                <w:i/>
                <w:color w:val="000000"/>
                <w:sz w:val="20"/>
                <w:szCs w:val="20"/>
                <w:lang w:val="en-GB" w:eastAsia="en-GB"/>
              </w:rPr>
            </w:pPr>
            <w:r w:rsidRPr="006C3B86">
              <w:rPr>
                <w:rFonts w:ascii="Helvetica" w:hAnsi="Helvetica"/>
                <w:b/>
                <w:bCs/>
                <w:i/>
                <w:color w:val="000000"/>
                <w:sz w:val="20"/>
                <w:szCs w:val="20"/>
                <w:lang w:val="en-GB" w:eastAsia="en-GB"/>
              </w:rPr>
              <w:t>689.97</w:t>
            </w:r>
          </w:p>
        </w:tc>
      </w:tr>
      <w:tr w:rsidR="00A66F92" w:rsidRPr="006C3B86" w:rsidTr="00464812">
        <w:trPr>
          <w:trHeight w:val="363"/>
        </w:trPr>
        <w:tc>
          <w:tcPr>
            <w:tcW w:w="2977" w:type="dxa"/>
            <w:shd w:val="clear" w:color="auto" w:fill="auto"/>
            <w:hideMark/>
          </w:tcPr>
          <w:p w:rsidR="00A66F92" w:rsidRPr="006C3B86" w:rsidRDefault="00A66F92" w:rsidP="00D91BF8">
            <w:pPr>
              <w:spacing w:line="360" w:lineRule="auto"/>
              <w:rPr>
                <w:rFonts w:ascii="Helvetica" w:hAnsi="Helvetica"/>
                <w:b/>
                <w:bCs/>
                <w:i/>
                <w:color w:val="000000"/>
                <w:sz w:val="20"/>
                <w:szCs w:val="20"/>
                <w:lang w:val="en-GB" w:eastAsia="en-GB"/>
              </w:rPr>
            </w:pPr>
            <w:r w:rsidRPr="006C3B86">
              <w:rPr>
                <w:rFonts w:ascii="Helvetica" w:hAnsi="Helvetica"/>
                <w:b/>
                <w:bCs/>
                <w:i/>
                <w:color w:val="000000"/>
                <w:sz w:val="20"/>
                <w:szCs w:val="20"/>
                <w:lang w:val="en-GB" w:eastAsia="en-GB"/>
              </w:rPr>
              <w:t>Total intervention costs</w:t>
            </w:r>
          </w:p>
        </w:tc>
        <w:tc>
          <w:tcPr>
            <w:tcW w:w="5245" w:type="dxa"/>
            <w:shd w:val="clear" w:color="auto" w:fill="auto"/>
            <w:hideMark/>
          </w:tcPr>
          <w:p w:rsidR="00A66F92" w:rsidRPr="006C3B86" w:rsidRDefault="00A66F92" w:rsidP="00D91BF8">
            <w:pPr>
              <w:spacing w:line="360" w:lineRule="auto"/>
              <w:rPr>
                <w:rFonts w:ascii="Helvetica" w:hAnsi="Helvetica"/>
                <w:b/>
                <w:bCs/>
                <w:i/>
                <w:color w:val="000000"/>
                <w:sz w:val="20"/>
                <w:szCs w:val="20"/>
                <w:lang w:val="en-GB" w:eastAsia="en-GB"/>
              </w:rPr>
            </w:pPr>
            <w:r w:rsidRPr="006C3B86">
              <w:rPr>
                <w:rFonts w:ascii="Helvetica" w:hAnsi="Helvetica"/>
                <w:b/>
                <w:bCs/>
                <w:i/>
                <w:color w:val="000000"/>
                <w:sz w:val="20"/>
                <w:szCs w:val="20"/>
                <w:lang w:val="en-GB" w:eastAsia="en-GB"/>
              </w:rPr>
              <w:t> </w:t>
            </w:r>
          </w:p>
        </w:tc>
        <w:tc>
          <w:tcPr>
            <w:tcW w:w="1420" w:type="dxa"/>
            <w:shd w:val="clear" w:color="auto" w:fill="auto"/>
            <w:hideMark/>
          </w:tcPr>
          <w:p w:rsidR="00A66F92" w:rsidRPr="006C3B86" w:rsidRDefault="00A66F92" w:rsidP="00D91BF8">
            <w:pPr>
              <w:spacing w:line="360" w:lineRule="auto"/>
              <w:rPr>
                <w:rFonts w:ascii="Helvetica" w:hAnsi="Helvetica"/>
                <w:b/>
                <w:bCs/>
                <w:i/>
                <w:color w:val="000000"/>
                <w:sz w:val="20"/>
                <w:szCs w:val="20"/>
                <w:lang w:val="en-GB" w:eastAsia="en-GB"/>
              </w:rPr>
            </w:pPr>
            <w:r w:rsidRPr="006C3B86">
              <w:rPr>
                <w:rFonts w:ascii="Helvetica" w:hAnsi="Helvetica"/>
                <w:b/>
                <w:bCs/>
                <w:i/>
                <w:color w:val="000000"/>
                <w:sz w:val="20"/>
                <w:szCs w:val="20"/>
                <w:lang w:val="en-GB" w:eastAsia="en-GB"/>
              </w:rPr>
              <w:t>3,889.97</w:t>
            </w:r>
          </w:p>
        </w:tc>
      </w:tr>
      <w:tr w:rsidR="00A66F92" w:rsidRPr="006C3B86" w:rsidTr="00464812">
        <w:trPr>
          <w:trHeight w:val="581"/>
        </w:trPr>
        <w:tc>
          <w:tcPr>
            <w:tcW w:w="2977" w:type="dxa"/>
            <w:shd w:val="clear" w:color="auto" w:fill="auto"/>
            <w:hideMark/>
          </w:tcPr>
          <w:p w:rsidR="00A66F92" w:rsidRPr="006C3B86" w:rsidRDefault="00A66F92" w:rsidP="00D91BF8">
            <w:pPr>
              <w:spacing w:line="360" w:lineRule="auto"/>
              <w:rPr>
                <w:rFonts w:ascii="Helvetica" w:hAnsi="Helvetica"/>
                <w:b/>
                <w:bCs/>
                <w:color w:val="000000"/>
                <w:sz w:val="20"/>
                <w:szCs w:val="20"/>
                <w:lang w:val="en-GB" w:eastAsia="en-GB"/>
              </w:rPr>
            </w:pPr>
            <w:r w:rsidRPr="006C3B86">
              <w:rPr>
                <w:rFonts w:ascii="Helvetica" w:hAnsi="Helvetica"/>
                <w:b/>
                <w:bCs/>
                <w:color w:val="000000"/>
                <w:sz w:val="20"/>
                <w:szCs w:val="20"/>
                <w:lang w:val="en-GB" w:eastAsia="en-GB"/>
              </w:rPr>
              <w:t>Per Patient Intervention Costs</w:t>
            </w:r>
          </w:p>
        </w:tc>
        <w:tc>
          <w:tcPr>
            <w:tcW w:w="5245" w:type="dxa"/>
            <w:shd w:val="clear" w:color="auto" w:fill="auto"/>
            <w:hideMark/>
          </w:tcPr>
          <w:p w:rsidR="00A66F92" w:rsidRPr="006C3B86" w:rsidRDefault="00A66F92" w:rsidP="00D91BF8">
            <w:pPr>
              <w:spacing w:line="360" w:lineRule="auto"/>
              <w:rPr>
                <w:rFonts w:ascii="Helvetica" w:hAnsi="Helvetica"/>
                <w:iCs/>
                <w:color w:val="000000"/>
                <w:sz w:val="20"/>
                <w:szCs w:val="20"/>
                <w:lang w:val="en-GB" w:eastAsia="en-GB"/>
              </w:rPr>
            </w:pPr>
            <w:r w:rsidRPr="006C3B86">
              <w:rPr>
                <w:rFonts w:ascii="Helvetica" w:hAnsi="Helvetica"/>
                <w:iCs/>
                <w:color w:val="000000"/>
                <w:sz w:val="20"/>
                <w:szCs w:val="20"/>
                <w:lang w:val="en-GB" w:eastAsia="en-GB"/>
              </w:rPr>
              <w:t>total intervention costs / patients being served by the intervention (N=8,074)</w:t>
            </w:r>
          </w:p>
        </w:tc>
        <w:tc>
          <w:tcPr>
            <w:tcW w:w="1420" w:type="dxa"/>
            <w:shd w:val="clear" w:color="auto" w:fill="auto"/>
            <w:hideMark/>
          </w:tcPr>
          <w:p w:rsidR="00A66F92" w:rsidRPr="006C3B86" w:rsidRDefault="00A66F92" w:rsidP="00D91BF8">
            <w:pPr>
              <w:spacing w:line="360" w:lineRule="auto"/>
              <w:rPr>
                <w:rFonts w:ascii="Helvetica" w:hAnsi="Helvetica"/>
                <w:b/>
                <w:bCs/>
                <w:color w:val="000000"/>
                <w:sz w:val="20"/>
                <w:szCs w:val="20"/>
                <w:lang w:val="en-GB" w:eastAsia="en-GB"/>
              </w:rPr>
            </w:pPr>
            <w:r w:rsidRPr="006C3B86">
              <w:rPr>
                <w:rFonts w:ascii="Helvetica" w:hAnsi="Helvetica"/>
                <w:b/>
                <w:bCs/>
                <w:color w:val="000000"/>
                <w:sz w:val="20"/>
                <w:szCs w:val="20"/>
                <w:lang w:val="en-GB" w:eastAsia="en-GB"/>
              </w:rPr>
              <w:t>0.48</w:t>
            </w:r>
          </w:p>
        </w:tc>
      </w:tr>
    </w:tbl>
    <w:p w:rsidR="00D91BF8" w:rsidRDefault="00D91BF8" w:rsidP="00D91BF8">
      <w:pPr>
        <w:spacing w:line="360" w:lineRule="auto"/>
        <w:rPr>
          <w:rFonts w:ascii="Helvetica" w:hAnsi="Helvetica"/>
          <w:b/>
          <w:i/>
          <w:sz w:val="20"/>
          <w:szCs w:val="20"/>
          <w:lang w:val="en-US"/>
        </w:rPr>
      </w:pPr>
    </w:p>
    <w:p w:rsidR="00A66F92" w:rsidRPr="00D91BF8" w:rsidRDefault="00A66F92" w:rsidP="00D91BF8">
      <w:pPr>
        <w:spacing w:line="360" w:lineRule="auto"/>
        <w:rPr>
          <w:rFonts w:ascii="Helvetica" w:hAnsi="Helvetica"/>
          <w:b/>
          <w:sz w:val="20"/>
          <w:szCs w:val="20"/>
          <w:lang w:val="en-US"/>
        </w:rPr>
      </w:pPr>
      <w:r w:rsidRPr="00D91BF8">
        <w:rPr>
          <w:rFonts w:ascii="Helvetica" w:hAnsi="Helvetica"/>
          <w:b/>
          <w:sz w:val="20"/>
          <w:szCs w:val="20"/>
          <w:lang w:val="en-US"/>
        </w:rPr>
        <w:t xml:space="preserve">(ii) Healthcare costs </w:t>
      </w:r>
    </w:p>
    <w:p w:rsidR="00A66F92" w:rsidRPr="006C3B86" w:rsidRDefault="00A66F92" w:rsidP="00D91BF8">
      <w:pPr>
        <w:pStyle w:val="ListParagraph1"/>
        <w:spacing w:after="0" w:line="360" w:lineRule="auto"/>
        <w:ind w:left="0"/>
        <w:jc w:val="both"/>
        <w:rPr>
          <w:rFonts w:ascii="Helvetica" w:hAnsi="Helvetica"/>
          <w:sz w:val="20"/>
          <w:szCs w:val="20"/>
          <w:lang w:val="en-US"/>
        </w:rPr>
      </w:pPr>
      <w:r w:rsidRPr="006C3B86">
        <w:rPr>
          <w:rFonts w:ascii="Helvetica" w:hAnsi="Helvetica"/>
          <w:sz w:val="20"/>
          <w:szCs w:val="20"/>
          <w:lang w:val="en-US"/>
        </w:rPr>
        <w:t xml:space="preserve">Health care costs, covering care provider resource utilization (i.e. visits for primary and secondary care), home care, alternative care and medication, were calculated according to the guidelines for health care in the Netherlands by using the Dutch manual for costing </w:t>
      </w:r>
      <w:r w:rsidR="00A538EA" w:rsidRPr="006C3B86">
        <w:rPr>
          <w:rFonts w:ascii="Helvetica" w:hAnsi="Helvetica"/>
          <w:sz w:val="20"/>
          <w:szCs w:val="20"/>
          <w:lang w:val="en-US"/>
        </w:rPr>
        <w:fldChar w:fldCharType="begin"/>
      </w:r>
      <w:r w:rsidRPr="006C3B86">
        <w:rPr>
          <w:rFonts w:ascii="Helvetica" w:hAnsi="Helvetica"/>
          <w:sz w:val="20"/>
          <w:szCs w:val="20"/>
          <w:lang w:val="en-US"/>
        </w:rPr>
        <w:instrText xml:space="preserve"> ADDIN EN.CITE &lt;EndNote&gt;&lt;Cite&gt;&lt;Author&gt;Hakkaart&lt;/Author&gt;&lt;Year&gt;2010&lt;/Year&gt;&lt;RecNum&gt;1928&lt;/RecNum&gt;&lt;DisplayText&gt;(24)&lt;/DisplayText&gt;&lt;record&gt;&lt;rec-number&gt;1928&lt;/rec-number&gt;&lt;foreign-keys&gt;&lt;key app="EN" db-id="f5sp0vx9i5wfp0e25vq5vdvmzerr9rvedvvt"&gt;1928&lt;/key&gt;&lt;/foreign-keys&gt;&lt;ref-type name="Book"&gt;6&lt;/ref-type&gt;&lt;contributors&gt;&lt;authors&gt;&lt;author&gt;L. Hakkaart&lt;/author&gt;&lt;author&gt;S.S. Tan&lt;/author&gt;&lt;author&gt;C.A.M. Bouwmans&lt;/author&gt;&lt;/authors&gt;&lt;/contributors&gt;&lt;titles&gt;&lt;title&gt;Handleiding voor kostenonderzoek. Methoden en standaard kostprijzen voor economische evaluaties in de gezondheidszorg&lt;/title&gt;&lt;/titles&gt;&lt;dates&gt;&lt;year&gt;2010&lt;/year&gt;&lt;/dates&gt;&lt;pub-location&gt;Rotterdam&lt;/pub-location&gt;&lt;publisher&gt;Instituut voor Medische Technology Assessment, Erasmus Universiteit Rotterdam. CVZ College voor zorgverzekeringen&lt;/publisher&gt;&lt;urls&gt;&lt;/urls&gt;&lt;/record&gt;&lt;/Cite&gt;&lt;/EndNote&gt;</w:instrText>
      </w:r>
      <w:r w:rsidR="00A538EA" w:rsidRPr="006C3B86">
        <w:rPr>
          <w:rFonts w:ascii="Helvetica" w:hAnsi="Helvetica"/>
          <w:sz w:val="20"/>
          <w:szCs w:val="20"/>
          <w:lang w:val="en-US"/>
        </w:rPr>
        <w:fldChar w:fldCharType="separate"/>
      </w:r>
      <w:r w:rsidRPr="006C3B86">
        <w:rPr>
          <w:rFonts w:ascii="Helvetica" w:hAnsi="Helvetica"/>
          <w:noProof/>
          <w:sz w:val="20"/>
          <w:szCs w:val="20"/>
          <w:lang w:val="en-US"/>
        </w:rPr>
        <w:t>(</w:t>
      </w:r>
      <w:hyperlink w:anchor="_ENREF_24" w:tooltip="Hakkaart, 2010 #1928" w:history="1">
        <w:r w:rsidRPr="006C3B86">
          <w:rPr>
            <w:rFonts w:ascii="Helvetica" w:hAnsi="Helvetica"/>
            <w:noProof/>
            <w:sz w:val="20"/>
            <w:szCs w:val="20"/>
            <w:lang w:val="en-US"/>
          </w:rPr>
          <w:t>1</w:t>
        </w:r>
      </w:hyperlink>
      <w:r w:rsidRPr="006C3B86">
        <w:rPr>
          <w:rFonts w:ascii="Helvetica" w:hAnsi="Helvetica"/>
          <w:noProof/>
          <w:sz w:val="20"/>
          <w:szCs w:val="20"/>
          <w:lang w:val="en-US"/>
        </w:rPr>
        <w:t>)</w:t>
      </w:r>
      <w:r w:rsidR="00A538EA" w:rsidRPr="006C3B86">
        <w:rPr>
          <w:rFonts w:ascii="Helvetica" w:hAnsi="Helvetica"/>
          <w:sz w:val="20"/>
          <w:szCs w:val="20"/>
          <w:lang w:val="en-US"/>
        </w:rPr>
        <w:fldChar w:fldCharType="end"/>
      </w:r>
      <w:r w:rsidRPr="006C3B86">
        <w:rPr>
          <w:rFonts w:ascii="Helvetica" w:hAnsi="Helvetica"/>
          <w:sz w:val="20"/>
          <w:szCs w:val="20"/>
          <w:lang w:val="en-US"/>
        </w:rPr>
        <w:t xml:space="preserve">. Tariffs or an average price from providers were used when standard cost prices were not available. The costs of prescription medicines were calculated based on </w:t>
      </w:r>
      <w:r w:rsidRPr="006C3B86">
        <w:rPr>
          <w:rFonts w:ascii="Helvetica" w:hAnsi="Helvetica" w:cs="Arial"/>
          <w:sz w:val="20"/>
          <w:szCs w:val="20"/>
          <w:lang w:val="en-GB"/>
        </w:rPr>
        <w:t>the price per dosage for medication costs in the Netherlands</w:t>
      </w:r>
      <w:r w:rsidRPr="006C3B86">
        <w:rPr>
          <w:rFonts w:ascii="Helvetica" w:hAnsi="Helvetica"/>
          <w:sz w:val="20"/>
          <w:szCs w:val="20"/>
          <w:lang w:val="en-US"/>
        </w:rPr>
        <w:t xml:space="preserve"> </w:t>
      </w:r>
      <w:r w:rsidR="00A538EA" w:rsidRPr="006C3B86">
        <w:rPr>
          <w:rFonts w:ascii="Helvetica" w:hAnsi="Helvetica" w:cs="Arial"/>
          <w:sz w:val="20"/>
          <w:szCs w:val="20"/>
          <w:lang w:val="en-GB"/>
        </w:rPr>
        <w:fldChar w:fldCharType="begin"/>
      </w:r>
      <w:r w:rsidRPr="006C3B86">
        <w:rPr>
          <w:rFonts w:ascii="Helvetica" w:hAnsi="Helvetica" w:cs="Arial"/>
          <w:sz w:val="20"/>
          <w:szCs w:val="20"/>
          <w:lang w:val="en-GB"/>
        </w:rPr>
        <w:instrText xml:space="preserve"> ADDIN EN.CITE &lt;EndNote&gt;&lt;Cite&gt;&lt;Author&gt;College van Zorgverzekeringen&lt;/Author&gt;&lt;Year&gt;2012&lt;/Year&gt;&lt;RecNum&gt;1989&lt;/RecNum&gt;&lt;DisplayText&gt;(25, 26)&lt;/DisplayText&gt;&lt;record&gt;&lt;rec-number&gt;1989&lt;/rec-number&gt;&lt;foreign-keys&gt;&lt;key app="EN" db-id="f5sp0vx9i5wfp0e25vq5vdvmzerr9rvedvvt"&gt;1989&lt;/key&gt;&lt;/foreign-keys&gt;&lt;ref-type name="Web Page"&gt;12&lt;/ref-type&gt;&lt;contributors&gt;&lt;authors&gt;&lt;author&gt;College van Zorgverzekeringen, CVZ&lt;/author&gt;&lt;/authors&gt;&lt;/contributors&gt;&lt;titles&gt;&lt;title&gt;Farmacotherapeutisch Kompas: Medisch farmaceutische voorlichting &lt;/title&gt;&lt;/titles&gt;&lt;number&gt;September 2012&lt;/number&gt;&lt;dates&gt;&lt;year&gt;2012&lt;/year&gt;&lt;/dates&gt;&lt;pub-location&gt;Amstelveen &lt;/pub-location&gt;&lt;urls&gt;&lt;related-urls&gt;&lt;url&gt;http://www.fk.cvz.nl/&lt;/url&gt;&lt;/related-urls&gt;&lt;/urls&gt;&lt;/record&gt;&lt;/Cite&gt;&lt;Cite&gt;&lt;Author&gt;Zorginstituut&lt;/Author&gt;&lt;RecNum&gt;1988&lt;/RecNum&gt;&lt;record&gt;&lt;rec-number&gt;1988&lt;/rec-number&gt;&lt;foreign-keys&gt;&lt;key app="EN" db-id="f5sp0vx9i5wfp0e25vq5vdvmzerr9rvedvvt"&gt;1988&lt;/key&gt;&lt;/foreign-keys&gt;&lt;ref-type name="Web Page"&gt;12&lt;/ref-type&gt;&lt;contributors&gt;&lt;authors&gt;&lt;author&gt;Zorginstituut, Nederland&lt;/author&gt;&lt;/authors&gt;&lt;/contributors&gt;&lt;titles&gt;&lt;title&gt;Drug costs in the Netherlands &lt;/title&gt;&lt;/titles&gt;&lt;volume&gt;2014&lt;/volume&gt;&lt;dates&gt;&lt;/dates&gt;&lt;urls&gt;&lt;related-urls&gt;&lt;url&gt;http://www.medicijnkosten.nl/&lt;/url&gt;&lt;/related-urls&gt;&lt;/urls&gt;&lt;language&gt;Dutch&lt;/language&gt;&lt;/record&gt;&lt;/Cite&gt;&lt;/EndNote&gt;</w:instrText>
      </w:r>
      <w:r w:rsidR="00A538EA" w:rsidRPr="006C3B86">
        <w:rPr>
          <w:rFonts w:ascii="Helvetica" w:hAnsi="Helvetica" w:cs="Arial"/>
          <w:sz w:val="20"/>
          <w:szCs w:val="20"/>
          <w:lang w:val="en-GB"/>
        </w:rPr>
        <w:fldChar w:fldCharType="separate"/>
      </w:r>
      <w:r w:rsidRPr="006C3B86">
        <w:rPr>
          <w:rFonts w:ascii="Helvetica" w:hAnsi="Helvetica" w:cs="Arial"/>
          <w:noProof/>
          <w:sz w:val="20"/>
          <w:szCs w:val="20"/>
          <w:lang w:val="en-GB"/>
        </w:rPr>
        <w:t>(</w:t>
      </w:r>
      <w:hyperlink w:anchor="_ENREF_25" w:tooltip="College van Zorgverzekeringen, 2012 #1989" w:history="1">
        <w:r w:rsidRPr="006C3B86">
          <w:rPr>
            <w:rFonts w:ascii="Helvetica" w:hAnsi="Helvetica" w:cs="Arial"/>
            <w:noProof/>
            <w:sz w:val="20"/>
            <w:szCs w:val="20"/>
            <w:lang w:val="en-GB"/>
          </w:rPr>
          <w:t>2</w:t>
        </w:r>
      </w:hyperlink>
      <w:r w:rsidRPr="006C3B86">
        <w:rPr>
          <w:rFonts w:ascii="Helvetica" w:hAnsi="Helvetica" w:cs="Arial"/>
          <w:noProof/>
          <w:sz w:val="20"/>
          <w:szCs w:val="20"/>
          <w:lang w:val="en-GB"/>
        </w:rPr>
        <w:t xml:space="preserve">, </w:t>
      </w:r>
      <w:hyperlink w:anchor="_ENREF_26" w:tooltip="Zorginstituut,  #1988" w:history="1">
        <w:r w:rsidRPr="006C3B86">
          <w:rPr>
            <w:rFonts w:ascii="Helvetica" w:hAnsi="Helvetica" w:cs="Arial"/>
            <w:noProof/>
            <w:sz w:val="20"/>
            <w:szCs w:val="20"/>
            <w:lang w:val="en-GB"/>
          </w:rPr>
          <w:t>3</w:t>
        </w:r>
      </w:hyperlink>
      <w:r w:rsidRPr="006C3B86">
        <w:rPr>
          <w:rFonts w:ascii="Helvetica" w:hAnsi="Helvetica" w:cs="Arial"/>
          <w:noProof/>
          <w:sz w:val="20"/>
          <w:szCs w:val="20"/>
          <w:lang w:val="en-GB"/>
        </w:rPr>
        <w:t>)</w:t>
      </w:r>
      <w:r w:rsidR="00A538EA" w:rsidRPr="006C3B86">
        <w:rPr>
          <w:rFonts w:ascii="Helvetica" w:hAnsi="Helvetica" w:cs="Arial"/>
          <w:sz w:val="20"/>
          <w:szCs w:val="20"/>
          <w:lang w:val="en-GB"/>
        </w:rPr>
        <w:fldChar w:fldCharType="end"/>
      </w:r>
      <w:r w:rsidRPr="006C3B86">
        <w:rPr>
          <w:rFonts w:ascii="Helvetica" w:hAnsi="Helvetica" w:cs="Arial"/>
          <w:sz w:val="20"/>
          <w:szCs w:val="20"/>
          <w:lang w:val="en-GB"/>
        </w:rPr>
        <w:t xml:space="preserve">. </w:t>
      </w:r>
      <w:r w:rsidRPr="006C3B86">
        <w:rPr>
          <w:rFonts w:ascii="Helvetica" w:hAnsi="Helvetica"/>
          <w:sz w:val="20"/>
          <w:szCs w:val="20"/>
          <w:lang w:val="en-US"/>
        </w:rPr>
        <w:t xml:space="preserve">Over the counter medication prices were based on market prices (including 6% VAT) and medical and personal aids (e.g. orthotics, mobility aids, etc.) were based on costs per user within the aid category provided by the Dutch care institute </w:t>
      </w:r>
      <w:r w:rsidR="00A538EA" w:rsidRPr="006C3B86">
        <w:rPr>
          <w:rFonts w:ascii="Helvetica" w:hAnsi="Helvetica"/>
          <w:sz w:val="20"/>
          <w:szCs w:val="20"/>
          <w:lang w:val="en-US"/>
        </w:rPr>
        <w:fldChar w:fldCharType="begin"/>
      </w:r>
      <w:r w:rsidRPr="006C3B86">
        <w:rPr>
          <w:rFonts w:ascii="Helvetica" w:hAnsi="Helvetica"/>
          <w:sz w:val="20"/>
          <w:szCs w:val="20"/>
          <w:lang w:val="en-US"/>
        </w:rPr>
        <w:instrText xml:space="preserve"> ADDIN EN.CITE &lt;EndNote&gt;&lt;Cite&gt;&lt;Author&gt;Zorginstituut&lt;/Author&gt;&lt;Year&gt;2014&lt;/Year&gt;&lt;RecNum&gt;1990&lt;/RecNum&gt;&lt;DisplayText&gt;(27)&lt;/DisplayText&gt;&lt;record&gt;&lt;rec-number&gt;1990&lt;/rec-number&gt;&lt;foreign-keys&gt;&lt;key app="EN" db-id="f5sp0vx9i5wfp0e25vq5vdvmzerr9rvedvvt"&gt;1990&lt;/key&gt;&lt;/foreign-keys&gt;&lt;ref-type name="Web Page"&gt;12&lt;/ref-type&gt;&lt;contributors&gt;&lt;authors&gt;&lt;author&gt;Zorginstituut, Nederland&lt;/author&gt;&lt;/authors&gt;&lt;/contributors&gt;&lt;titles&gt;&lt;/titles&gt;&lt;volume&gt;2014&lt;/volume&gt;&lt;dates&gt;&lt;year&gt;2014&lt;/year&gt;&lt;/dates&gt;&lt;urls&gt;&lt;related-urls&gt;&lt;url&gt;www.gipdatabank.nl&lt;/url&gt;&lt;/related-urls&gt;&lt;/urls&gt;&lt;/record&gt;&lt;/Cite&gt;&lt;/EndNote&gt;</w:instrText>
      </w:r>
      <w:r w:rsidR="00A538EA" w:rsidRPr="006C3B86">
        <w:rPr>
          <w:rFonts w:ascii="Helvetica" w:hAnsi="Helvetica"/>
          <w:sz w:val="20"/>
          <w:szCs w:val="20"/>
          <w:lang w:val="en-US"/>
        </w:rPr>
        <w:fldChar w:fldCharType="separate"/>
      </w:r>
      <w:r w:rsidRPr="006C3B86">
        <w:rPr>
          <w:rFonts w:ascii="Helvetica" w:hAnsi="Helvetica"/>
          <w:noProof/>
          <w:sz w:val="20"/>
          <w:szCs w:val="20"/>
          <w:lang w:val="en-US"/>
        </w:rPr>
        <w:t>(</w:t>
      </w:r>
      <w:hyperlink w:anchor="_ENREF_27" w:tooltip="Zorginstituut, 2014 #1990" w:history="1">
        <w:r w:rsidRPr="006C3B86">
          <w:rPr>
            <w:rFonts w:ascii="Helvetica" w:hAnsi="Helvetica"/>
            <w:noProof/>
            <w:sz w:val="20"/>
            <w:szCs w:val="20"/>
            <w:lang w:val="en-US"/>
          </w:rPr>
          <w:t>4</w:t>
        </w:r>
      </w:hyperlink>
      <w:r w:rsidRPr="006C3B86">
        <w:rPr>
          <w:rFonts w:ascii="Helvetica" w:hAnsi="Helvetica"/>
          <w:noProof/>
          <w:sz w:val="20"/>
          <w:szCs w:val="20"/>
          <w:lang w:val="en-US"/>
        </w:rPr>
        <w:t>)</w:t>
      </w:r>
      <w:r w:rsidR="00A538EA" w:rsidRPr="006C3B86">
        <w:rPr>
          <w:rFonts w:ascii="Helvetica" w:hAnsi="Helvetica"/>
          <w:sz w:val="20"/>
          <w:szCs w:val="20"/>
          <w:lang w:val="en-US"/>
        </w:rPr>
        <w:fldChar w:fldCharType="end"/>
      </w:r>
      <w:r w:rsidRPr="006C3B86">
        <w:rPr>
          <w:rFonts w:ascii="Helvetica" w:hAnsi="Helvetica"/>
          <w:sz w:val="20"/>
          <w:szCs w:val="20"/>
          <w:lang w:val="en-US"/>
        </w:rPr>
        <w:t xml:space="preserve">. </w:t>
      </w:r>
    </w:p>
    <w:p w:rsidR="00D91BF8" w:rsidRDefault="00D91BF8" w:rsidP="00D91BF8">
      <w:pPr>
        <w:pStyle w:val="ListParagraph1"/>
        <w:spacing w:line="360" w:lineRule="auto"/>
        <w:ind w:left="0"/>
        <w:jc w:val="both"/>
        <w:rPr>
          <w:rFonts w:ascii="Helvetica" w:hAnsi="Helvetica"/>
          <w:b/>
          <w:i/>
          <w:sz w:val="20"/>
          <w:szCs w:val="20"/>
          <w:lang w:val="en-US"/>
        </w:rPr>
      </w:pPr>
    </w:p>
    <w:p w:rsidR="00D91BF8" w:rsidRDefault="00D91BF8" w:rsidP="00D91BF8">
      <w:pPr>
        <w:pStyle w:val="ListParagraph1"/>
        <w:spacing w:line="360" w:lineRule="auto"/>
        <w:ind w:left="0"/>
        <w:jc w:val="both"/>
        <w:rPr>
          <w:rFonts w:ascii="Helvetica" w:hAnsi="Helvetica"/>
          <w:b/>
          <w:sz w:val="20"/>
          <w:szCs w:val="20"/>
          <w:lang w:val="en-US"/>
        </w:rPr>
      </w:pPr>
    </w:p>
    <w:p w:rsidR="00D91BF8" w:rsidRDefault="00D91BF8" w:rsidP="00D91BF8">
      <w:pPr>
        <w:pStyle w:val="ListParagraph1"/>
        <w:spacing w:line="360" w:lineRule="auto"/>
        <w:ind w:left="0"/>
        <w:jc w:val="both"/>
        <w:rPr>
          <w:rFonts w:ascii="Helvetica" w:hAnsi="Helvetica"/>
          <w:b/>
          <w:sz w:val="20"/>
          <w:szCs w:val="20"/>
          <w:lang w:val="en-US"/>
        </w:rPr>
      </w:pPr>
    </w:p>
    <w:p w:rsidR="00A66F92" w:rsidRPr="00D91BF8" w:rsidRDefault="00A66F92" w:rsidP="00D91BF8">
      <w:pPr>
        <w:pStyle w:val="ListParagraph1"/>
        <w:spacing w:line="360" w:lineRule="auto"/>
        <w:ind w:left="0"/>
        <w:jc w:val="both"/>
        <w:rPr>
          <w:rFonts w:ascii="Helvetica" w:hAnsi="Helvetica"/>
          <w:b/>
          <w:sz w:val="20"/>
          <w:szCs w:val="20"/>
          <w:lang w:val="en-US"/>
        </w:rPr>
      </w:pPr>
      <w:r w:rsidRPr="00D91BF8">
        <w:rPr>
          <w:rFonts w:ascii="Helvetica" w:hAnsi="Helvetica"/>
          <w:b/>
          <w:sz w:val="20"/>
          <w:szCs w:val="20"/>
          <w:lang w:val="en-US"/>
        </w:rPr>
        <w:t xml:space="preserve">(iii) Patient- and Family Costs </w:t>
      </w:r>
    </w:p>
    <w:p w:rsidR="00A66F92" w:rsidRDefault="00A66F92" w:rsidP="00D91BF8">
      <w:pPr>
        <w:pStyle w:val="ListParagraph1"/>
        <w:spacing w:line="360" w:lineRule="auto"/>
        <w:ind w:left="0"/>
        <w:jc w:val="both"/>
        <w:rPr>
          <w:rFonts w:ascii="Helvetica" w:hAnsi="Helvetica"/>
          <w:sz w:val="20"/>
          <w:szCs w:val="20"/>
          <w:lang w:val="en-US"/>
        </w:rPr>
      </w:pPr>
      <w:r w:rsidRPr="006C3B86">
        <w:rPr>
          <w:rFonts w:ascii="Helvetica" w:hAnsi="Helvetica"/>
          <w:sz w:val="20"/>
          <w:szCs w:val="20"/>
          <w:lang w:val="en-US"/>
        </w:rPr>
        <w:t xml:space="preserve">Patient and family costs were incorporated by assessing informal care costs and travel and parking costs incurred while utilizing health care. Informal care was valued against the ‘shadow price’ (i.e. the price used when an official price is not available) of the wage rate per hour of a housekeeper. Travel costs were calculated by multiplying average distance with the standard price weights as derived from the Dutch manual for costing research </w:t>
      </w:r>
      <w:r w:rsidR="00A538EA" w:rsidRPr="006C3B86">
        <w:rPr>
          <w:rFonts w:ascii="Helvetica" w:hAnsi="Helvetica"/>
          <w:sz w:val="20"/>
          <w:szCs w:val="20"/>
          <w:lang w:val="en-US"/>
        </w:rPr>
        <w:fldChar w:fldCharType="begin"/>
      </w:r>
      <w:r w:rsidRPr="006C3B86">
        <w:rPr>
          <w:rFonts w:ascii="Helvetica" w:hAnsi="Helvetica"/>
          <w:sz w:val="20"/>
          <w:szCs w:val="20"/>
          <w:lang w:val="en-US"/>
        </w:rPr>
        <w:instrText xml:space="preserve"> ADDIN EN.CITE &lt;EndNote&gt;&lt;Cite&gt;&lt;Author&gt;Hakkaart&lt;/Author&gt;&lt;Year&gt;2010&lt;/Year&gt;&lt;RecNum&gt;1928&lt;/RecNum&gt;&lt;DisplayText&gt;(24)&lt;/DisplayText&gt;&lt;record&gt;&lt;rec-number&gt;1928&lt;/rec-number&gt;&lt;foreign-keys&gt;&lt;key app="EN" db-id="f5sp0vx9i5wfp0e25vq5vdvmzerr9rvedvvt"&gt;1928&lt;/key&gt;&lt;/foreign-keys&gt;&lt;ref-type name="Book"&gt;6&lt;/ref-type&gt;&lt;contributors&gt;&lt;authors&gt;&lt;author&gt;L. Hakkaart&lt;/author&gt;&lt;author&gt;S.S. Tan&lt;/author&gt;&lt;author&gt;C.A.M. Bouwmans&lt;/author&gt;&lt;/authors&gt;&lt;/contributors&gt;&lt;titles&gt;&lt;title&gt;Handleiding voor kostenonderzoek. Methoden en standaard kostprijzen voor economische evaluaties in de gezondheidszorg&lt;/title&gt;&lt;/titles&gt;&lt;dates&gt;&lt;year&gt;2010&lt;/year&gt;&lt;/dates&gt;&lt;pub-location&gt;Rotterdam&lt;/pub-location&gt;&lt;publisher&gt;Instituut voor Medische Technology Assessment, Erasmus Universiteit Rotterdam. CVZ College voor zorgverzekeringen&lt;/publisher&gt;&lt;urls&gt;&lt;/urls&gt;&lt;/record&gt;&lt;/Cite&gt;&lt;/EndNote&gt;</w:instrText>
      </w:r>
      <w:r w:rsidR="00A538EA" w:rsidRPr="006C3B86">
        <w:rPr>
          <w:rFonts w:ascii="Helvetica" w:hAnsi="Helvetica"/>
          <w:sz w:val="20"/>
          <w:szCs w:val="20"/>
          <w:lang w:val="en-US"/>
        </w:rPr>
        <w:fldChar w:fldCharType="separate"/>
      </w:r>
      <w:r w:rsidRPr="006C3B86">
        <w:rPr>
          <w:rFonts w:ascii="Helvetica" w:hAnsi="Helvetica"/>
          <w:noProof/>
          <w:sz w:val="20"/>
          <w:szCs w:val="20"/>
          <w:lang w:val="en-US"/>
        </w:rPr>
        <w:t>(</w:t>
      </w:r>
      <w:hyperlink w:anchor="_ENREF_24" w:tooltip="Hakkaart, 2010 #1928" w:history="1">
        <w:r w:rsidRPr="006C3B86">
          <w:rPr>
            <w:rFonts w:ascii="Helvetica" w:hAnsi="Helvetica"/>
            <w:noProof/>
            <w:sz w:val="20"/>
            <w:szCs w:val="20"/>
            <w:lang w:val="en-US"/>
          </w:rPr>
          <w:t>1</w:t>
        </w:r>
      </w:hyperlink>
      <w:r w:rsidRPr="006C3B86">
        <w:rPr>
          <w:rFonts w:ascii="Helvetica" w:hAnsi="Helvetica"/>
          <w:noProof/>
          <w:sz w:val="20"/>
          <w:szCs w:val="20"/>
          <w:lang w:val="en-US"/>
        </w:rPr>
        <w:t>)</w:t>
      </w:r>
      <w:r w:rsidR="00A538EA" w:rsidRPr="006C3B86">
        <w:rPr>
          <w:rFonts w:ascii="Helvetica" w:hAnsi="Helvetica"/>
          <w:sz w:val="20"/>
          <w:szCs w:val="20"/>
          <w:lang w:val="en-US"/>
        </w:rPr>
        <w:fldChar w:fldCharType="end"/>
      </w:r>
      <w:r w:rsidRPr="006C3B86">
        <w:rPr>
          <w:rFonts w:ascii="Helvetica" w:hAnsi="Helvetica"/>
          <w:sz w:val="20"/>
          <w:szCs w:val="20"/>
          <w:lang w:val="en-US"/>
        </w:rPr>
        <w:t xml:space="preserve">. </w:t>
      </w:r>
    </w:p>
    <w:p w:rsidR="00464812" w:rsidRPr="006C3B86" w:rsidRDefault="00464812" w:rsidP="00D91BF8">
      <w:pPr>
        <w:pStyle w:val="ListParagraph1"/>
        <w:spacing w:line="360" w:lineRule="auto"/>
        <w:ind w:left="0"/>
        <w:jc w:val="both"/>
        <w:rPr>
          <w:rFonts w:ascii="Helvetica" w:hAnsi="Helvetica"/>
          <w:sz w:val="20"/>
          <w:szCs w:val="20"/>
          <w:lang w:val="en-US"/>
        </w:rPr>
      </w:pPr>
    </w:p>
    <w:p w:rsidR="00A66F92" w:rsidRPr="006C3B86" w:rsidRDefault="00A66F92" w:rsidP="00D91BF8">
      <w:pPr>
        <w:pStyle w:val="ListParagraph1"/>
        <w:spacing w:line="360" w:lineRule="auto"/>
        <w:ind w:left="0"/>
        <w:jc w:val="both"/>
        <w:rPr>
          <w:rFonts w:ascii="Helvetica" w:hAnsi="Helvetica"/>
          <w:b/>
          <w:i/>
          <w:sz w:val="20"/>
          <w:szCs w:val="20"/>
          <w:lang w:val="en-US"/>
        </w:rPr>
      </w:pPr>
      <w:r w:rsidRPr="006C3B86">
        <w:rPr>
          <w:rFonts w:ascii="Helvetica" w:hAnsi="Helvetica"/>
          <w:b/>
          <w:i/>
          <w:sz w:val="20"/>
          <w:szCs w:val="20"/>
          <w:lang w:val="en-US"/>
        </w:rPr>
        <w:t xml:space="preserve">(iv) Productivity costs </w:t>
      </w:r>
    </w:p>
    <w:p w:rsidR="00A66F92" w:rsidRDefault="00A66F92" w:rsidP="00D91BF8">
      <w:pPr>
        <w:pStyle w:val="ListParagraph1"/>
        <w:spacing w:after="0" w:line="360" w:lineRule="auto"/>
        <w:ind w:left="0"/>
        <w:jc w:val="both"/>
        <w:rPr>
          <w:rFonts w:ascii="Helvetica" w:hAnsi="Helvetica" w:cs="Arial"/>
          <w:sz w:val="20"/>
          <w:szCs w:val="20"/>
          <w:lang w:val="en-GB"/>
        </w:rPr>
      </w:pPr>
      <w:r w:rsidRPr="006C3B86">
        <w:rPr>
          <w:rFonts w:ascii="Helvetica" w:hAnsi="Helvetica" w:cs="Arial"/>
          <w:sz w:val="20"/>
          <w:szCs w:val="20"/>
          <w:lang w:val="en-US"/>
        </w:rPr>
        <w:t>Patient’s productivity was measured</w:t>
      </w:r>
      <w:r w:rsidRPr="006C3B86">
        <w:rPr>
          <w:rFonts w:ascii="Helvetica" w:hAnsi="Helvetica" w:cs="Arial"/>
          <w:sz w:val="20"/>
          <w:szCs w:val="20"/>
          <w:lang w:val="en-GB"/>
        </w:rPr>
        <w:t xml:space="preserve"> using the productivity and disease questionnaire (PRODISQ) </w:t>
      </w:r>
      <w:r w:rsidR="00A538EA" w:rsidRPr="006C3B86">
        <w:rPr>
          <w:rFonts w:ascii="Helvetica" w:hAnsi="Helvetica" w:cs="Arial"/>
          <w:sz w:val="20"/>
          <w:szCs w:val="20"/>
          <w:lang w:val="en-GB"/>
        </w:rPr>
        <w:fldChar w:fldCharType="begin"/>
      </w:r>
      <w:r w:rsidRPr="006C3B86">
        <w:rPr>
          <w:rFonts w:ascii="Helvetica" w:hAnsi="Helvetica" w:cs="Arial"/>
          <w:sz w:val="20"/>
          <w:szCs w:val="20"/>
          <w:lang w:val="en-GB"/>
        </w:rPr>
        <w:instrText xml:space="preserve"> ADDIN EN.CITE &lt;EndNote&gt;&lt;Cite&gt;&lt;Author&gt;Koopmanschap&lt;/Author&gt;&lt;Year&gt;2005&lt;/Year&gt;&lt;RecNum&gt;687&lt;/RecNum&gt;&lt;DisplayText&gt;(28)&lt;/DisplayText&gt;&lt;record&gt;&lt;rec-number&gt;687&lt;/rec-number&gt;&lt;foreign-keys&gt;&lt;key app="EN" db-id="z0pars99rt2r9ke5v2qvfxxu9z5r5dvttvsf" timestamp="1426596453"&gt;687&lt;/key&gt;&lt;/foreign-keys&gt;&lt;ref-type name="Journal Article"&gt;17&lt;/ref-type&gt;&lt;contributors&gt;&lt;authors&gt;&lt;author&gt;Koopmanschap, M. A.&lt;/author&gt;&lt;/authors&gt;&lt;/contributors&gt;&lt;auth-address&gt;Institute for Medical Technology Assessment (iMTA), Erasmus Medical Centre, PO Box 1738, 3000 DR Rotterdam, The Netherlands. koopmanschap@bmg.eur.nl&lt;/auth-address&gt;&lt;titles&gt;&lt;title&gt;PRODISQ: a modular questionnaire on productivity and disease for economic evaluation studies&lt;/title&gt;&lt;secondary-title&gt;Expert Rev Pharmacoecon Outcomes Res&lt;/secondary-title&gt;&lt;alt-title&gt;Expert review of pharmacoeconomics &amp;amp; outcomes research&lt;/alt-title&gt;&lt;/titles&gt;&lt;periodical&gt;&lt;full-title&gt;Expert Rev Pharmacoecon Outcomes Res&lt;/full-title&gt;&lt;abbr-1&gt;Expert review of pharmacoeconomics &amp;amp; outcomes research&lt;/abbr-1&gt;&lt;/periodical&gt;&lt;alt-periodical&gt;&lt;full-title&gt;Expert Rev Pharmacoecon Outcomes Res&lt;/full-title&gt;&lt;abbr-1&gt;Expert review of pharmacoeconomics &amp;amp; outcomes research&lt;/abbr-1&gt;&lt;/alt-periodical&gt;&lt;pages&gt;23-8&lt;/pages&gt;&lt;volume&gt;5&lt;/volume&gt;&lt;number&gt;1&lt;/number&gt;&lt;edition&gt;2005/02/01&lt;/edition&gt;&lt;dates&gt;&lt;year&gt;2005&lt;/year&gt;&lt;pub-dates&gt;&lt;date&gt;Feb&lt;/date&gt;&lt;/pub-dates&gt;&lt;/dates&gt;&lt;isbn&gt;1744-8379 (Electronic)&amp;#xD;1473-7167 (Linking)&lt;/isbn&gt;&lt;accession-num&gt;19807557&lt;/accession-num&gt;&lt;urls&gt;&lt;/urls&gt;&lt;electronic-resource-num&gt;10.1586/14737167.5.1.23&lt;/electronic-resource-num&gt;&lt;remote-database-provider&gt;NLM&lt;/remote-database-provider&gt;&lt;language&gt;eng&lt;/language&gt;&lt;/record&gt;&lt;/Cite&gt;&lt;/EndNote&gt;</w:instrText>
      </w:r>
      <w:r w:rsidR="00A538EA" w:rsidRPr="006C3B86">
        <w:rPr>
          <w:rFonts w:ascii="Helvetica" w:hAnsi="Helvetica" w:cs="Arial"/>
          <w:sz w:val="20"/>
          <w:szCs w:val="20"/>
          <w:lang w:val="en-GB"/>
        </w:rPr>
        <w:fldChar w:fldCharType="separate"/>
      </w:r>
      <w:r w:rsidRPr="006C3B86">
        <w:rPr>
          <w:rFonts w:ascii="Helvetica" w:hAnsi="Helvetica" w:cs="Arial"/>
          <w:noProof/>
          <w:sz w:val="20"/>
          <w:szCs w:val="20"/>
          <w:lang w:val="en-GB"/>
        </w:rPr>
        <w:t>(</w:t>
      </w:r>
      <w:hyperlink w:anchor="_ENREF_28" w:tooltip="Koopmanschap, 2005 #687" w:history="1">
        <w:r w:rsidRPr="006C3B86">
          <w:rPr>
            <w:rFonts w:ascii="Helvetica" w:hAnsi="Helvetica" w:cs="Arial"/>
            <w:noProof/>
            <w:sz w:val="20"/>
            <w:szCs w:val="20"/>
            <w:lang w:val="en-GB"/>
          </w:rPr>
          <w:t>5</w:t>
        </w:r>
      </w:hyperlink>
      <w:r w:rsidRPr="006C3B86">
        <w:rPr>
          <w:rFonts w:ascii="Helvetica" w:hAnsi="Helvetica" w:cs="Arial"/>
          <w:noProof/>
          <w:sz w:val="20"/>
          <w:szCs w:val="20"/>
          <w:lang w:val="en-GB"/>
        </w:rPr>
        <w:t>)</w:t>
      </w:r>
      <w:r w:rsidR="00A538EA" w:rsidRPr="006C3B86">
        <w:rPr>
          <w:rFonts w:ascii="Helvetica" w:hAnsi="Helvetica" w:cs="Arial"/>
          <w:sz w:val="20"/>
          <w:szCs w:val="20"/>
          <w:lang w:val="en-GB"/>
        </w:rPr>
        <w:fldChar w:fldCharType="end"/>
      </w:r>
      <w:r w:rsidRPr="006C3B86">
        <w:rPr>
          <w:rFonts w:ascii="Helvetica" w:hAnsi="Helvetica" w:cs="Arial"/>
          <w:sz w:val="20"/>
          <w:szCs w:val="20"/>
          <w:lang w:val="en-GB"/>
        </w:rPr>
        <w:t xml:space="preserve">. The PRODISQ </w:t>
      </w:r>
      <w:r w:rsidRPr="006C3B86">
        <w:rPr>
          <w:rFonts w:ascii="Helvetica" w:hAnsi="Helvetica" w:cs="Arial"/>
          <w:sz w:val="20"/>
          <w:szCs w:val="20"/>
          <w:lang w:val="en-US"/>
        </w:rPr>
        <w:t xml:space="preserve">measures productivity loss from paid work (i.e. both absenteeism and presenteeism) in terms of total sick leave. </w:t>
      </w:r>
      <w:r w:rsidRPr="006C3B86">
        <w:rPr>
          <w:rFonts w:ascii="Helvetica" w:hAnsi="Helvetica" w:cs="Arial"/>
          <w:sz w:val="20"/>
          <w:szCs w:val="20"/>
          <w:lang w:val="en-GB"/>
        </w:rPr>
        <w:t xml:space="preserve">Absenteeism refers to the total number of days lost from work and presenteeism refers to reduced work quantity and quality while at work </w:t>
      </w:r>
      <w:r w:rsidR="00A538EA" w:rsidRPr="006C3B86">
        <w:rPr>
          <w:rFonts w:ascii="Helvetica" w:hAnsi="Helvetica" w:cs="Arial"/>
          <w:sz w:val="20"/>
          <w:szCs w:val="20"/>
          <w:lang w:val="en-GB"/>
        </w:rPr>
        <w:fldChar w:fldCharType="begin"/>
      </w:r>
      <w:r w:rsidRPr="006C3B86">
        <w:rPr>
          <w:rFonts w:ascii="Helvetica" w:hAnsi="Helvetica" w:cs="Arial"/>
          <w:sz w:val="20"/>
          <w:szCs w:val="20"/>
          <w:lang w:val="en-GB"/>
        </w:rPr>
        <w:instrText xml:space="preserve"> ADDIN EN.CITE &lt;EndNote&gt;&lt;Cite&gt;&lt;Author&gt;Koopmanschap&lt;/Author&gt;&lt;Year&gt;2005&lt;/Year&gt;&lt;RecNum&gt;687&lt;/RecNum&gt;&lt;DisplayText&gt;(28)&lt;/DisplayText&gt;&lt;record&gt;&lt;rec-number&gt;687&lt;/rec-number&gt;&lt;foreign-keys&gt;&lt;key app="EN" db-id="z0pars99rt2r9ke5v2qvfxxu9z5r5dvttvsf" timestamp="1426596453"&gt;687&lt;/key&gt;&lt;/foreign-keys&gt;&lt;ref-type name="Journal Article"&gt;17&lt;/ref-type&gt;&lt;contributors&gt;&lt;authors&gt;&lt;author&gt;Koopmanschap, M. A.&lt;/author&gt;&lt;/authors&gt;&lt;/contributors&gt;&lt;auth-address&gt;Institute for Medical Technology Assessment (iMTA), Erasmus Medical Centre, PO Box 1738, 3000 DR Rotterdam, The Netherlands. koopmanschap@bmg.eur.nl&lt;/auth-address&gt;&lt;titles&gt;&lt;title&gt;PRODISQ: a modular questionnaire on productivity and disease for economic evaluation studies&lt;/title&gt;&lt;secondary-title&gt;Expert Rev Pharmacoecon Outcomes Res&lt;/secondary-title&gt;&lt;alt-title&gt;Expert review of pharmacoeconomics &amp;amp; outcomes research&lt;/alt-title&gt;&lt;/titles&gt;&lt;periodical&gt;&lt;full-title&gt;Expert Rev Pharmacoecon Outcomes Res&lt;/full-title&gt;&lt;abbr-1&gt;Expert review of pharmacoeconomics &amp;amp; outcomes research&lt;/abbr-1&gt;&lt;/periodical&gt;&lt;alt-periodical&gt;&lt;full-title&gt;Expert Rev Pharmacoecon Outcomes Res&lt;/full-title&gt;&lt;abbr-1&gt;Expert review of pharmacoeconomics &amp;amp; outcomes research&lt;/abbr-1&gt;&lt;/alt-periodical&gt;&lt;pages&gt;23-8&lt;/pages&gt;&lt;volume&gt;5&lt;/volume&gt;&lt;number&gt;1&lt;/number&gt;&lt;edition&gt;2005/02/01&lt;/edition&gt;&lt;dates&gt;&lt;year&gt;2005&lt;/year&gt;&lt;pub-dates&gt;&lt;date&gt;Feb&lt;/date&gt;&lt;/pub-dates&gt;&lt;/dates&gt;&lt;isbn&gt;1744-8379 (Electronic)&amp;#xD;1473-7167 (Linking)&lt;/isbn&gt;&lt;accession-num&gt;19807557&lt;/accession-num&gt;&lt;urls&gt;&lt;/urls&gt;&lt;electronic-resource-num&gt;10.1586/14737167.5.1.23&lt;/electronic-resource-num&gt;&lt;remote-database-provider&gt;NLM&lt;/remote-database-provider&gt;&lt;language&gt;eng&lt;/language&gt;&lt;/record&gt;&lt;/Cite&gt;&lt;/EndNote&gt;</w:instrText>
      </w:r>
      <w:r w:rsidR="00A538EA" w:rsidRPr="006C3B86">
        <w:rPr>
          <w:rFonts w:ascii="Helvetica" w:hAnsi="Helvetica" w:cs="Arial"/>
          <w:sz w:val="20"/>
          <w:szCs w:val="20"/>
          <w:lang w:val="en-GB"/>
        </w:rPr>
        <w:fldChar w:fldCharType="separate"/>
      </w:r>
      <w:r w:rsidRPr="006C3B86">
        <w:rPr>
          <w:rFonts w:ascii="Helvetica" w:hAnsi="Helvetica" w:cs="Arial"/>
          <w:noProof/>
          <w:sz w:val="20"/>
          <w:szCs w:val="20"/>
          <w:lang w:val="en-GB"/>
        </w:rPr>
        <w:t>(</w:t>
      </w:r>
      <w:hyperlink w:anchor="_ENREF_28" w:tooltip="Koopmanschap, 2005 #687" w:history="1">
        <w:r w:rsidRPr="006C3B86">
          <w:rPr>
            <w:rFonts w:ascii="Helvetica" w:hAnsi="Helvetica" w:cs="Arial"/>
            <w:noProof/>
            <w:sz w:val="20"/>
            <w:szCs w:val="20"/>
            <w:lang w:val="en-GB"/>
          </w:rPr>
          <w:t>5</w:t>
        </w:r>
      </w:hyperlink>
      <w:r w:rsidRPr="006C3B86">
        <w:rPr>
          <w:rFonts w:ascii="Helvetica" w:hAnsi="Helvetica" w:cs="Arial"/>
          <w:noProof/>
          <w:sz w:val="20"/>
          <w:szCs w:val="20"/>
          <w:lang w:val="en-GB"/>
        </w:rPr>
        <w:t>)</w:t>
      </w:r>
      <w:r w:rsidR="00A538EA" w:rsidRPr="006C3B86">
        <w:rPr>
          <w:rFonts w:ascii="Helvetica" w:hAnsi="Helvetica" w:cs="Arial"/>
          <w:sz w:val="20"/>
          <w:szCs w:val="20"/>
          <w:lang w:val="en-GB"/>
        </w:rPr>
        <w:fldChar w:fldCharType="end"/>
      </w:r>
      <w:r w:rsidRPr="006C3B86">
        <w:rPr>
          <w:rFonts w:ascii="Helvetica" w:hAnsi="Helvetica" w:cs="Arial"/>
          <w:sz w:val="20"/>
          <w:szCs w:val="20"/>
          <w:lang w:val="en-GB"/>
        </w:rPr>
        <w:t xml:space="preserve">. Both absenteeism days and the inefficiency score were multiplied by the mean age- and gender wage rates of the Dutch population </w:t>
      </w:r>
      <w:r w:rsidR="00A538EA" w:rsidRPr="006C3B86">
        <w:rPr>
          <w:rFonts w:ascii="Helvetica" w:hAnsi="Helvetica" w:cs="Arial"/>
          <w:sz w:val="20"/>
          <w:szCs w:val="20"/>
          <w:lang w:val="en-GB"/>
        </w:rPr>
        <w:fldChar w:fldCharType="begin"/>
      </w:r>
      <w:r w:rsidRPr="006C3B86">
        <w:rPr>
          <w:rFonts w:ascii="Helvetica" w:hAnsi="Helvetica" w:cs="Arial"/>
          <w:sz w:val="20"/>
          <w:szCs w:val="20"/>
          <w:lang w:val="en-GB"/>
        </w:rPr>
        <w:instrText xml:space="preserve"> ADDIN EN.CITE &lt;EndNote&gt;&lt;Cite&gt;&lt;Author&gt;Hakkaart&lt;/Author&gt;&lt;Year&gt;2010&lt;/Year&gt;&lt;RecNum&gt;1928&lt;/RecNum&gt;&lt;DisplayText&gt;(24)&lt;/DisplayText&gt;&lt;record&gt;&lt;rec-number&gt;1928&lt;/rec-number&gt;&lt;foreign-keys&gt;&lt;key app="EN" db-id="f5sp0vx9i5wfp0e25vq5vdvmzerr9rvedvvt"&gt;1928&lt;/key&gt;&lt;/foreign-keys&gt;&lt;ref-type name="Book"&gt;6&lt;/ref-type&gt;&lt;contributors&gt;&lt;authors&gt;&lt;author&gt;L. Hakkaart&lt;/author&gt;&lt;author&gt;S.S. Tan&lt;/author&gt;&lt;author&gt;C.A.M. Bouwmans&lt;/author&gt;&lt;/authors&gt;&lt;/contributors&gt;&lt;titles&gt;&lt;title&gt;Handleiding voor kostenonderzoek. Methoden en standaard kostprijzen voor economische evaluaties in de gezondheidszorg&lt;/title&gt;&lt;/titles&gt;&lt;dates&gt;&lt;year&gt;2010&lt;/year&gt;&lt;/dates&gt;&lt;pub-location&gt;Rotterdam&lt;/pub-location&gt;&lt;publisher&gt;Instituut voor Medische Technology Assessment, Erasmus Universiteit Rotterdam. CVZ College voor zorgverzekeringen&lt;/publisher&gt;&lt;urls&gt;&lt;/urls&gt;&lt;/record&gt;&lt;/Cite&gt;&lt;/EndNote&gt;</w:instrText>
      </w:r>
      <w:r w:rsidR="00A538EA" w:rsidRPr="006C3B86">
        <w:rPr>
          <w:rFonts w:ascii="Helvetica" w:hAnsi="Helvetica" w:cs="Arial"/>
          <w:sz w:val="20"/>
          <w:szCs w:val="20"/>
          <w:lang w:val="en-GB"/>
        </w:rPr>
        <w:fldChar w:fldCharType="separate"/>
      </w:r>
      <w:r w:rsidRPr="006C3B86">
        <w:rPr>
          <w:rFonts w:ascii="Helvetica" w:hAnsi="Helvetica" w:cs="Arial"/>
          <w:noProof/>
          <w:sz w:val="20"/>
          <w:szCs w:val="20"/>
          <w:lang w:val="en-GB"/>
        </w:rPr>
        <w:t>(</w:t>
      </w:r>
      <w:hyperlink w:anchor="_ENREF_24" w:tooltip="Hakkaart, 2010 #1928" w:history="1">
        <w:r w:rsidRPr="006C3B86">
          <w:rPr>
            <w:rFonts w:ascii="Helvetica" w:hAnsi="Helvetica" w:cs="Arial"/>
            <w:noProof/>
            <w:sz w:val="20"/>
            <w:szCs w:val="20"/>
            <w:lang w:val="en-GB"/>
          </w:rPr>
          <w:t>1</w:t>
        </w:r>
      </w:hyperlink>
      <w:r w:rsidRPr="006C3B86">
        <w:rPr>
          <w:rFonts w:ascii="Helvetica" w:hAnsi="Helvetica" w:cs="Arial"/>
          <w:noProof/>
          <w:sz w:val="20"/>
          <w:szCs w:val="20"/>
          <w:lang w:val="en-GB"/>
        </w:rPr>
        <w:t>)</w:t>
      </w:r>
      <w:r w:rsidR="00A538EA" w:rsidRPr="006C3B86">
        <w:rPr>
          <w:rFonts w:ascii="Helvetica" w:hAnsi="Helvetica" w:cs="Arial"/>
          <w:sz w:val="20"/>
          <w:szCs w:val="20"/>
          <w:lang w:val="en-GB"/>
        </w:rPr>
        <w:fldChar w:fldCharType="end"/>
      </w:r>
      <w:r w:rsidRPr="006C3B86">
        <w:rPr>
          <w:rFonts w:ascii="Helvetica" w:hAnsi="Helvetica" w:cs="Arial"/>
          <w:sz w:val="20"/>
          <w:szCs w:val="20"/>
          <w:lang w:val="en-GB"/>
        </w:rPr>
        <w:t>. Productivity cost calculations were based on the friction cost approach which states that sick employees are replaced after a certain period of time called the friction period. After this friction period, no more lost productivity costs are assumed (6)</w:t>
      </w:r>
      <w:r w:rsidR="00A538EA" w:rsidRPr="006C3B86">
        <w:rPr>
          <w:rFonts w:ascii="Helvetica" w:hAnsi="Helvetica" w:cs="Arial"/>
          <w:sz w:val="20"/>
          <w:szCs w:val="20"/>
          <w:lang w:val="en-GB"/>
        </w:rPr>
        <w:fldChar w:fldCharType="begin"/>
      </w:r>
      <w:r w:rsidRPr="006C3B86">
        <w:rPr>
          <w:rFonts w:ascii="Helvetica" w:hAnsi="Helvetica" w:cs="Arial"/>
          <w:sz w:val="20"/>
          <w:szCs w:val="20"/>
          <w:lang w:val="en-GB"/>
        </w:rPr>
        <w:instrText xml:space="preserve"> ADDIN EN.CITE &lt;EndNote&gt;&lt;Cite&gt;&lt;Author&gt;Koopmanschap&lt;/Author&gt;&lt;Year&gt;1992&lt;/Year&gt;&lt;RecNum&gt;1986&lt;/RecNum&gt;&lt;DisplayText&gt;(29)&lt;/DisplayText&gt;&lt;record&gt;&lt;rec-number&gt;1986&lt;/rec-number&gt;&lt;foreign-keys&gt;&lt;key app="EN" db-id="f5sp0vx9i5wfp0e25vq5vdvmzerr9rvedvvt"&gt;1986&lt;/key&gt;&lt;/foreign-keys&gt;&lt;ref-type name="Journal Article"&gt;17&lt;/ref-type&gt;&lt;contributors&gt;&lt;authors&gt;&lt;author&gt;Koopmanschap, M. A.&lt;/author&gt;&lt;author&gt;van Ineveld, B. M.&lt;/author&gt;&lt;/authors&gt;&lt;/contributors&gt;&lt;auth-address&gt;Department of Public Health and Social Medicine, Erasmus University Rotterdam, The Netherlands.&lt;/auth-address&gt;&lt;titles&gt;&lt;title&gt;Towards a new approach for estimating indirect costs of disease&lt;/title&gt;&lt;secondary-title&gt;Soc Sci Med&lt;/secondary-title&gt;&lt;/titles&gt;&lt;pages&gt;1005-10&lt;/pages&gt;&lt;volume&gt;34&lt;/volume&gt;&lt;number&gt;9&lt;/number&gt;&lt;edition&gt;1992/05/01&lt;/edition&gt;&lt;keywords&gt;&lt;keyword&gt;Absenteeism&lt;/keyword&gt;&lt;keyword&gt;Cardiovascular Diseases/economics&lt;/keyword&gt;&lt;keyword&gt;Cost-Benefit Analysis/*methods&lt;/keyword&gt;&lt;keyword&gt;Efficiency&lt;/keyword&gt;&lt;keyword&gt;Employment/*economics&lt;/keyword&gt;&lt;keyword&gt;Evaluation Studies as Topic&lt;/keyword&gt;&lt;keyword&gt;Health Care Costs/*statistics &amp;amp; numerical data&lt;/keyword&gt;&lt;keyword&gt;Health Priorities/economics&lt;/keyword&gt;&lt;keyword&gt;Health Services Research/*methods&lt;/keyword&gt;&lt;keyword&gt;Humans&lt;/keyword&gt;&lt;keyword&gt;Netherlands&lt;/keyword&gt;&lt;/keywords&gt;&lt;dates&gt;&lt;year&gt;1992&lt;/year&gt;&lt;pub-dates&gt;&lt;date&gt;May&lt;/date&gt;&lt;/pub-dates&gt;&lt;/dates&gt;&lt;isbn&gt;0277-9536 (Print)&amp;#xD;0277-9536 (Linking)&lt;/isbn&gt;&lt;accession-num&gt;1631600&lt;/accession-num&gt;&lt;urls&gt;&lt;related-urls&gt;&lt;url&gt;http://www.ncbi.nlm.nih.gov/entrez/query.fcgi?cmd=Retrieve&amp;amp;db=PubMed&amp;amp;dopt=Citation&amp;amp;list_uids=1631600&lt;/url&gt;&lt;/related-urls&gt;&lt;/urls&gt;&lt;language&gt;eng&lt;/language&gt;&lt;/record&gt;&lt;/Cite&gt;&lt;/EndNote&gt;</w:instrText>
      </w:r>
      <w:r w:rsidR="00A538EA" w:rsidRPr="006C3B86">
        <w:rPr>
          <w:rFonts w:ascii="Helvetica" w:hAnsi="Helvetica" w:cs="Arial"/>
          <w:sz w:val="20"/>
          <w:szCs w:val="20"/>
          <w:lang w:val="en-GB"/>
        </w:rPr>
        <w:fldChar w:fldCharType="end"/>
      </w:r>
      <w:r w:rsidRPr="006C3B86">
        <w:rPr>
          <w:rFonts w:ascii="Helvetica" w:hAnsi="Helvetica" w:cs="Arial"/>
          <w:sz w:val="20"/>
          <w:szCs w:val="20"/>
          <w:lang w:val="en-GB"/>
        </w:rPr>
        <w:t xml:space="preserve">. The friction period of 92.68 days for the Netherlands was estimated based on the level of unemployment in 2012 </w:t>
      </w:r>
      <w:r w:rsidR="00A538EA" w:rsidRPr="006C3B86">
        <w:rPr>
          <w:rFonts w:ascii="Helvetica" w:hAnsi="Helvetica" w:cs="Arial"/>
          <w:sz w:val="20"/>
          <w:szCs w:val="20"/>
          <w:lang w:val="en-GB"/>
        </w:rPr>
        <w:fldChar w:fldCharType="begin"/>
      </w:r>
      <w:r w:rsidRPr="006C3B86">
        <w:rPr>
          <w:rFonts w:ascii="Helvetica" w:hAnsi="Helvetica" w:cs="Arial"/>
          <w:sz w:val="20"/>
          <w:szCs w:val="20"/>
          <w:lang w:val="en-GB"/>
        </w:rPr>
        <w:instrText xml:space="preserve"> ADDIN EN.CITE &lt;EndNote&gt;&lt;Cite&gt;&lt;Author&gt;Netherlands&lt;/Author&gt;&lt;RecNum&gt;2016&lt;/RecNum&gt;&lt;DisplayText&gt;(30)&lt;/DisplayText&gt;&lt;record&gt;&lt;rec-number&gt;2016&lt;/rec-number&gt;&lt;foreign-keys&gt;&lt;key app="EN" db-id="f5sp0vx9i5wfp0e25vq5vdvmzerr9rvedvvt"&gt;2016&lt;/key&gt;&lt;/foreign-keys&gt;&lt;ref-type name="Web Page"&gt;12&lt;/ref-type&gt;&lt;contributors&gt;&lt;authors&gt;&lt;author&gt;Statistics Netherlands&lt;/author&gt;&lt;/authors&gt;&lt;/contributors&gt;&lt;titles&gt;&lt;title&gt;Jobs (outstanding, new and filled)&lt;/title&gt;&lt;/titles&gt;&lt;volume&gt;2014&lt;/volume&gt;&lt;dates&gt;&lt;/dates&gt;&lt;urls&gt;&lt;related-urls&gt;&lt;url&gt;http://statline.cbs.nl/StatWeb/publication/?VW=T&amp;amp;DM=SLNL&amp;amp;PA=80857NED&amp;amp;LA=NL&lt;/url&gt;&lt;/related-urls&gt;&lt;/urls&gt;&lt;/record&gt;&lt;/Cite&gt;&lt;/EndNote&gt;</w:instrText>
      </w:r>
      <w:r w:rsidR="00A538EA" w:rsidRPr="006C3B86">
        <w:rPr>
          <w:rFonts w:ascii="Helvetica" w:hAnsi="Helvetica" w:cs="Arial"/>
          <w:sz w:val="20"/>
          <w:szCs w:val="20"/>
          <w:lang w:val="en-GB"/>
        </w:rPr>
        <w:fldChar w:fldCharType="separate"/>
      </w:r>
      <w:r w:rsidRPr="006C3B86">
        <w:rPr>
          <w:rFonts w:ascii="Helvetica" w:hAnsi="Helvetica" w:cs="Arial"/>
          <w:noProof/>
          <w:sz w:val="20"/>
          <w:szCs w:val="20"/>
          <w:lang w:val="en-GB"/>
        </w:rPr>
        <w:t>(</w:t>
      </w:r>
      <w:r w:rsidR="00A538EA" w:rsidRPr="006C3B86">
        <w:rPr>
          <w:rFonts w:ascii="Helvetica" w:hAnsi="Helvetica" w:cs="Arial"/>
          <w:sz w:val="20"/>
          <w:szCs w:val="20"/>
          <w:lang w:val="en-GB"/>
        </w:rPr>
        <w:fldChar w:fldCharType="end"/>
      </w:r>
      <w:r w:rsidRPr="006C3B86">
        <w:rPr>
          <w:rFonts w:ascii="Helvetica" w:hAnsi="Helvetica" w:cs="Arial"/>
          <w:sz w:val="20"/>
          <w:szCs w:val="20"/>
          <w:lang w:val="en-GB"/>
        </w:rPr>
        <w:t xml:space="preserve">7). </w:t>
      </w:r>
    </w:p>
    <w:p w:rsidR="00464812" w:rsidRPr="006C3B86" w:rsidRDefault="00464812" w:rsidP="00D91BF8">
      <w:pPr>
        <w:pStyle w:val="ListParagraph1"/>
        <w:spacing w:after="0" w:line="360" w:lineRule="auto"/>
        <w:ind w:left="0"/>
        <w:jc w:val="both"/>
        <w:rPr>
          <w:rFonts w:ascii="Helvetica" w:hAnsi="Helvetica" w:cs="Arial"/>
          <w:sz w:val="20"/>
          <w:szCs w:val="20"/>
          <w:lang w:val="en-GB"/>
        </w:rPr>
      </w:pPr>
      <w:bookmarkStart w:id="0" w:name="_GoBack"/>
      <w:bookmarkEnd w:id="0"/>
    </w:p>
    <w:p w:rsidR="00A66F92" w:rsidRPr="00D91BF8" w:rsidRDefault="00A66F92" w:rsidP="00D91BF8">
      <w:pPr>
        <w:pStyle w:val="ListParagraph1"/>
        <w:spacing w:after="0" w:line="360" w:lineRule="auto"/>
        <w:ind w:left="0"/>
        <w:jc w:val="both"/>
        <w:rPr>
          <w:rFonts w:ascii="Helvetica" w:hAnsi="Helvetica"/>
          <w:b/>
          <w:sz w:val="20"/>
          <w:szCs w:val="20"/>
          <w:lang w:val="en-US"/>
        </w:rPr>
      </w:pPr>
      <w:r w:rsidRPr="00D91BF8">
        <w:rPr>
          <w:rFonts w:ascii="Helvetica" w:hAnsi="Helvetica"/>
          <w:b/>
          <w:sz w:val="20"/>
          <w:szCs w:val="20"/>
          <w:lang w:val="en-US"/>
        </w:rPr>
        <w:t xml:space="preserve">References </w:t>
      </w:r>
      <w:r w:rsidR="00D91BF8">
        <w:rPr>
          <w:rFonts w:ascii="Helvetica" w:hAnsi="Helvetica"/>
          <w:b/>
          <w:sz w:val="20"/>
          <w:szCs w:val="20"/>
          <w:lang w:val="en-US"/>
        </w:rPr>
        <w:t xml:space="preserve">Supplementary Data </w:t>
      </w:r>
    </w:p>
    <w:p w:rsidR="00A66F92" w:rsidRPr="006C3B86" w:rsidRDefault="00A66F92" w:rsidP="00D91BF8">
      <w:pPr>
        <w:pStyle w:val="Lijstalinea"/>
        <w:numPr>
          <w:ilvl w:val="0"/>
          <w:numId w:val="1"/>
        </w:numPr>
        <w:spacing w:line="360" w:lineRule="auto"/>
        <w:jc w:val="both"/>
        <w:rPr>
          <w:rFonts w:ascii="Helvetica" w:hAnsi="Helvetica"/>
          <w:sz w:val="20"/>
          <w:szCs w:val="20"/>
          <w:lang w:val="en-US"/>
        </w:rPr>
      </w:pPr>
      <w:proofErr w:type="spellStart"/>
      <w:r w:rsidRPr="006C3B86">
        <w:rPr>
          <w:rFonts w:ascii="Helvetica" w:hAnsi="Helvetica"/>
          <w:sz w:val="20"/>
          <w:szCs w:val="20"/>
          <w:lang w:val="en-US"/>
        </w:rPr>
        <w:t>Hakkaart</w:t>
      </w:r>
      <w:proofErr w:type="spellEnd"/>
      <w:r w:rsidRPr="006C3B86">
        <w:rPr>
          <w:rFonts w:ascii="Helvetica" w:hAnsi="Helvetica"/>
          <w:sz w:val="20"/>
          <w:szCs w:val="20"/>
          <w:lang w:val="en-US"/>
        </w:rPr>
        <w:t xml:space="preserve"> L, Tan SS, </w:t>
      </w:r>
      <w:proofErr w:type="spellStart"/>
      <w:r w:rsidRPr="006C3B86">
        <w:rPr>
          <w:rFonts w:ascii="Helvetica" w:hAnsi="Helvetica"/>
          <w:sz w:val="20"/>
          <w:szCs w:val="20"/>
          <w:lang w:val="en-US"/>
        </w:rPr>
        <w:t>Bouwmans</w:t>
      </w:r>
      <w:proofErr w:type="spellEnd"/>
      <w:r w:rsidRPr="006C3B86">
        <w:rPr>
          <w:rFonts w:ascii="Helvetica" w:hAnsi="Helvetica"/>
          <w:sz w:val="20"/>
          <w:szCs w:val="20"/>
          <w:lang w:val="en-US"/>
        </w:rPr>
        <w:t xml:space="preserve"> CAM. Manual for cost research. Methods and standard costs for economic evaluations in healthcare [In Dutch: </w:t>
      </w:r>
      <w:proofErr w:type="spellStart"/>
      <w:r w:rsidRPr="006C3B86">
        <w:rPr>
          <w:rFonts w:ascii="Helvetica" w:hAnsi="Helvetica"/>
          <w:sz w:val="20"/>
          <w:szCs w:val="20"/>
          <w:lang w:val="en-US"/>
        </w:rPr>
        <w:t>Handleiding</w:t>
      </w:r>
      <w:proofErr w:type="spellEnd"/>
      <w:r w:rsidRPr="006C3B86">
        <w:rPr>
          <w:rFonts w:ascii="Helvetica" w:hAnsi="Helvetica"/>
          <w:sz w:val="20"/>
          <w:szCs w:val="20"/>
          <w:lang w:val="en-US"/>
        </w:rPr>
        <w:t xml:space="preserve"> </w:t>
      </w:r>
      <w:proofErr w:type="spellStart"/>
      <w:r w:rsidRPr="006C3B86">
        <w:rPr>
          <w:rFonts w:ascii="Helvetica" w:hAnsi="Helvetica"/>
          <w:sz w:val="20"/>
          <w:szCs w:val="20"/>
          <w:lang w:val="en-US"/>
        </w:rPr>
        <w:t>voor</w:t>
      </w:r>
      <w:proofErr w:type="spellEnd"/>
      <w:r w:rsidRPr="006C3B86">
        <w:rPr>
          <w:rFonts w:ascii="Helvetica" w:hAnsi="Helvetica"/>
          <w:sz w:val="20"/>
          <w:szCs w:val="20"/>
          <w:lang w:val="en-US"/>
        </w:rPr>
        <w:t xml:space="preserve"> </w:t>
      </w:r>
      <w:proofErr w:type="spellStart"/>
      <w:r w:rsidRPr="006C3B86">
        <w:rPr>
          <w:rFonts w:ascii="Helvetica" w:hAnsi="Helvetica"/>
          <w:sz w:val="20"/>
          <w:szCs w:val="20"/>
          <w:lang w:val="en-US"/>
        </w:rPr>
        <w:t>kostenonderzoek</w:t>
      </w:r>
      <w:proofErr w:type="spellEnd"/>
      <w:r w:rsidRPr="006C3B86">
        <w:rPr>
          <w:rFonts w:ascii="Helvetica" w:hAnsi="Helvetica"/>
          <w:sz w:val="20"/>
          <w:szCs w:val="20"/>
          <w:lang w:val="en-US"/>
        </w:rPr>
        <w:t xml:space="preserve">. </w:t>
      </w:r>
      <w:r w:rsidRPr="006C3B86">
        <w:rPr>
          <w:rFonts w:ascii="Helvetica" w:hAnsi="Helvetica"/>
          <w:sz w:val="20"/>
          <w:szCs w:val="20"/>
        </w:rPr>
        <w:t xml:space="preserve">Methoden en standaard kostprijzen voor economische evaluaties in de gezondheidszorg]. </w:t>
      </w:r>
      <w:r w:rsidRPr="006C3B86">
        <w:rPr>
          <w:rFonts w:ascii="Helvetica" w:hAnsi="Helvetica"/>
          <w:sz w:val="20"/>
          <w:szCs w:val="20"/>
          <w:lang w:val="en-US"/>
        </w:rPr>
        <w:t xml:space="preserve">Institute for Medical Technology Assessment, Erasmus University Rotterdam, 2010. Available from </w:t>
      </w:r>
      <w:r w:rsidRPr="006C3B86">
        <w:rPr>
          <w:rFonts w:ascii="Helvetica" w:hAnsi="Helvetica"/>
          <w:sz w:val="20"/>
          <w:szCs w:val="20"/>
          <w:u w:val="single"/>
          <w:lang w:val="en-US"/>
        </w:rPr>
        <w:t>http://www.zorginstituutnederland.nl</w:t>
      </w:r>
      <w:r w:rsidRPr="006C3B86">
        <w:rPr>
          <w:rFonts w:ascii="Helvetica" w:hAnsi="Helvetica"/>
          <w:sz w:val="20"/>
          <w:szCs w:val="20"/>
          <w:lang w:val="en-US"/>
        </w:rPr>
        <w:t xml:space="preserve"> </w:t>
      </w:r>
    </w:p>
    <w:p w:rsidR="00A66F92" w:rsidRPr="006C3B86" w:rsidRDefault="00A66F92" w:rsidP="00D91BF8">
      <w:pPr>
        <w:pStyle w:val="Lijstalinea"/>
        <w:numPr>
          <w:ilvl w:val="0"/>
          <w:numId w:val="1"/>
        </w:numPr>
        <w:spacing w:line="360" w:lineRule="auto"/>
        <w:jc w:val="both"/>
        <w:rPr>
          <w:rFonts w:ascii="Helvetica" w:hAnsi="Helvetica"/>
          <w:sz w:val="20"/>
          <w:szCs w:val="20"/>
          <w:lang w:val="en-US"/>
        </w:rPr>
      </w:pPr>
      <w:r w:rsidRPr="006C3B86">
        <w:rPr>
          <w:rFonts w:ascii="Helvetica" w:hAnsi="Helvetica"/>
          <w:sz w:val="20"/>
          <w:szCs w:val="20"/>
          <w:lang w:val="en-US"/>
        </w:rPr>
        <w:t xml:space="preserve">Healthcare institute Netherlands. </w:t>
      </w:r>
      <w:proofErr w:type="spellStart"/>
      <w:r w:rsidRPr="006C3B86">
        <w:rPr>
          <w:rFonts w:ascii="Helvetica" w:hAnsi="Helvetica"/>
          <w:sz w:val="20"/>
          <w:szCs w:val="20"/>
          <w:lang w:val="en-US"/>
        </w:rPr>
        <w:t>Guideliness</w:t>
      </w:r>
      <w:proofErr w:type="spellEnd"/>
      <w:r w:rsidRPr="006C3B86">
        <w:rPr>
          <w:rFonts w:ascii="Helvetica" w:hAnsi="Helvetica"/>
          <w:sz w:val="20"/>
          <w:szCs w:val="20"/>
          <w:lang w:val="en-US"/>
        </w:rPr>
        <w:t xml:space="preserve"> for </w:t>
      </w:r>
      <w:proofErr w:type="spellStart"/>
      <w:r w:rsidRPr="006C3B86">
        <w:rPr>
          <w:rFonts w:ascii="Helvetica" w:hAnsi="Helvetica"/>
          <w:sz w:val="20"/>
          <w:szCs w:val="20"/>
          <w:lang w:val="en-US"/>
        </w:rPr>
        <w:t>pharamacoeconomic</w:t>
      </w:r>
      <w:proofErr w:type="spellEnd"/>
      <w:r w:rsidRPr="006C3B86">
        <w:rPr>
          <w:rFonts w:ascii="Helvetica" w:hAnsi="Helvetica"/>
          <w:sz w:val="20"/>
          <w:szCs w:val="20"/>
          <w:lang w:val="en-US"/>
        </w:rPr>
        <w:t xml:space="preserve"> research, 2012. Available from: </w:t>
      </w:r>
      <w:hyperlink r:id="rId7" w:history="1">
        <w:r w:rsidRPr="006C3B86">
          <w:rPr>
            <w:rStyle w:val="Hyperlink"/>
            <w:rFonts w:ascii="Helvetica" w:hAnsi="Helvetica"/>
            <w:sz w:val="20"/>
            <w:szCs w:val="20"/>
            <w:lang w:val="en-US"/>
          </w:rPr>
          <w:t>http://www.zorginstituutnederland.nl</w:t>
        </w:r>
      </w:hyperlink>
    </w:p>
    <w:p w:rsidR="00A66F92" w:rsidRPr="006C3B86" w:rsidRDefault="00A66F92" w:rsidP="00D91BF8">
      <w:pPr>
        <w:pStyle w:val="Lijstalinea"/>
        <w:numPr>
          <w:ilvl w:val="0"/>
          <w:numId w:val="1"/>
        </w:numPr>
        <w:spacing w:line="360" w:lineRule="auto"/>
        <w:jc w:val="both"/>
        <w:rPr>
          <w:rFonts w:ascii="Helvetica" w:hAnsi="Helvetica"/>
          <w:sz w:val="20"/>
          <w:szCs w:val="20"/>
          <w:lang w:val="en-US"/>
        </w:rPr>
      </w:pPr>
      <w:r w:rsidRPr="006C3B86">
        <w:rPr>
          <w:rFonts w:ascii="Helvetica" w:hAnsi="Helvetica"/>
          <w:sz w:val="20"/>
          <w:szCs w:val="20"/>
          <w:lang w:val="en-US"/>
        </w:rPr>
        <w:t xml:space="preserve">Healthcare institute Netherlands. Drug costs in the Netherlands, 2014. Available from: </w:t>
      </w:r>
      <w:hyperlink r:id="rId8" w:history="1">
        <w:r w:rsidRPr="006C3B86">
          <w:rPr>
            <w:rStyle w:val="Hyperlink"/>
            <w:rFonts w:ascii="Helvetica" w:hAnsi="Helvetica"/>
            <w:sz w:val="20"/>
            <w:szCs w:val="20"/>
            <w:lang w:val="en-US"/>
          </w:rPr>
          <w:t>http://www.medicijnkosten.nl</w:t>
        </w:r>
      </w:hyperlink>
    </w:p>
    <w:p w:rsidR="00A66F92" w:rsidRPr="006C3B86" w:rsidRDefault="00A66F92" w:rsidP="00D91BF8">
      <w:pPr>
        <w:pStyle w:val="Lijstalinea"/>
        <w:numPr>
          <w:ilvl w:val="0"/>
          <w:numId w:val="1"/>
        </w:numPr>
        <w:spacing w:line="360" w:lineRule="auto"/>
        <w:jc w:val="both"/>
        <w:rPr>
          <w:rFonts w:ascii="Helvetica" w:hAnsi="Helvetica"/>
          <w:sz w:val="20"/>
          <w:szCs w:val="20"/>
          <w:lang w:val="en-US"/>
        </w:rPr>
      </w:pPr>
      <w:r w:rsidRPr="006C3B86">
        <w:rPr>
          <w:rFonts w:ascii="Helvetica" w:hAnsi="Helvetica"/>
          <w:sz w:val="20"/>
          <w:szCs w:val="20"/>
          <w:lang w:val="en-US"/>
        </w:rPr>
        <w:t xml:space="preserve">Healthcare institute Netherlands. GIP Databank for medical aids and medication, 2014. Available from: </w:t>
      </w:r>
      <w:r w:rsidRPr="006C3B86">
        <w:rPr>
          <w:rFonts w:ascii="Helvetica" w:hAnsi="Helvetica"/>
          <w:sz w:val="20"/>
          <w:szCs w:val="20"/>
          <w:u w:val="single"/>
          <w:lang w:val="en-US"/>
        </w:rPr>
        <w:t>www.gipdatabank.nl</w:t>
      </w:r>
    </w:p>
    <w:p w:rsidR="00A66F92" w:rsidRPr="006C3B86" w:rsidRDefault="00A66F92" w:rsidP="00D91BF8">
      <w:pPr>
        <w:pStyle w:val="Lijstalinea"/>
        <w:numPr>
          <w:ilvl w:val="0"/>
          <w:numId w:val="1"/>
        </w:numPr>
        <w:spacing w:line="360" w:lineRule="auto"/>
        <w:jc w:val="both"/>
        <w:rPr>
          <w:rFonts w:ascii="Helvetica" w:hAnsi="Helvetica"/>
          <w:color w:val="000000"/>
          <w:sz w:val="20"/>
          <w:szCs w:val="20"/>
          <w:lang w:val="en-GB" w:eastAsia="en-GB"/>
        </w:rPr>
      </w:pPr>
      <w:r w:rsidRPr="006C3B86">
        <w:rPr>
          <w:rFonts w:ascii="Helvetica" w:hAnsi="Helvetica"/>
          <w:sz w:val="20"/>
          <w:szCs w:val="20"/>
          <w:lang w:val="en-US"/>
        </w:rPr>
        <w:t xml:space="preserve">Koopmanschap MA. PRODISQ: a modular questionnaire on productivity and disease for economic evaluation studies. </w:t>
      </w:r>
      <w:r w:rsidRPr="006C3B86">
        <w:rPr>
          <w:rFonts w:ascii="Helvetica" w:hAnsi="Helvetica"/>
          <w:i/>
          <w:sz w:val="20"/>
          <w:szCs w:val="20"/>
          <w:lang w:val="en-US"/>
        </w:rPr>
        <w:t xml:space="preserve">Expert review of </w:t>
      </w:r>
      <w:proofErr w:type="spellStart"/>
      <w:r w:rsidRPr="006C3B86">
        <w:rPr>
          <w:rFonts w:ascii="Helvetica" w:hAnsi="Helvetica"/>
          <w:i/>
          <w:sz w:val="20"/>
          <w:szCs w:val="20"/>
          <w:lang w:val="en-US"/>
        </w:rPr>
        <w:t>pharmacoeconomics</w:t>
      </w:r>
      <w:proofErr w:type="spellEnd"/>
      <w:r w:rsidRPr="006C3B86">
        <w:rPr>
          <w:rFonts w:ascii="Helvetica" w:hAnsi="Helvetica"/>
          <w:i/>
          <w:sz w:val="20"/>
          <w:szCs w:val="20"/>
          <w:lang w:val="en-US"/>
        </w:rPr>
        <w:t xml:space="preserve"> &amp; outcomes research.</w:t>
      </w:r>
      <w:r w:rsidRPr="006C3B86">
        <w:rPr>
          <w:rFonts w:ascii="Helvetica" w:hAnsi="Helvetica"/>
          <w:sz w:val="20"/>
          <w:szCs w:val="20"/>
          <w:lang w:val="en-US"/>
        </w:rPr>
        <w:t xml:space="preserve"> 2005;5(1):23-8. </w:t>
      </w:r>
      <w:r w:rsidRPr="006C3B86">
        <w:rPr>
          <w:rFonts w:ascii="Helvetica" w:hAnsi="Helvetica"/>
          <w:bCs/>
          <w:color w:val="000000"/>
          <w:sz w:val="20"/>
          <w:szCs w:val="20"/>
          <w:lang w:val="en-GB" w:eastAsia="en-GB"/>
        </w:rPr>
        <w:t>doi:0</w:t>
      </w:r>
      <w:r w:rsidRPr="006C3B86">
        <w:rPr>
          <w:rFonts w:ascii="Helvetica" w:hAnsi="Helvetica"/>
          <w:color w:val="000000"/>
          <w:sz w:val="20"/>
          <w:szCs w:val="20"/>
          <w:lang w:val="en-GB" w:eastAsia="en-GB"/>
        </w:rPr>
        <w:t>.1586/14737167.5.1.23</w:t>
      </w:r>
    </w:p>
    <w:p w:rsidR="00A66F92" w:rsidRPr="006C3B86" w:rsidRDefault="00A66F92" w:rsidP="00D91BF8">
      <w:pPr>
        <w:pStyle w:val="Lijstalinea"/>
        <w:numPr>
          <w:ilvl w:val="0"/>
          <w:numId w:val="1"/>
        </w:numPr>
        <w:spacing w:line="360" w:lineRule="auto"/>
        <w:jc w:val="both"/>
        <w:rPr>
          <w:rFonts w:ascii="Helvetica" w:hAnsi="Helvetica"/>
          <w:sz w:val="20"/>
          <w:szCs w:val="20"/>
          <w:lang w:val="en-US"/>
        </w:rPr>
      </w:pPr>
      <w:r w:rsidRPr="006C3B86">
        <w:rPr>
          <w:rFonts w:ascii="Helvetica" w:hAnsi="Helvetica"/>
          <w:sz w:val="20"/>
          <w:szCs w:val="20"/>
        </w:rPr>
        <w:t xml:space="preserve">Koopmanschap MA, van </w:t>
      </w:r>
      <w:proofErr w:type="spellStart"/>
      <w:r w:rsidRPr="006C3B86">
        <w:rPr>
          <w:rFonts w:ascii="Helvetica" w:hAnsi="Helvetica"/>
          <w:sz w:val="20"/>
          <w:szCs w:val="20"/>
        </w:rPr>
        <w:t>Ineveld</w:t>
      </w:r>
      <w:proofErr w:type="spellEnd"/>
      <w:r w:rsidRPr="006C3B86">
        <w:rPr>
          <w:rFonts w:ascii="Helvetica" w:hAnsi="Helvetica"/>
          <w:sz w:val="20"/>
          <w:szCs w:val="20"/>
        </w:rPr>
        <w:t xml:space="preserve"> BM. </w:t>
      </w:r>
      <w:r w:rsidRPr="006C3B86">
        <w:rPr>
          <w:rFonts w:ascii="Helvetica" w:hAnsi="Helvetica"/>
          <w:sz w:val="20"/>
          <w:szCs w:val="20"/>
          <w:lang w:val="en-US"/>
        </w:rPr>
        <w:t xml:space="preserve">Towards a new approach for estimating indirect costs of disease. </w:t>
      </w:r>
      <w:r w:rsidRPr="006C3B86">
        <w:rPr>
          <w:rFonts w:ascii="Helvetica" w:hAnsi="Helvetica"/>
          <w:i/>
          <w:sz w:val="20"/>
          <w:szCs w:val="20"/>
          <w:lang w:val="en-US"/>
        </w:rPr>
        <w:t xml:space="preserve">Soc </w:t>
      </w:r>
      <w:proofErr w:type="spellStart"/>
      <w:r w:rsidRPr="006C3B86">
        <w:rPr>
          <w:rFonts w:ascii="Helvetica" w:hAnsi="Helvetica"/>
          <w:i/>
          <w:sz w:val="20"/>
          <w:szCs w:val="20"/>
          <w:lang w:val="en-US"/>
        </w:rPr>
        <w:t>Sci</w:t>
      </w:r>
      <w:proofErr w:type="spellEnd"/>
      <w:r w:rsidRPr="006C3B86">
        <w:rPr>
          <w:rFonts w:ascii="Helvetica" w:hAnsi="Helvetica"/>
          <w:i/>
          <w:sz w:val="20"/>
          <w:szCs w:val="20"/>
          <w:lang w:val="en-US"/>
        </w:rPr>
        <w:t xml:space="preserve"> Med.</w:t>
      </w:r>
      <w:r w:rsidRPr="006C3B86">
        <w:rPr>
          <w:rFonts w:ascii="Helvetica" w:hAnsi="Helvetica"/>
          <w:sz w:val="20"/>
          <w:szCs w:val="20"/>
          <w:lang w:val="en-US"/>
        </w:rPr>
        <w:t xml:space="preserve"> 1992;34(9):1005-10.</w:t>
      </w:r>
    </w:p>
    <w:p w:rsidR="00A66F92" w:rsidRPr="006C3B86" w:rsidRDefault="00A66F92" w:rsidP="00D91BF8">
      <w:pPr>
        <w:pStyle w:val="Lijstalinea"/>
        <w:numPr>
          <w:ilvl w:val="0"/>
          <w:numId w:val="1"/>
        </w:numPr>
        <w:spacing w:line="360" w:lineRule="auto"/>
        <w:jc w:val="both"/>
        <w:rPr>
          <w:rFonts w:ascii="Helvetica" w:hAnsi="Helvetica"/>
          <w:sz w:val="20"/>
          <w:szCs w:val="20"/>
          <w:lang w:val="en-US"/>
        </w:rPr>
      </w:pPr>
      <w:r w:rsidRPr="006C3B86">
        <w:rPr>
          <w:rFonts w:ascii="Helvetica" w:hAnsi="Helvetica"/>
          <w:sz w:val="20"/>
          <w:szCs w:val="20"/>
          <w:lang w:val="en-US"/>
        </w:rPr>
        <w:t xml:space="preserve">Statistics Netherlands. Jobs; outstanding, new and filled. 2014. Available from: </w:t>
      </w:r>
      <w:r w:rsidRPr="006C3B86">
        <w:rPr>
          <w:rFonts w:ascii="Helvetica" w:hAnsi="Helvetica"/>
          <w:sz w:val="20"/>
          <w:szCs w:val="20"/>
          <w:u w:val="single"/>
          <w:lang w:val="en-US"/>
        </w:rPr>
        <w:t>http://statline.cbs.nl/Statweb/</w:t>
      </w:r>
    </w:p>
    <w:p w:rsidR="00A66F92" w:rsidRPr="006C3B86" w:rsidRDefault="00A66F92" w:rsidP="00D91BF8">
      <w:pPr>
        <w:spacing w:line="360" w:lineRule="auto"/>
        <w:jc w:val="both"/>
        <w:rPr>
          <w:rFonts w:ascii="Helvetica" w:hAnsi="Helvetica"/>
          <w:b/>
          <w:sz w:val="20"/>
          <w:szCs w:val="20"/>
          <w:lang w:val="en-US"/>
        </w:rPr>
      </w:pPr>
    </w:p>
    <w:p w:rsidR="00A66F92" w:rsidRPr="006C3B86" w:rsidRDefault="00A66F92" w:rsidP="00D91BF8">
      <w:pPr>
        <w:pStyle w:val="Lijstalinea"/>
        <w:spacing w:line="360" w:lineRule="auto"/>
        <w:ind w:left="0"/>
        <w:jc w:val="both"/>
        <w:rPr>
          <w:rFonts w:ascii="Helvetica" w:hAnsi="Helvetica" w:cs="Arial"/>
          <w:b/>
          <w:color w:val="000000"/>
          <w:sz w:val="20"/>
          <w:szCs w:val="20"/>
          <w:shd w:val="clear" w:color="auto" w:fill="FFFFFF"/>
          <w:lang w:val="en-US"/>
        </w:rPr>
      </w:pPr>
    </w:p>
    <w:p w:rsidR="00175BE2" w:rsidRPr="00F2334F" w:rsidRDefault="00A96235" w:rsidP="00D91BF8">
      <w:pPr>
        <w:spacing w:line="360" w:lineRule="auto"/>
        <w:jc w:val="both"/>
        <w:rPr>
          <w:rFonts w:ascii="Helvetica" w:hAnsi="Helvetica"/>
          <w:sz w:val="20"/>
          <w:szCs w:val="20"/>
          <w:lang w:val="en-US"/>
        </w:rPr>
      </w:pPr>
    </w:p>
    <w:sectPr w:rsidR="00175BE2" w:rsidRPr="00F2334F" w:rsidSect="0043463D">
      <w:headerReference w:type="even" r:id="rId9"/>
      <w:headerReference w:type="default" r:id="rId10"/>
      <w:pgSz w:w="11909" w:h="16834"/>
      <w:pgMar w:top="1134" w:right="1134" w:bottom="1134" w:left="1134" w:header="709" w:footer="709"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284" w:rsidRDefault="00D91BF8">
      <w:r>
        <w:separator/>
      </w:r>
    </w:p>
  </w:endnote>
  <w:endnote w:type="continuationSeparator" w:id="0">
    <w:p w:rsidR="00413284" w:rsidRDefault="00D91B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ueMinio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284" w:rsidRDefault="00D91BF8">
      <w:r>
        <w:separator/>
      </w:r>
    </w:p>
  </w:footnote>
  <w:footnote w:type="continuationSeparator" w:id="0">
    <w:p w:rsidR="00413284" w:rsidRDefault="00D91B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A7D" w:rsidRDefault="00A538EA">
    <w:pPr>
      <w:pStyle w:val="Koptekst"/>
      <w:framePr w:wrap="around" w:vAnchor="text" w:hAnchor="margin" w:xAlign="center" w:y="1"/>
      <w:rPr>
        <w:rStyle w:val="Paginanummer"/>
        <w:rFonts w:ascii="Calibri" w:hAnsi="Calibri"/>
        <w:sz w:val="22"/>
        <w:lang w:val="nl-NL"/>
      </w:rPr>
    </w:pPr>
    <w:r>
      <w:rPr>
        <w:rStyle w:val="Paginanummer"/>
      </w:rPr>
      <w:fldChar w:fldCharType="begin"/>
    </w:r>
    <w:r w:rsidR="00D91BF8">
      <w:rPr>
        <w:rStyle w:val="Paginanummer"/>
      </w:rPr>
      <w:instrText xml:space="preserve">PAGE  </w:instrText>
    </w:r>
    <w:r>
      <w:rPr>
        <w:rStyle w:val="Paginanummer"/>
      </w:rPr>
      <w:fldChar w:fldCharType="end"/>
    </w:r>
  </w:p>
  <w:p w:rsidR="00D52A7D" w:rsidRDefault="00A9623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A7D" w:rsidRDefault="00A96235" w:rsidP="00D15759">
    <w:pPr>
      <w:pStyle w:val="Koptekst"/>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A930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Pr>
  <w:endnotePr>
    <w:endnote w:id="-1"/>
    <w:endnote w:id="0"/>
  </w:endnotePr>
  <w:compat/>
  <w:rsids>
    <w:rsidRoot w:val="00A66F92"/>
    <w:rsid w:val="002A7AE5"/>
    <w:rsid w:val="003349CC"/>
    <w:rsid w:val="00361A6B"/>
    <w:rsid w:val="00413284"/>
    <w:rsid w:val="00464812"/>
    <w:rsid w:val="004735C0"/>
    <w:rsid w:val="00566910"/>
    <w:rsid w:val="006C3B86"/>
    <w:rsid w:val="00A538EA"/>
    <w:rsid w:val="00A66F92"/>
    <w:rsid w:val="00A96235"/>
    <w:rsid w:val="00C63922"/>
    <w:rsid w:val="00D91BF8"/>
    <w:rsid w:val="00E913AF"/>
    <w:rsid w:val="00F12738"/>
    <w:rsid w:val="00F1474D"/>
    <w:rsid w:val="00F233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6F92"/>
    <w:pPr>
      <w:spacing w:after="0" w:line="240" w:lineRule="auto"/>
    </w:pPr>
    <w:rPr>
      <w:rFonts w:ascii="Calibri" w:eastAsia="Times New Roman" w:hAnsi="Calibri"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A66F92"/>
    <w:rPr>
      <w:color w:val="0000FF"/>
      <w:u w:val="single"/>
    </w:rPr>
  </w:style>
  <w:style w:type="paragraph" w:styleId="Koptekst">
    <w:name w:val="header"/>
    <w:basedOn w:val="Standaard"/>
    <w:link w:val="KoptekstChar"/>
    <w:rsid w:val="00A66F92"/>
    <w:pPr>
      <w:tabs>
        <w:tab w:val="center" w:pos="4536"/>
        <w:tab w:val="right" w:pos="9072"/>
      </w:tabs>
    </w:pPr>
    <w:rPr>
      <w:rFonts w:ascii="TrueMinion" w:hAnsi="TrueMinion"/>
      <w:sz w:val="24"/>
      <w:lang w:val="en-GB"/>
    </w:rPr>
  </w:style>
  <w:style w:type="character" w:customStyle="1" w:styleId="KoptekstChar">
    <w:name w:val="Koptekst Char"/>
    <w:basedOn w:val="Standaardalinea-lettertype"/>
    <w:link w:val="Koptekst"/>
    <w:rsid w:val="00A66F92"/>
    <w:rPr>
      <w:rFonts w:ascii="TrueMinion" w:eastAsia="Times New Roman" w:hAnsi="TrueMinion" w:cs="Times New Roman"/>
      <w:sz w:val="24"/>
      <w:szCs w:val="24"/>
      <w:lang w:val="en-GB" w:eastAsia="nl-NL"/>
    </w:rPr>
  </w:style>
  <w:style w:type="character" w:styleId="Paginanummer">
    <w:name w:val="page number"/>
    <w:basedOn w:val="Standaardalinea-lettertype"/>
    <w:rsid w:val="00A66F92"/>
  </w:style>
  <w:style w:type="paragraph" w:customStyle="1" w:styleId="ListParagraph1">
    <w:name w:val="List Paragraph1"/>
    <w:basedOn w:val="Standaard"/>
    <w:qFormat/>
    <w:rsid w:val="00A66F92"/>
    <w:pPr>
      <w:spacing w:after="200" w:line="276" w:lineRule="auto"/>
      <w:ind w:left="720"/>
      <w:contextualSpacing/>
    </w:pPr>
    <w:rPr>
      <w:rFonts w:eastAsia="Calibri"/>
      <w:lang w:eastAsia="en-US"/>
    </w:rPr>
  </w:style>
  <w:style w:type="paragraph" w:styleId="Lijstalinea">
    <w:name w:val="List Paragraph"/>
    <w:basedOn w:val="Standaard"/>
    <w:qFormat/>
    <w:rsid w:val="00A66F92"/>
    <w:pPr>
      <w:ind w:left="720"/>
      <w:contextualSpacing/>
    </w:pPr>
  </w:style>
  <w:style w:type="paragraph" w:styleId="Ballontekst">
    <w:name w:val="Balloon Text"/>
    <w:basedOn w:val="Standaard"/>
    <w:link w:val="BallontekstChar"/>
    <w:uiPriority w:val="99"/>
    <w:semiHidden/>
    <w:unhideWhenUsed/>
    <w:rsid w:val="00E913AF"/>
    <w:rPr>
      <w:rFonts w:ascii="Tahoma" w:hAnsi="Tahoma" w:cs="Tahoma"/>
      <w:sz w:val="16"/>
      <w:szCs w:val="16"/>
    </w:rPr>
  </w:style>
  <w:style w:type="character" w:customStyle="1" w:styleId="BallontekstChar">
    <w:name w:val="Ballontekst Char"/>
    <w:basedOn w:val="Standaardalinea-lettertype"/>
    <w:link w:val="Ballontekst"/>
    <w:uiPriority w:val="99"/>
    <w:semiHidden/>
    <w:rsid w:val="00E913AF"/>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6F92"/>
    <w:pPr>
      <w:spacing w:after="0" w:line="240" w:lineRule="auto"/>
    </w:pPr>
    <w:rPr>
      <w:rFonts w:ascii="Calibri" w:eastAsia="Times New Roman" w:hAnsi="Calibri"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A66F92"/>
    <w:rPr>
      <w:color w:val="0000FF"/>
      <w:u w:val="single"/>
    </w:rPr>
  </w:style>
  <w:style w:type="paragraph" w:styleId="Koptekst">
    <w:name w:val="header"/>
    <w:basedOn w:val="Standaard"/>
    <w:link w:val="KoptekstChar"/>
    <w:rsid w:val="00A66F92"/>
    <w:pPr>
      <w:tabs>
        <w:tab w:val="center" w:pos="4536"/>
        <w:tab w:val="right" w:pos="9072"/>
      </w:tabs>
    </w:pPr>
    <w:rPr>
      <w:rFonts w:ascii="TrueMinion" w:hAnsi="TrueMinion"/>
      <w:sz w:val="24"/>
      <w:lang w:val="en-GB"/>
    </w:rPr>
  </w:style>
  <w:style w:type="character" w:customStyle="1" w:styleId="KoptekstChar">
    <w:name w:val="Koptekst Char"/>
    <w:basedOn w:val="Standaardalinea-lettertype"/>
    <w:link w:val="Koptekst"/>
    <w:rsid w:val="00A66F92"/>
    <w:rPr>
      <w:rFonts w:ascii="TrueMinion" w:eastAsia="Times New Roman" w:hAnsi="TrueMinion" w:cs="Times New Roman"/>
      <w:sz w:val="24"/>
      <w:szCs w:val="24"/>
      <w:lang w:val="en-GB" w:eastAsia="nl-NL"/>
    </w:rPr>
  </w:style>
  <w:style w:type="character" w:styleId="Paginanummer">
    <w:name w:val="page number"/>
    <w:basedOn w:val="Standaardalinea-lettertype"/>
    <w:rsid w:val="00A66F92"/>
  </w:style>
  <w:style w:type="paragraph" w:customStyle="1" w:styleId="ListParagraph1">
    <w:name w:val="List Paragraph1"/>
    <w:basedOn w:val="Standaard"/>
    <w:qFormat/>
    <w:rsid w:val="00A66F92"/>
    <w:pPr>
      <w:spacing w:after="200" w:line="276" w:lineRule="auto"/>
      <w:ind w:left="720"/>
      <w:contextualSpacing/>
    </w:pPr>
    <w:rPr>
      <w:rFonts w:eastAsia="Calibri"/>
      <w:lang w:eastAsia="en-US"/>
    </w:rPr>
  </w:style>
  <w:style w:type="paragraph" w:styleId="Lijstalinea">
    <w:name w:val="List Paragraph"/>
    <w:basedOn w:val="Standaard"/>
    <w:qFormat/>
    <w:rsid w:val="00A66F92"/>
    <w:pPr>
      <w:ind w:left="720"/>
      <w:contextualSpacing/>
    </w:pPr>
  </w:style>
  <w:style w:type="paragraph" w:styleId="Ballontekst">
    <w:name w:val="Balloon Text"/>
    <w:basedOn w:val="Standaard"/>
    <w:link w:val="BallontekstChar"/>
    <w:uiPriority w:val="99"/>
    <w:semiHidden/>
    <w:unhideWhenUsed/>
    <w:rsid w:val="00E913AF"/>
    <w:rPr>
      <w:rFonts w:ascii="Tahoma" w:hAnsi="Tahoma" w:cs="Tahoma"/>
      <w:sz w:val="16"/>
      <w:szCs w:val="16"/>
    </w:rPr>
  </w:style>
  <w:style w:type="character" w:customStyle="1" w:styleId="BallontekstChar">
    <w:name w:val="Ballontekst Char"/>
    <w:basedOn w:val="Standaardalinea-lettertype"/>
    <w:link w:val="Ballontekst"/>
    <w:uiPriority w:val="99"/>
    <w:semiHidden/>
    <w:rsid w:val="00E913AF"/>
    <w:rPr>
      <w:rFonts w:ascii="Tahoma" w:eastAsia="Times New Roman" w:hAnsi="Tahoma" w:cs="Tahoma"/>
      <w:sz w:val="16"/>
      <w:szCs w:val="16"/>
      <w:lang w:val="nl-NL" w:eastAsia="nl-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ijnkosten.n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zorginstituutnederland.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2354</Words>
  <Characters>12951</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MUMC</Company>
  <LinksUpToDate>false</LinksUpToDate>
  <CharactersWithSpaces>15275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Noben C (HSR)</dc:creator>
  <cp:lastModifiedBy>de Kock</cp:lastModifiedBy>
  <cp:revision>2</cp:revision>
  <cp:lastPrinted>2016-06-24T12:46:00Z</cp:lastPrinted>
  <dcterms:created xsi:type="dcterms:W3CDTF">2018-12-08T20:14:00Z</dcterms:created>
  <dcterms:modified xsi:type="dcterms:W3CDTF">2018-12-08T20:14:00Z</dcterms:modified>
</cp:coreProperties>
</file>