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1134"/>
        <w:gridCol w:w="1276"/>
        <w:gridCol w:w="1559"/>
        <w:gridCol w:w="1560"/>
        <w:gridCol w:w="1417"/>
        <w:gridCol w:w="1701"/>
        <w:gridCol w:w="1559"/>
      </w:tblGrid>
      <w:tr w:rsidR="00D078E4" w:rsidRPr="00EA2B54" w:rsidTr="00D1283E">
        <w:tc>
          <w:tcPr>
            <w:tcW w:w="14884" w:type="dxa"/>
            <w:gridSpan w:val="10"/>
          </w:tcPr>
          <w:p w:rsidR="00D078E4" w:rsidRPr="00EA2B54" w:rsidRDefault="00E354EC" w:rsidP="00D078E4">
            <w:pPr>
              <w:spacing w:before="120" w:after="120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b/>
                <w:lang w:val="en-CA"/>
              </w:rPr>
              <w:t>Appendix</w:t>
            </w:r>
            <w:bookmarkStart w:id="0" w:name="_GoBack"/>
            <w:bookmarkEnd w:id="0"/>
            <w:r w:rsidR="00A7613C" w:rsidRPr="00EA2B54">
              <w:rPr>
                <w:rFonts w:ascii="Times New Roman" w:hAnsi="Times New Roman" w:cs="Times New Roman"/>
                <w:b/>
                <w:lang w:val="en-CA"/>
              </w:rPr>
              <w:t xml:space="preserve"> 2</w:t>
            </w:r>
            <w:r w:rsidR="00A7613C" w:rsidRPr="00EA2B54">
              <w:rPr>
                <w:rFonts w:ascii="Times New Roman" w:hAnsi="Times New Roman" w:cs="Times New Roman"/>
                <w:lang w:val="en-CA"/>
              </w:rPr>
              <w:t>.: Summary of findings</w:t>
            </w:r>
            <w:r w:rsidR="003F1877" w:rsidRPr="00EA2B54">
              <w:rPr>
                <w:rFonts w:ascii="Times New Roman" w:hAnsi="Times New Roman" w:cs="Times New Roman"/>
                <w:lang w:val="en-CA"/>
              </w:rPr>
              <w:t xml:space="preserve"> </w:t>
            </w:r>
          </w:p>
        </w:tc>
      </w:tr>
      <w:tr w:rsidR="00621D5C" w:rsidRPr="00EA2B54" w:rsidTr="00D1283E">
        <w:tc>
          <w:tcPr>
            <w:tcW w:w="14884" w:type="dxa"/>
            <w:gridSpan w:val="10"/>
          </w:tcPr>
          <w:p w:rsidR="00621D5C" w:rsidRPr="00EA2B54" w:rsidRDefault="00621D5C" w:rsidP="00621D5C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b/>
                <w:bCs/>
                <w:iCs/>
                <w:lang w:val="en-CA"/>
              </w:rPr>
              <w:t>Effect of the scope of practice on family physician health status</w:t>
            </w:r>
          </w:p>
          <w:p w:rsidR="00621D5C" w:rsidRPr="00EA2B54" w:rsidRDefault="00621D5C" w:rsidP="00621D5C">
            <w:pPr>
              <w:ind w:left="708"/>
              <w:rPr>
                <w:rFonts w:ascii="Times New Roman" w:hAnsi="Times New Roman" w:cs="Times New Roman"/>
                <w:i/>
                <w:lang w:val="en-CA"/>
              </w:rPr>
            </w:pPr>
            <w:r w:rsidRPr="00EA2B54">
              <w:rPr>
                <w:rFonts w:ascii="Times New Roman" w:hAnsi="Times New Roman" w:cs="Times New Roman"/>
                <w:i/>
                <w:lang w:val="en-CA"/>
              </w:rPr>
              <w:t>Population:</w:t>
            </w:r>
            <w:r w:rsidR="00B43C6E" w:rsidRPr="00EA2B54">
              <w:rPr>
                <w:rFonts w:ascii="Times New Roman" w:hAnsi="Times New Roman" w:cs="Times New Roman"/>
                <w:i/>
                <w:lang w:val="en-CA"/>
              </w:rPr>
              <w:t xml:space="preserve"> Family physicians</w:t>
            </w:r>
          </w:p>
          <w:p w:rsidR="00621D5C" w:rsidRPr="00EA2B54" w:rsidRDefault="00621D5C" w:rsidP="00621D5C">
            <w:pPr>
              <w:ind w:left="708"/>
              <w:rPr>
                <w:rFonts w:ascii="Times New Roman" w:hAnsi="Times New Roman" w:cs="Times New Roman"/>
                <w:i/>
                <w:lang w:val="en-CA"/>
              </w:rPr>
            </w:pPr>
            <w:r w:rsidRPr="00EA2B54">
              <w:rPr>
                <w:rFonts w:ascii="Times New Roman" w:hAnsi="Times New Roman" w:cs="Times New Roman"/>
                <w:i/>
                <w:lang w:val="en-CA"/>
              </w:rPr>
              <w:t>Exposures: Scope of practice</w:t>
            </w:r>
          </w:p>
          <w:p w:rsidR="00621D5C" w:rsidRPr="00EA2B54" w:rsidRDefault="00621D5C" w:rsidP="00621D5C">
            <w:pPr>
              <w:ind w:left="708"/>
              <w:rPr>
                <w:rFonts w:ascii="Times New Roman" w:hAnsi="Times New Roman" w:cs="Times New Roman"/>
                <w:i/>
                <w:lang w:val="en-CA"/>
              </w:rPr>
            </w:pPr>
            <w:r w:rsidRPr="00EA2B54">
              <w:rPr>
                <w:rFonts w:ascii="Times New Roman" w:hAnsi="Times New Roman" w:cs="Times New Roman"/>
                <w:i/>
                <w:lang w:val="en-CA"/>
              </w:rPr>
              <w:t>Outcomes: Family physician health status</w:t>
            </w:r>
          </w:p>
          <w:p w:rsidR="00621D5C" w:rsidRPr="00EA2B54" w:rsidRDefault="00621D5C" w:rsidP="00621D5C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i/>
                <w:lang w:val="en-CA"/>
              </w:rPr>
              <w:t xml:space="preserve">Settings: </w:t>
            </w:r>
            <w:r w:rsidR="00BE4C37" w:rsidRPr="00EA2B54">
              <w:rPr>
                <w:rFonts w:ascii="Times New Roman" w:hAnsi="Times New Roman" w:cs="Times New Roman"/>
                <w:i/>
                <w:lang w:val="en-CA"/>
              </w:rPr>
              <w:t>Multiple clinical practice settings</w:t>
            </w:r>
            <w:r w:rsidR="00BE4C37" w:rsidRPr="00EA2B54">
              <w:rPr>
                <w:rFonts w:ascii="Times New Roman" w:hAnsi="Times New Roman" w:cs="Times New Roman"/>
                <w:lang w:val="en-CA"/>
              </w:rPr>
              <w:t xml:space="preserve"> </w:t>
            </w:r>
          </w:p>
        </w:tc>
      </w:tr>
      <w:tr w:rsidR="00621D5C" w:rsidRPr="00EA2B54" w:rsidTr="004C4442">
        <w:trPr>
          <w:trHeight w:val="331"/>
        </w:trPr>
        <w:tc>
          <w:tcPr>
            <w:tcW w:w="1418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Outcomes</w:t>
            </w:r>
          </w:p>
        </w:tc>
        <w:tc>
          <w:tcPr>
            <w:tcW w:w="1843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Exposure</w:t>
            </w:r>
          </w:p>
        </w:tc>
        <w:tc>
          <w:tcPr>
            <w:tcW w:w="1417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Study design</w:t>
            </w:r>
          </w:p>
        </w:tc>
        <w:tc>
          <w:tcPr>
            <w:tcW w:w="1134" w:type="dxa"/>
          </w:tcPr>
          <w:p w:rsidR="00621D5C" w:rsidRPr="00EA2B54" w:rsidRDefault="00621D5C" w:rsidP="00621D5C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 of studies</w:t>
            </w:r>
          </w:p>
        </w:tc>
        <w:tc>
          <w:tcPr>
            <w:tcW w:w="1276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Risk of bias</w:t>
            </w:r>
          </w:p>
        </w:tc>
        <w:tc>
          <w:tcPr>
            <w:tcW w:w="1559" w:type="dxa"/>
          </w:tcPr>
          <w:p w:rsidR="00621D5C" w:rsidRPr="00EA2B54" w:rsidRDefault="000B117D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Inconsistency</w:t>
            </w:r>
          </w:p>
        </w:tc>
        <w:tc>
          <w:tcPr>
            <w:tcW w:w="1560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Indirectness</w:t>
            </w:r>
          </w:p>
        </w:tc>
        <w:tc>
          <w:tcPr>
            <w:tcW w:w="1417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Imprecision</w:t>
            </w:r>
          </w:p>
        </w:tc>
        <w:tc>
          <w:tcPr>
            <w:tcW w:w="1701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Publication bias</w:t>
            </w:r>
          </w:p>
        </w:tc>
        <w:tc>
          <w:tcPr>
            <w:tcW w:w="1559" w:type="dxa"/>
          </w:tcPr>
          <w:p w:rsidR="00BE4C37" w:rsidRPr="00EA2B54" w:rsidRDefault="00C4773A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Certainty</w:t>
            </w:r>
            <w:r w:rsidR="0058316E" w:rsidRPr="00EA2B54">
              <w:rPr>
                <w:rFonts w:ascii="Times New Roman" w:hAnsi="Times New Roman" w:cs="Times New Roman"/>
                <w:lang w:val="en-CA"/>
              </w:rPr>
              <w:t>*</w:t>
            </w:r>
          </w:p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(Overall score)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Burnout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In-patient medicine practice</w:t>
            </w:r>
          </w:p>
        </w:tc>
        <w:tc>
          <w:tcPr>
            <w:tcW w:w="1417" w:type="dxa"/>
          </w:tcPr>
          <w:p w:rsidR="00A96C21" w:rsidRPr="00EA2B54" w:rsidRDefault="00A96C21" w:rsidP="00EA2B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None(0)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4780EAC4" wp14:editId="37BB4010">
                  <wp:extent cx="428625" cy="114300"/>
                  <wp:effectExtent l="0" t="0" r="9525" b="0"/>
                  <wp:docPr id="5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Burnout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Obstetric practices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25957E01" wp14:editId="730FBE2F">
                  <wp:extent cx="428625" cy="114300"/>
                  <wp:effectExtent l="0" t="0" r="9525" b="0"/>
                  <wp:docPr id="8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Burnout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Practice pediatric ambulatory care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3DFFF867" wp14:editId="1FE94D7A">
                  <wp:extent cx="428625" cy="114300"/>
                  <wp:effectExtent l="0" t="0" r="9525" b="0"/>
                  <wp:docPr id="9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Burnout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Scope of practice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44E14CA" wp14:editId="5280708F">
                  <wp:extent cx="428625" cy="114300"/>
                  <wp:effectExtent l="0" t="0" r="9525" b="0"/>
                  <wp:docPr id="87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  <w:noProof/>
                <w:lang w:eastAsia="fr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621D5C" w:rsidRPr="00EA2B54" w:rsidTr="004C4442">
        <w:tc>
          <w:tcPr>
            <w:tcW w:w="1418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843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417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134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276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59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60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417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701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59" w:type="dxa"/>
          </w:tcPr>
          <w:p w:rsidR="00621D5C" w:rsidRPr="00EA2B54" w:rsidRDefault="00621D5C" w:rsidP="00FC51F6">
            <w:pPr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621D5C" w:rsidRPr="00EA2B54" w:rsidTr="00D1283E">
        <w:tc>
          <w:tcPr>
            <w:tcW w:w="14884" w:type="dxa"/>
            <w:gridSpan w:val="10"/>
          </w:tcPr>
          <w:p w:rsidR="00621D5C" w:rsidRPr="00EA2B54" w:rsidRDefault="00621D5C" w:rsidP="00621D5C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b/>
                <w:bCs/>
                <w:iCs/>
                <w:lang w:val="en-CA"/>
              </w:rPr>
              <w:t>Effect of the scope of practice on family physician competences</w:t>
            </w:r>
          </w:p>
          <w:p w:rsidR="00621D5C" w:rsidRPr="00EA2B54" w:rsidRDefault="00621D5C" w:rsidP="00621D5C">
            <w:pPr>
              <w:ind w:left="708"/>
              <w:rPr>
                <w:rFonts w:ascii="Times New Roman" w:hAnsi="Times New Roman" w:cs="Times New Roman"/>
                <w:i/>
                <w:lang w:val="en-CA"/>
              </w:rPr>
            </w:pPr>
            <w:r w:rsidRPr="00EA2B54">
              <w:rPr>
                <w:rFonts w:ascii="Times New Roman" w:hAnsi="Times New Roman" w:cs="Times New Roman"/>
                <w:i/>
                <w:lang w:val="en-CA"/>
              </w:rPr>
              <w:t>Population:</w:t>
            </w:r>
            <w:r w:rsidR="00D078E4" w:rsidRPr="00EA2B54">
              <w:rPr>
                <w:rFonts w:ascii="Times New Roman" w:hAnsi="Times New Roman" w:cs="Times New Roman"/>
                <w:i/>
                <w:lang w:val="en-CA"/>
              </w:rPr>
              <w:t xml:space="preserve"> Family physicians</w:t>
            </w:r>
          </w:p>
          <w:p w:rsidR="00621D5C" w:rsidRPr="00EA2B54" w:rsidRDefault="00621D5C" w:rsidP="00621D5C">
            <w:pPr>
              <w:ind w:left="708"/>
              <w:rPr>
                <w:rFonts w:ascii="Times New Roman" w:hAnsi="Times New Roman" w:cs="Times New Roman"/>
                <w:i/>
                <w:lang w:val="en-CA"/>
              </w:rPr>
            </w:pPr>
            <w:r w:rsidRPr="00EA2B54">
              <w:rPr>
                <w:rFonts w:ascii="Times New Roman" w:hAnsi="Times New Roman" w:cs="Times New Roman"/>
                <w:i/>
                <w:lang w:val="en-CA"/>
              </w:rPr>
              <w:t>Exposures: Scope of practice</w:t>
            </w:r>
          </w:p>
          <w:p w:rsidR="00621D5C" w:rsidRPr="00EA2B54" w:rsidRDefault="00621D5C" w:rsidP="00621D5C">
            <w:pPr>
              <w:ind w:left="708"/>
              <w:rPr>
                <w:rFonts w:ascii="Times New Roman" w:hAnsi="Times New Roman" w:cs="Times New Roman"/>
                <w:i/>
                <w:lang w:val="en-CA"/>
              </w:rPr>
            </w:pPr>
            <w:r w:rsidRPr="00EA2B54">
              <w:rPr>
                <w:rFonts w:ascii="Times New Roman" w:hAnsi="Times New Roman" w:cs="Times New Roman"/>
                <w:i/>
                <w:lang w:val="en-CA"/>
              </w:rPr>
              <w:t>Outcomes: Family physician competences</w:t>
            </w:r>
          </w:p>
          <w:p w:rsidR="00621D5C" w:rsidRPr="00EA2B54" w:rsidRDefault="00621D5C" w:rsidP="00621D5C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i/>
                <w:lang w:val="en-CA"/>
              </w:rPr>
              <w:t xml:space="preserve">Settings: </w:t>
            </w:r>
            <w:r w:rsidR="00B43C6E" w:rsidRPr="00EA2B54">
              <w:rPr>
                <w:rFonts w:ascii="Times New Roman" w:hAnsi="Times New Roman" w:cs="Times New Roman"/>
                <w:i/>
                <w:lang w:val="en-CA"/>
              </w:rPr>
              <w:t>Urban area; Rural area</w:t>
            </w:r>
          </w:p>
        </w:tc>
      </w:tr>
      <w:tr w:rsidR="00621D5C" w:rsidRPr="00EA2B54" w:rsidTr="004C4442">
        <w:tc>
          <w:tcPr>
            <w:tcW w:w="1418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Outcomes</w:t>
            </w:r>
          </w:p>
        </w:tc>
        <w:tc>
          <w:tcPr>
            <w:tcW w:w="1843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Exposure</w:t>
            </w:r>
          </w:p>
        </w:tc>
        <w:tc>
          <w:tcPr>
            <w:tcW w:w="1417" w:type="dxa"/>
          </w:tcPr>
          <w:p w:rsidR="00621D5C" w:rsidRPr="00EA2B54" w:rsidRDefault="00B43C6E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Study design</w:t>
            </w:r>
          </w:p>
        </w:tc>
        <w:tc>
          <w:tcPr>
            <w:tcW w:w="1134" w:type="dxa"/>
          </w:tcPr>
          <w:p w:rsidR="00621D5C" w:rsidRPr="00EA2B54" w:rsidRDefault="00621D5C" w:rsidP="00B43C6E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 of studies</w:t>
            </w:r>
          </w:p>
        </w:tc>
        <w:tc>
          <w:tcPr>
            <w:tcW w:w="1276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Risk of bias</w:t>
            </w:r>
          </w:p>
        </w:tc>
        <w:tc>
          <w:tcPr>
            <w:tcW w:w="1559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Inconsistency </w:t>
            </w:r>
          </w:p>
        </w:tc>
        <w:tc>
          <w:tcPr>
            <w:tcW w:w="1560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Indirectness</w:t>
            </w:r>
          </w:p>
        </w:tc>
        <w:tc>
          <w:tcPr>
            <w:tcW w:w="1417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Imprecision</w:t>
            </w:r>
          </w:p>
        </w:tc>
        <w:tc>
          <w:tcPr>
            <w:tcW w:w="1701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Publication bias</w:t>
            </w:r>
          </w:p>
        </w:tc>
        <w:tc>
          <w:tcPr>
            <w:tcW w:w="1559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Overall score</w:t>
            </w:r>
          </w:p>
        </w:tc>
      </w:tr>
      <w:tr w:rsidR="003F1877" w:rsidRPr="00EA2B54" w:rsidTr="004C4442">
        <w:tc>
          <w:tcPr>
            <w:tcW w:w="1418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Maintenance of certification </w:t>
            </w:r>
          </w:p>
        </w:tc>
        <w:tc>
          <w:tcPr>
            <w:tcW w:w="1843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Clinical activities in urban area</w:t>
            </w:r>
          </w:p>
        </w:tc>
        <w:tc>
          <w:tcPr>
            <w:tcW w:w="1417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3F1877" w:rsidRPr="00EA2B54" w:rsidRDefault="00EA2B54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3F1877" w:rsidRPr="00EA2B54" w:rsidRDefault="00CA25C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3DD51357" wp14:editId="3253D66F">
                  <wp:extent cx="428625" cy="114300"/>
                  <wp:effectExtent l="0" t="0" r="9525" b="0"/>
                  <wp:docPr id="10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3F1877" w:rsidRPr="00EA2B54" w:rsidTr="004C4442">
        <w:tc>
          <w:tcPr>
            <w:tcW w:w="1418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Maintenance of certification</w:t>
            </w:r>
          </w:p>
        </w:tc>
        <w:tc>
          <w:tcPr>
            <w:tcW w:w="1843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Clinical activities in rural area</w:t>
            </w:r>
          </w:p>
        </w:tc>
        <w:tc>
          <w:tcPr>
            <w:tcW w:w="1417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3F1877" w:rsidRPr="00EA2B54" w:rsidRDefault="00EA2B54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3F1877" w:rsidRPr="00EA2B54" w:rsidRDefault="00CA25C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5563465" wp14:editId="6724D8E3">
                  <wp:extent cx="428625" cy="114300"/>
                  <wp:effectExtent l="0" t="0" r="9525" b="0"/>
                  <wp:docPr id="11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621D5C" w:rsidRPr="00EA2B54" w:rsidTr="004C4442">
        <w:tc>
          <w:tcPr>
            <w:tcW w:w="1418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843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417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134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276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59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60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417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701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59" w:type="dxa"/>
          </w:tcPr>
          <w:p w:rsidR="00621D5C" w:rsidRPr="00EA2B54" w:rsidRDefault="00621D5C" w:rsidP="00EB2054">
            <w:pPr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A24434" w:rsidRPr="00EA2B54" w:rsidTr="00D1283E">
        <w:tc>
          <w:tcPr>
            <w:tcW w:w="14884" w:type="dxa"/>
            <w:gridSpan w:val="10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b/>
                <w:bCs/>
                <w:iCs/>
                <w:lang w:val="en-CA"/>
              </w:rPr>
              <w:t xml:space="preserve">Effect of the scope of practice on family physician </w:t>
            </w:r>
            <w:r w:rsidR="008940A6" w:rsidRPr="00EA2B54">
              <w:rPr>
                <w:rFonts w:ascii="Times New Roman" w:hAnsi="Times New Roman" w:cs="Times New Roman"/>
                <w:b/>
                <w:bCs/>
                <w:iCs/>
                <w:lang w:val="en-CA"/>
              </w:rPr>
              <w:t>psychosocial outcomes</w:t>
            </w:r>
          </w:p>
          <w:p w:rsidR="00A24434" w:rsidRPr="00EA2B54" w:rsidRDefault="00A24434" w:rsidP="008940A6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Population: </w:t>
            </w:r>
            <w:r w:rsidR="00EB1BB4" w:rsidRPr="00EA2B54">
              <w:rPr>
                <w:rFonts w:ascii="Times New Roman" w:hAnsi="Times New Roman" w:cs="Times New Roman"/>
                <w:lang w:val="en-CA"/>
              </w:rPr>
              <w:t>Family physicians</w:t>
            </w:r>
          </w:p>
          <w:p w:rsidR="00A24434" w:rsidRPr="00EA2B54" w:rsidRDefault="00A24434" w:rsidP="008940A6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Exposures: Scope of practice</w:t>
            </w:r>
          </w:p>
          <w:p w:rsidR="00A24434" w:rsidRPr="00EA2B54" w:rsidRDefault="00A24434" w:rsidP="008940A6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lastRenderedPageBreak/>
              <w:t xml:space="preserve">Outcomes: </w:t>
            </w:r>
            <w:r w:rsidR="00EB1BB4" w:rsidRPr="00EA2B54">
              <w:rPr>
                <w:rFonts w:ascii="Times New Roman" w:hAnsi="Times New Roman" w:cs="Times New Roman"/>
                <w:bCs/>
                <w:iCs/>
                <w:lang w:val="en-CA"/>
              </w:rPr>
              <w:t>F</w:t>
            </w:r>
            <w:r w:rsidRPr="00EA2B54">
              <w:rPr>
                <w:rFonts w:ascii="Times New Roman" w:hAnsi="Times New Roman" w:cs="Times New Roman"/>
                <w:bCs/>
                <w:iCs/>
                <w:lang w:val="en-CA"/>
              </w:rPr>
              <w:t xml:space="preserve">amily physician </w:t>
            </w:r>
            <w:r w:rsidR="008940A6" w:rsidRPr="00EA2B54">
              <w:rPr>
                <w:rFonts w:ascii="Times New Roman" w:hAnsi="Times New Roman" w:cs="Times New Roman"/>
                <w:bCs/>
                <w:iCs/>
                <w:lang w:val="en-CA"/>
              </w:rPr>
              <w:t>psychosocial outcomes</w:t>
            </w:r>
          </w:p>
          <w:p w:rsidR="00A24434" w:rsidRPr="00EA2B54" w:rsidRDefault="00A24434" w:rsidP="008940A6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Settings: </w:t>
            </w:r>
            <w:r w:rsidR="00EB1BB4"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Private offices or clinics, community clinics or health centres, or academic family medicine teaching units; all except free-standing walk-in clinics, nursing homes, hospital inpatient units, or emergency departments</w:t>
            </w:r>
          </w:p>
        </w:tc>
      </w:tr>
      <w:tr w:rsidR="00A24434" w:rsidRPr="00EA2B54" w:rsidTr="004C4442">
        <w:tc>
          <w:tcPr>
            <w:tcW w:w="1418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lastRenderedPageBreak/>
              <w:t>Outcomes</w:t>
            </w:r>
          </w:p>
        </w:tc>
        <w:tc>
          <w:tcPr>
            <w:tcW w:w="1843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Exposure</w:t>
            </w:r>
          </w:p>
        </w:tc>
        <w:tc>
          <w:tcPr>
            <w:tcW w:w="1417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Study design</w:t>
            </w:r>
          </w:p>
        </w:tc>
        <w:tc>
          <w:tcPr>
            <w:tcW w:w="1134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 of studies</w:t>
            </w:r>
          </w:p>
        </w:tc>
        <w:tc>
          <w:tcPr>
            <w:tcW w:w="1276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Risk of bias</w:t>
            </w:r>
          </w:p>
        </w:tc>
        <w:tc>
          <w:tcPr>
            <w:tcW w:w="1559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Inconsistency </w:t>
            </w:r>
          </w:p>
        </w:tc>
        <w:tc>
          <w:tcPr>
            <w:tcW w:w="1560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Indirectness</w:t>
            </w:r>
          </w:p>
        </w:tc>
        <w:tc>
          <w:tcPr>
            <w:tcW w:w="1417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Imprecision</w:t>
            </w:r>
          </w:p>
        </w:tc>
        <w:tc>
          <w:tcPr>
            <w:tcW w:w="1701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Publication bias</w:t>
            </w:r>
          </w:p>
        </w:tc>
        <w:tc>
          <w:tcPr>
            <w:tcW w:w="1559" w:type="dxa"/>
          </w:tcPr>
          <w:p w:rsidR="00A24434" w:rsidRPr="00EA2B54" w:rsidRDefault="00A24434" w:rsidP="008940A6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Overall score</w:t>
            </w:r>
          </w:p>
        </w:tc>
      </w:tr>
      <w:tr w:rsidR="003F1877" w:rsidRPr="00EA2B54" w:rsidTr="004C4442">
        <w:tc>
          <w:tcPr>
            <w:tcW w:w="1418" w:type="dxa"/>
          </w:tcPr>
          <w:p w:rsidR="003F1877" w:rsidRPr="00EA2B54" w:rsidRDefault="003F1877" w:rsidP="003F1877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AvenirLTStd-Roman" w:hAnsi="Times New Roman" w:cs="Times New Roman"/>
                <w:lang w:val="en-CA"/>
              </w:rPr>
              <w:t>Loss of meaning in work</w:t>
            </w:r>
          </w:p>
        </w:tc>
        <w:tc>
          <w:tcPr>
            <w:tcW w:w="1843" w:type="dxa"/>
          </w:tcPr>
          <w:p w:rsidR="003F1877" w:rsidRPr="00EA2B54" w:rsidRDefault="003F1877" w:rsidP="003F1877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Administrative overload</w:t>
            </w:r>
          </w:p>
        </w:tc>
        <w:tc>
          <w:tcPr>
            <w:tcW w:w="1417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3F1877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</w:t>
            </w:r>
            <w:r w:rsidR="003F1877" w:rsidRPr="00EA2B54">
              <w:rPr>
                <w:rFonts w:ascii="Times New Roman" w:hAnsi="Times New Roman" w:cs="Times New Roman"/>
                <w:lang w:val="en-CA"/>
              </w:rPr>
              <w:t>erious (-</w:t>
            </w: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  <w:r w:rsidR="003F1877" w:rsidRPr="00EA2B54">
              <w:rPr>
                <w:rFonts w:ascii="Times New Roman" w:hAnsi="Times New Roman" w:cs="Times New Roman"/>
                <w:lang w:val="en-CA"/>
              </w:rPr>
              <w:t>)</w:t>
            </w:r>
          </w:p>
        </w:tc>
        <w:tc>
          <w:tcPr>
            <w:tcW w:w="1559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3F1877" w:rsidRPr="00EA2B54" w:rsidRDefault="00CA25C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8A58D1" w:rsidRPr="00EA2B54" w:rsidRDefault="008A58D1" w:rsidP="008A58D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C9EF24A" wp14:editId="18C1C991">
                  <wp:extent cx="428625" cy="114300"/>
                  <wp:effectExtent l="0" t="0" r="9525" b="0"/>
                  <wp:docPr id="89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877" w:rsidRPr="00EA2B54" w:rsidRDefault="008A58D1" w:rsidP="008A58D1">
            <w:pPr>
              <w:rPr>
                <w:rFonts w:ascii="Times New Roman" w:hAnsi="Times New Roman" w:cs="Times New Roman"/>
                <w:noProof/>
                <w:lang w:val="en-CA" w:eastAsia="fr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3F1877" w:rsidRPr="00EA2B54" w:rsidTr="004C4442">
        <w:tc>
          <w:tcPr>
            <w:tcW w:w="1418" w:type="dxa"/>
          </w:tcPr>
          <w:p w:rsidR="003F1877" w:rsidRPr="00EA2B54" w:rsidRDefault="003F1877" w:rsidP="003F1877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AvenirLTStd-Roman" w:hAnsi="Times New Roman" w:cs="Times New Roman"/>
                <w:lang w:val="en-CA"/>
              </w:rPr>
              <w:t>Loss of meaning in work</w:t>
            </w:r>
          </w:p>
        </w:tc>
        <w:tc>
          <w:tcPr>
            <w:tcW w:w="1843" w:type="dxa"/>
          </w:tcPr>
          <w:p w:rsidR="003F1877" w:rsidRPr="00EA2B54" w:rsidRDefault="003F1877" w:rsidP="003F1877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activities</w:t>
            </w:r>
          </w:p>
        </w:tc>
        <w:tc>
          <w:tcPr>
            <w:tcW w:w="1417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3F1877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</w:t>
            </w:r>
            <w:r w:rsidR="003F1877" w:rsidRPr="00EA2B54">
              <w:rPr>
                <w:rFonts w:ascii="Times New Roman" w:hAnsi="Times New Roman" w:cs="Times New Roman"/>
                <w:lang w:val="en-CA"/>
              </w:rPr>
              <w:t xml:space="preserve">erious </w:t>
            </w:r>
            <w:r w:rsidRPr="00EA2B54">
              <w:rPr>
                <w:rFonts w:ascii="Times New Roman" w:hAnsi="Times New Roman" w:cs="Times New Roman"/>
                <w:lang w:val="en-CA"/>
              </w:rPr>
              <w:t>(-1</w:t>
            </w:r>
            <w:r w:rsidR="003F1877" w:rsidRPr="00EA2B54">
              <w:rPr>
                <w:rFonts w:ascii="Times New Roman" w:hAnsi="Times New Roman" w:cs="Times New Roman"/>
                <w:lang w:val="en-CA"/>
              </w:rPr>
              <w:t>)</w:t>
            </w:r>
          </w:p>
        </w:tc>
        <w:tc>
          <w:tcPr>
            <w:tcW w:w="1559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3F1877" w:rsidRPr="00EA2B54" w:rsidRDefault="00CA25C7" w:rsidP="003F1877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3F1877" w:rsidRPr="00EA2B54" w:rsidRDefault="003F1877" w:rsidP="003F1877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8A58D1" w:rsidRPr="00EA2B54" w:rsidRDefault="008A58D1" w:rsidP="008A58D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C9EF24A" wp14:editId="18C1C991">
                  <wp:extent cx="428625" cy="114300"/>
                  <wp:effectExtent l="0" t="0" r="9525" b="0"/>
                  <wp:docPr id="90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877" w:rsidRPr="00EA2B54" w:rsidRDefault="008A58D1" w:rsidP="008A58D1">
            <w:pPr>
              <w:rPr>
                <w:rFonts w:ascii="Times New Roman" w:hAnsi="Times New Roman" w:cs="Times New Roman"/>
                <w:noProof/>
                <w:lang w:val="en-CA" w:eastAsia="fr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Overall job satisfaction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Teaching activities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269EE192" wp14:editId="38406DD7">
                  <wp:extent cx="428625" cy="114300"/>
                  <wp:effectExtent l="0" t="0" r="9525" b="0"/>
                  <wp:docPr id="88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Overall job satisfaction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Variety of procedures done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AC295BE" wp14:editId="35F75C30">
                  <wp:extent cx="428625" cy="114300"/>
                  <wp:effectExtent l="0" t="0" r="9525" b="0"/>
                  <wp:docPr id="19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Overall job satisfaction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Teaching activities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D985FD2" wp14:editId="09A0F8F3">
                  <wp:extent cx="428625" cy="114300"/>
                  <wp:effectExtent l="0" t="0" r="9525" b="0"/>
                  <wp:docPr id="1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Security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2EB9CF84" wp14:editId="295AD3BF">
                  <wp:extent cx="428625" cy="114300"/>
                  <wp:effectExtent l="0" t="0" r="9525" b="0"/>
                  <wp:docPr id="3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Hedonism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C7A033B" wp14:editId="0FDAB4CB">
                  <wp:extent cx="428625" cy="114300"/>
                  <wp:effectExtent l="0" t="0" r="9525" b="0"/>
                  <wp:docPr id="4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Universalism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45698BA" wp14:editId="192DEE44">
                  <wp:extent cx="428625" cy="114300"/>
                  <wp:effectExtent l="0" t="0" r="9525" b="0"/>
                  <wp:docPr id="20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Conformity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21A6040" wp14:editId="18EB3DE9">
                  <wp:extent cx="428625" cy="114300"/>
                  <wp:effectExtent l="0" t="0" r="9525" b="0"/>
                  <wp:docPr id="6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Power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D8CFD9E" wp14:editId="44EA5D48">
                  <wp:extent cx="428625" cy="114300"/>
                  <wp:effectExtent l="0" t="0" r="9525" b="0"/>
                  <wp:docPr id="7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Benevolence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E09668D" wp14:editId="79B00F6D">
                  <wp:extent cx="428625" cy="114300"/>
                  <wp:effectExtent l="0" t="0" r="9525" b="0"/>
                  <wp:docPr id="21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Self-direction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A208213" wp14:editId="2C2AF117">
                  <wp:extent cx="428625" cy="114300"/>
                  <wp:effectExtent l="0" t="0" r="9525" b="0"/>
                  <wp:docPr id="22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Stimulation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66FBF33" wp14:editId="0806B1B7">
                  <wp:extent cx="428625" cy="114300"/>
                  <wp:effectExtent l="0" t="0" r="9525" b="0"/>
                  <wp:docPr id="23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Achievement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3DC7713" wp14:editId="3BD0D338">
                  <wp:extent cx="428625" cy="114300"/>
                  <wp:effectExtent l="0" t="0" r="9525" b="0"/>
                  <wp:docPr id="24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Tradition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543D17A" wp14:editId="25C80FC3">
                  <wp:extent cx="428625" cy="114300"/>
                  <wp:effectExtent l="0" t="0" r="9525" b="0"/>
                  <wp:docPr id="25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Security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Inpatient care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7116889" wp14:editId="41E40831">
                  <wp:extent cx="428625" cy="114300"/>
                  <wp:effectExtent l="0" t="0" r="9525" b="0"/>
                  <wp:docPr id="26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Hedonism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41B1105" wp14:editId="7D68E91E">
                  <wp:extent cx="428625" cy="114300"/>
                  <wp:effectExtent l="0" t="0" r="9525" b="0"/>
                  <wp:docPr id="37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Universalism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3CC43137" wp14:editId="4DA0D4A2">
                  <wp:extent cx="428625" cy="114300"/>
                  <wp:effectExtent l="0" t="0" r="9525" b="0"/>
                  <wp:docPr id="38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Conformity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2E0A39E6" wp14:editId="595BE75F">
                  <wp:extent cx="428625" cy="114300"/>
                  <wp:effectExtent l="0" t="0" r="9525" b="0"/>
                  <wp:docPr id="39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Power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35C817E8" wp14:editId="5849E470">
                  <wp:extent cx="428625" cy="114300"/>
                  <wp:effectExtent l="0" t="0" r="9525" b="0"/>
                  <wp:docPr id="40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Benevolence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47689A6E" wp14:editId="12F945DB">
                  <wp:extent cx="428625" cy="114300"/>
                  <wp:effectExtent l="0" t="0" r="9525" b="0"/>
                  <wp:docPr id="41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Self-direction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7FF99881" wp14:editId="255C84AD">
                  <wp:extent cx="428625" cy="114300"/>
                  <wp:effectExtent l="0" t="0" r="9525" b="0"/>
                  <wp:docPr id="42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Stimulation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95AA568" wp14:editId="55886856">
                  <wp:extent cx="428625" cy="114300"/>
                  <wp:effectExtent l="0" t="0" r="9525" b="0"/>
                  <wp:docPr id="43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Achievement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D17981C" wp14:editId="3D336774">
                  <wp:extent cx="428625" cy="114300"/>
                  <wp:effectExtent l="0" t="0" r="9525" b="0"/>
                  <wp:docPr id="44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Tradition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8B1C918" wp14:editId="277C5AA3">
                  <wp:extent cx="428625" cy="114300"/>
                  <wp:effectExtent l="0" t="0" r="9525" b="0"/>
                  <wp:docPr id="45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Security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Teaching medical trainees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None(0)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8ADEC8A" wp14:editId="7358555A">
                  <wp:extent cx="428625" cy="114300"/>
                  <wp:effectExtent l="0" t="0" r="9525" b="0"/>
                  <wp:docPr id="46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Power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ECF5B21" wp14:editId="13E7B72A">
                  <wp:extent cx="428625" cy="114300"/>
                  <wp:effectExtent l="0" t="0" r="9525" b="0"/>
                  <wp:docPr id="47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Benevolence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3B6A863F" wp14:editId="00ACFD60">
                  <wp:extent cx="428625" cy="114300"/>
                  <wp:effectExtent l="0" t="0" r="9525" b="0"/>
                  <wp:docPr id="48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Self-direction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781013A" wp14:editId="7B18CE22">
                  <wp:extent cx="428625" cy="114300"/>
                  <wp:effectExtent l="0" t="0" r="9525" b="0"/>
                  <wp:docPr id="49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Stimulation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1A8DF4F" wp14:editId="468B999D">
                  <wp:extent cx="428625" cy="114300"/>
                  <wp:effectExtent l="0" t="0" r="9525" b="0"/>
                  <wp:docPr id="50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BE1442" w:rsidRPr="00EA2B54" w:rsidTr="004C4442">
        <w:tc>
          <w:tcPr>
            <w:tcW w:w="1418" w:type="dxa"/>
          </w:tcPr>
          <w:p w:rsidR="00BE1442" w:rsidRPr="00EA2B54" w:rsidRDefault="00BE1442" w:rsidP="00BE144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Achievement (personal value)</w:t>
            </w:r>
          </w:p>
        </w:tc>
        <w:tc>
          <w:tcPr>
            <w:tcW w:w="1843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BE1442" w:rsidRPr="00EA2B54" w:rsidRDefault="00BE1442" w:rsidP="00BE144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7490F38D" wp14:editId="77DC5384">
                  <wp:extent cx="428625" cy="114300"/>
                  <wp:effectExtent l="0" t="0" r="9525" b="0"/>
                  <wp:docPr id="51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442" w:rsidRPr="00EA2B54" w:rsidRDefault="00BE1442" w:rsidP="00BE144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Tradition (personal value)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E75F6AF" wp14:editId="6E858C89">
                  <wp:extent cx="428625" cy="114300"/>
                  <wp:effectExtent l="0" t="0" r="9525" b="0"/>
                  <wp:docPr id="52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Hedonism (personal value)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46D525E" wp14:editId="40FD9785">
                  <wp:extent cx="428625" cy="114300"/>
                  <wp:effectExtent l="0" t="0" r="9525" b="0"/>
                  <wp:docPr id="53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Universalism (personal value)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BAAAC12" wp14:editId="3D9817D0">
                  <wp:extent cx="428625" cy="114300"/>
                  <wp:effectExtent l="0" t="0" r="9525" b="0"/>
                  <wp:docPr id="54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Conformity (personal value)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Obstetric practices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ED66846" wp14:editId="526AF383">
                  <wp:extent cx="428625" cy="114300"/>
                  <wp:effectExtent l="0" t="0" r="9525" b="0"/>
                  <wp:docPr id="55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604499" w:rsidRPr="00EA2B54" w:rsidTr="004C4442">
        <w:tc>
          <w:tcPr>
            <w:tcW w:w="1418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843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417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134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276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59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60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417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701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559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604499" w:rsidRPr="00EA2B54" w:rsidTr="00D1283E">
        <w:tc>
          <w:tcPr>
            <w:tcW w:w="14884" w:type="dxa"/>
            <w:gridSpan w:val="10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b/>
                <w:bCs/>
                <w:iCs/>
                <w:lang w:val="en-CA"/>
              </w:rPr>
              <w:t>Effect of the scope of practice on family physician performance</w:t>
            </w:r>
          </w:p>
          <w:p w:rsidR="00604499" w:rsidRPr="00EA2B54" w:rsidRDefault="00604499" w:rsidP="00604499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Population: </w:t>
            </w: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Family physicians</w:t>
            </w:r>
          </w:p>
          <w:p w:rsidR="00604499" w:rsidRPr="00EA2B54" w:rsidRDefault="00604499" w:rsidP="00604499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Exposures: Scope of practice</w:t>
            </w:r>
          </w:p>
          <w:p w:rsidR="00604499" w:rsidRPr="00EA2B54" w:rsidRDefault="00604499" w:rsidP="00604499">
            <w:pPr>
              <w:ind w:left="708"/>
              <w:rPr>
                <w:rFonts w:ascii="Times New Roman" w:hAnsi="Times New Roman" w:cs="Times New Roman"/>
                <w:b/>
                <w:bCs/>
                <w:iCs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Outcomes: </w:t>
            </w:r>
            <w:r w:rsidRPr="00EA2B54">
              <w:rPr>
                <w:rFonts w:ascii="Times New Roman" w:hAnsi="Times New Roman" w:cs="Times New Roman"/>
                <w:bCs/>
                <w:iCs/>
                <w:lang w:val="en-CA"/>
              </w:rPr>
              <w:t>Family physician performance</w:t>
            </w:r>
          </w:p>
          <w:p w:rsidR="00604499" w:rsidRPr="00EA2B54" w:rsidRDefault="00604499" w:rsidP="00604499">
            <w:pPr>
              <w:ind w:left="708"/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Settings: Primary care and hospital; </w:t>
            </w: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Urban, Semi urban, Rural; Clinics and hospitals</w:t>
            </w:r>
          </w:p>
        </w:tc>
      </w:tr>
      <w:tr w:rsidR="00604499" w:rsidRPr="00EA2B54" w:rsidTr="004C4442">
        <w:tc>
          <w:tcPr>
            <w:tcW w:w="1418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Outcomes</w:t>
            </w:r>
          </w:p>
        </w:tc>
        <w:tc>
          <w:tcPr>
            <w:tcW w:w="1843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Exposure</w:t>
            </w:r>
          </w:p>
        </w:tc>
        <w:tc>
          <w:tcPr>
            <w:tcW w:w="1417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Study design</w:t>
            </w:r>
          </w:p>
        </w:tc>
        <w:tc>
          <w:tcPr>
            <w:tcW w:w="1134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 of studies</w:t>
            </w:r>
          </w:p>
        </w:tc>
        <w:tc>
          <w:tcPr>
            <w:tcW w:w="1276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Risk of bias</w:t>
            </w:r>
          </w:p>
        </w:tc>
        <w:tc>
          <w:tcPr>
            <w:tcW w:w="1559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 xml:space="preserve">Inconsistency </w:t>
            </w:r>
          </w:p>
        </w:tc>
        <w:tc>
          <w:tcPr>
            <w:tcW w:w="1560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Indirectness</w:t>
            </w:r>
          </w:p>
        </w:tc>
        <w:tc>
          <w:tcPr>
            <w:tcW w:w="1417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Imprecision</w:t>
            </w:r>
          </w:p>
        </w:tc>
        <w:tc>
          <w:tcPr>
            <w:tcW w:w="1701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Publication bias</w:t>
            </w:r>
          </w:p>
        </w:tc>
        <w:tc>
          <w:tcPr>
            <w:tcW w:w="1559" w:type="dxa"/>
          </w:tcPr>
          <w:p w:rsidR="00604499" w:rsidRPr="00EA2B54" w:rsidRDefault="00604499" w:rsidP="00604499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Overall score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Quality of antibiotic prescribing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Public and private practice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Cohort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2798570D" wp14:editId="1A50622B">
                  <wp:extent cx="428625" cy="114300"/>
                  <wp:effectExtent l="0" t="0" r="9525" b="0"/>
                  <wp:docPr id="56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Quality of antibiotic prescribing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Hospital and primary care settings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Cohort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8D2DA4C" wp14:editId="6C0D64CE">
                  <wp:extent cx="428625" cy="114300"/>
                  <wp:effectExtent l="0" t="0" r="9525" b="0"/>
                  <wp:docPr id="57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Quality of antibiotic prescribing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Emergency activity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Cohort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8E132D0" wp14:editId="526738B1">
                  <wp:extent cx="428625" cy="114300"/>
                  <wp:effectExtent l="0" t="0" r="9525" b="0"/>
                  <wp:docPr id="58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Providing IUD insertion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Performs Endometrial Biopsies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CF6C40D" wp14:editId="01CC1A31">
                  <wp:extent cx="428625" cy="114300"/>
                  <wp:effectExtent l="0" t="0" r="9525" b="0"/>
                  <wp:docPr id="59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Long-acting contraception insertion or removal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Performs Endometrial Biopsies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E1579C2" wp14:editId="68ECC48B">
                  <wp:extent cx="428625" cy="114300"/>
                  <wp:effectExtent l="0" t="0" r="9525" b="0"/>
                  <wp:docPr id="60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Providing IUD insertion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Performs Implant Insertions and Removals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3F090716" wp14:editId="5861A43E">
                  <wp:extent cx="428625" cy="114300"/>
                  <wp:effectExtent l="0" t="0" r="9525" b="0"/>
                  <wp:docPr id="61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Long-acting contraception insertion or removal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Performs IUD insertion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46D60997" wp14:editId="1C3ACCCF">
                  <wp:extent cx="428625" cy="114300"/>
                  <wp:effectExtent l="0" t="0" r="9525" b="0"/>
                  <wp:docPr id="62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Providing IUD insertion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Performs Skin Procedures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6CFEAB5" wp14:editId="416BDC7F">
                  <wp:extent cx="428625" cy="114300"/>
                  <wp:effectExtent l="0" t="0" r="9525" b="0"/>
                  <wp:docPr id="63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Long-acting contraception insertion or removal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Performs Skin Procedures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1F6DD8F" wp14:editId="569EA697">
                  <wp:extent cx="428625" cy="114300"/>
                  <wp:effectExtent l="0" t="0" r="9525" b="0"/>
                  <wp:docPr id="64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Providing IUD insertion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Provides prenatal care and deliveries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F69E16C" wp14:editId="3BF9BBA9">
                  <wp:extent cx="428625" cy="114300"/>
                  <wp:effectExtent l="0" t="0" r="9525" b="0"/>
                  <wp:docPr id="65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Long-acting contraception insertion or removal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Provides prenatal care and deliveries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76A10A8C" wp14:editId="1B1E99FE">
                  <wp:extent cx="428625" cy="114300"/>
                  <wp:effectExtent l="0" t="0" r="9525" b="0"/>
                  <wp:docPr id="66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Providing IUD insertion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Provides prenatal care, no deliveries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00665F1" wp14:editId="108178AA">
                  <wp:extent cx="428625" cy="114300"/>
                  <wp:effectExtent l="0" t="0" r="9525" b="0"/>
                  <wp:docPr id="67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Long-acting contraception insertion or removal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Provides prenatal care, no deliveries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1FEC862" wp14:editId="365A28B2">
                  <wp:extent cx="428625" cy="114300"/>
                  <wp:effectExtent l="0" t="0" r="9525" b="0"/>
                  <wp:docPr id="68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Managing patients with chronic conditions (chronic)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Focused practice scope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462E2245" wp14:editId="72E58C1A">
                  <wp:extent cx="428625" cy="114300"/>
                  <wp:effectExtent l="0" t="0" r="9525" b="0"/>
                  <wp:docPr id="69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patients with continuity of care and referrals (continuity)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Focused practice scope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B3CC158" wp14:editId="14D24F92">
                  <wp:extent cx="428625" cy="114300"/>
                  <wp:effectExtent l="0" t="0" r="9525" b="0"/>
                  <wp:docPr id="70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patients with well care and health maintenance (well care)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F</w:t>
            </w: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ocused practice scope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3435E97" wp14:editId="2A90BCCB">
                  <wp:extent cx="428625" cy="114300"/>
                  <wp:effectExtent l="0" t="0" r="9525" b="0"/>
                  <wp:docPr id="71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525F2" w:rsidRPr="00EA2B54" w:rsidTr="004C4442">
        <w:tc>
          <w:tcPr>
            <w:tcW w:w="1418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Managing patient records (records)</w:t>
            </w:r>
          </w:p>
        </w:tc>
        <w:tc>
          <w:tcPr>
            <w:tcW w:w="1843" w:type="dxa"/>
          </w:tcPr>
          <w:p w:rsidR="005525F2" w:rsidRPr="00EA2B54" w:rsidRDefault="005525F2" w:rsidP="005525F2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Focused practice scope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525F2" w:rsidRPr="00EA2B54" w:rsidRDefault="00A96C21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</w:t>
            </w:r>
            <w:r w:rsidR="005525F2" w:rsidRPr="00EA2B54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EA2B54">
              <w:rPr>
                <w:rFonts w:ascii="Times New Roman" w:hAnsi="Times New Roman" w:cs="Times New Roman"/>
                <w:lang w:val="en-CA"/>
              </w:rPr>
              <w:t>(-0.5</w:t>
            </w:r>
            <w:r w:rsidR="005525F2" w:rsidRPr="00EA2B54">
              <w:rPr>
                <w:rFonts w:ascii="Times New Roman" w:hAnsi="Times New Roman" w:cs="Times New Roman"/>
                <w:lang w:val="en-CA"/>
              </w:rPr>
              <w:t>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2BFBD877" wp14:editId="77AC0965">
                  <wp:extent cx="428625" cy="114300"/>
                  <wp:effectExtent l="0" t="0" r="9525" b="0"/>
                  <wp:docPr id="72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5F2" w:rsidRPr="00EA2B54" w:rsidRDefault="005525F2" w:rsidP="005525F2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Managing patients with acute conditions and new presentations (acute)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F</w:t>
            </w: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ocused practice scope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792BEEB9" wp14:editId="25723136">
                  <wp:extent cx="428625" cy="114300"/>
                  <wp:effectExtent l="0" t="0" r="9525" b="0"/>
                  <wp:docPr id="73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Managing patients with chronic conditions (chronic)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Holds Active Hospital appointment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28D69DCA" wp14:editId="4C701890">
                  <wp:extent cx="428625" cy="114300"/>
                  <wp:effectExtent l="0" t="0" r="9525" b="0"/>
                  <wp:docPr id="74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A96C21" w:rsidRPr="00EA2B54" w:rsidTr="004C4442">
        <w:tc>
          <w:tcPr>
            <w:tcW w:w="1418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patients with continuity of care and referrals (continuity)</w:t>
            </w:r>
          </w:p>
        </w:tc>
        <w:tc>
          <w:tcPr>
            <w:tcW w:w="1843" w:type="dxa"/>
          </w:tcPr>
          <w:p w:rsidR="00A96C21" w:rsidRPr="00EA2B54" w:rsidRDefault="00A96C21" w:rsidP="00A96C21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Holds Active Hospital appointment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036B1F69" wp14:editId="3FA0C37B">
                  <wp:extent cx="428625" cy="114300"/>
                  <wp:effectExtent l="0" t="0" r="9525" b="0"/>
                  <wp:docPr id="75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C21" w:rsidRPr="00EA2B54" w:rsidRDefault="00A96C21" w:rsidP="00A96C21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patients with well care and health maintenance (well care)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Holds Active Hospital appointment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49AF9CEE" wp14:editId="712443C7">
                  <wp:extent cx="428625" cy="114300"/>
                  <wp:effectExtent l="0" t="0" r="9525" b="0"/>
                  <wp:docPr id="76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Managing patient records (records)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Holds Active Hospital appointment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7492A06" wp14:editId="6CDDDE0D">
                  <wp:extent cx="428625" cy="114300"/>
                  <wp:effectExtent l="0" t="0" r="9525" b="0"/>
                  <wp:docPr id="77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Managing patients with chronic conditions (acute)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Holds Active Hospital appointment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69C8991" wp14:editId="0E56486F">
                  <wp:extent cx="428625" cy="114300"/>
                  <wp:effectExtent l="0" t="0" r="9525" b="0"/>
                  <wp:docPr id="78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Managing patients with chronic conditions (chronic)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Episodic care practice/walk-in clinic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F258C1D" wp14:editId="7E7CFA71">
                  <wp:extent cx="428625" cy="114300"/>
                  <wp:effectExtent l="0" t="0" r="9525" b="0"/>
                  <wp:docPr id="79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patients with continuity of care and referrals (continuity)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Episodic care practice/walk-in clinic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BA0ACF3" wp14:editId="7E17AF54">
                  <wp:extent cx="428625" cy="114300"/>
                  <wp:effectExtent l="0" t="0" r="9525" b="0"/>
                  <wp:docPr id="80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Providing patients with well care and health maintenance (well care)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Episodic care practice/walk-in clinic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DAE2D89" wp14:editId="4E15E312">
                  <wp:extent cx="428625" cy="114300"/>
                  <wp:effectExtent l="0" t="0" r="9525" b="0"/>
                  <wp:docPr id="81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Managing patient records (records)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Episodic care practice/walk-in clinic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3F56789B" wp14:editId="735DA2DB">
                  <wp:extent cx="428625" cy="114300"/>
                  <wp:effectExtent l="0" t="0" r="9525" b="0"/>
                  <wp:docPr id="82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Managing patients with acute conditions and new presentations (acute)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Episodic care practice/walk-in clinic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A3D8F83" wp14:editId="56B77A6B">
                  <wp:extent cx="428625" cy="114300"/>
                  <wp:effectExtent l="0" t="0" r="9525" b="0"/>
                  <wp:docPr id="83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 xml:space="preserve">Offering maternal serum screening to all pregnant patients 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Perform deliveries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7E02EF1" wp14:editId="4E75A5BF">
                  <wp:extent cx="428625" cy="114300"/>
                  <wp:effectExtent l="0" t="0" r="9525" b="0"/>
                  <wp:docPr id="84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 xml:space="preserve">Offering maternal serum screening to some pregnant patients 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Perform deliveries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Borderline (-0.5)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2647432" wp14:editId="32CA538B">
                  <wp:extent cx="428625" cy="114300"/>
                  <wp:effectExtent l="0" t="0" r="9525" b="0"/>
                  <wp:docPr id="85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7D6884" w:rsidRPr="00EA2B54" w:rsidTr="004C4442">
        <w:tc>
          <w:tcPr>
            <w:tcW w:w="1418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Time spent at work</w:t>
            </w:r>
          </w:p>
        </w:tc>
        <w:tc>
          <w:tcPr>
            <w:tcW w:w="1843" w:type="dxa"/>
          </w:tcPr>
          <w:p w:rsidR="007D6884" w:rsidRPr="00EA2B54" w:rsidRDefault="007D6884" w:rsidP="007D6884">
            <w:pPr>
              <w:rPr>
                <w:rFonts w:ascii="Times New Roman" w:eastAsia="Times New Roman" w:hAnsi="Times New Roman" w:cs="Times New Roman"/>
                <w:color w:val="000000"/>
                <w:lang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eastAsia="fr-CA"/>
              </w:rPr>
              <w:t>Teaching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</w:t>
            </w:r>
            <w:r w:rsidRPr="00EA2B54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EA2B54">
              <w:rPr>
                <w:rFonts w:ascii="Times New Roman" w:hAnsi="Times New Roman" w:cs="Times New Roman"/>
                <w:lang w:val="en-CA"/>
              </w:rPr>
              <w:t>(-1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701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6F3C9E0" wp14:editId="219449B4">
                  <wp:extent cx="428625" cy="114300"/>
                  <wp:effectExtent l="0" t="0" r="9525" b="0"/>
                  <wp:docPr id="92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884" w:rsidRPr="00EA2B54" w:rsidRDefault="007D6884" w:rsidP="007D6884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8316E" w:rsidRPr="00EA2B54" w:rsidTr="004C4442">
        <w:tc>
          <w:tcPr>
            <w:tcW w:w="1418" w:type="dxa"/>
          </w:tcPr>
          <w:p w:rsidR="0058316E" w:rsidRPr="00EA2B54" w:rsidRDefault="0058316E" w:rsidP="0058316E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>Number of patients seen per hour</w:t>
            </w:r>
          </w:p>
        </w:tc>
        <w:tc>
          <w:tcPr>
            <w:tcW w:w="1843" w:type="dxa"/>
          </w:tcPr>
          <w:p w:rsidR="0058316E" w:rsidRPr="00EA2B54" w:rsidRDefault="0058316E" w:rsidP="0058316E">
            <w:pPr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</w:pPr>
            <w:r w:rsidRPr="00EA2B54">
              <w:rPr>
                <w:rFonts w:ascii="Times New Roman" w:eastAsia="Times New Roman" w:hAnsi="Times New Roman" w:cs="Times New Roman"/>
                <w:color w:val="000000"/>
                <w:lang w:val="en-CA" w:eastAsia="fr-CA"/>
              </w:rPr>
              <w:t xml:space="preserve">Teaching </w:t>
            </w:r>
          </w:p>
        </w:tc>
        <w:tc>
          <w:tcPr>
            <w:tcW w:w="1417" w:type="dxa"/>
          </w:tcPr>
          <w:p w:rsidR="0058316E" w:rsidRPr="00EA2B54" w:rsidRDefault="0058316E" w:rsidP="0058316E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Cross-sectional (2)</w:t>
            </w:r>
          </w:p>
        </w:tc>
        <w:tc>
          <w:tcPr>
            <w:tcW w:w="1134" w:type="dxa"/>
          </w:tcPr>
          <w:p w:rsidR="0058316E" w:rsidRPr="00EA2B54" w:rsidRDefault="0058316E" w:rsidP="0058316E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1276" w:type="dxa"/>
          </w:tcPr>
          <w:p w:rsidR="0058316E" w:rsidRPr="00EA2B54" w:rsidRDefault="007D6884" w:rsidP="007D6884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</w:t>
            </w:r>
            <w:r w:rsidRPr="00EA2B54">
              <w:rPr>
                <w:rFonts w:ascii="Times New Roman" w:hAnsi="Times New Roman" w:cs="Times New Roman"/>
                <w:lang w:val="en-CA"/>
              </w:rPr>
              <w:t>)</w:t>
            </w:r>
          </w:p>
        </w:tc>
        <w:tc>
          <w:tcPr>
            <w:tcW w:w="1559" w:type="dxa"/>
          </w:tcPr>
          <w:p w:rsidR="0058316E" w:rsidRPr="00EA2B54" w:rsidRDefault="0058316E" w:rsidP="0058316E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60" w:type="dxa"/>
          </w:tcPr>
          <w:p w:rsidR="0058316E" w:rsidRPr="00EA2B54" w:rsidRDefault="0058316E" w:rsidP="0058316E">
            <w:pPr>
              <w:rPr>
                <w:rFonts w:ascii="Times New Roman" w:hAnsi="Times New Roman" w:cs="Times New Roman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417" w:type="dxa"/>
          </w:tcPr>
          <w:p w:rsidR="0058316E" w:rsidRPr="00EA2B54" w:rsidRDefault="0058316E" w:rsidP="0058316E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Serious (-1)</w:t>
            </w:r>
          </w:p>
        </w:tc>
        <w:tc>
          <w:tcPr>
            <w:tcW w:w="1701" w:type="dxa"/>
          </w:tcPr>
          <w:p w:rsidR="0058316E" w:rsidRPr="00EA2B54" w:rsidRDefault="0058316E" w:rsidP="0058316E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None (0)</w:t>
            </w:r>
          </w:p>
        </w:tc>
        <w:tc>
          <w:tcPr>
            <w:tcW w:w="1559" w:type="dxa"/>
          </w:tcPr>
          <w:p w:rsidR="0058316E" w:rsidRPr="00EA2B54" w:rsidRDefault="0058316E" w:rsidP="0058316E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1F26336A" wp14:editId="178F2EAB">
                  <wp:extent cx="428625" cy="114300"/>
                  <wp:effectExtent l="0" t="0" r="9525" b="0"/>
                  <wp:docPr id="93" name="Bild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316E" w:rsidRPr="00EA2B54" w:rsidRDefault="0058316E" w:rsidP="0058316E">
            <w:pPr>
              <w:rPr>
                <w:rFonts w:ascii="Times New Roman" w:hAnsi="Times New Roman" w:cs="Times New Roman"/>
                <w:lang w:val="en-CA"/>
              </w:rPr>
            </w:pPr>
            <w:r w:rsidRPr="00EA2B54">
              <w:rPr>
                <w:rFonts w:ascii="Times New Roman" w:hAnsi="Times New Roman" w:cs="Times New Roman"/>
                <w:lang w:val="en-CA"/>
              </w:rPr>
              <w:t>Very low</w:t>
            </w:r>
          </w:p>
        </w:tc>
      </w:tr>
      <w:tr w:rsidR="0058316E" w:rsidRPr="00EA2B54" w:rsidTr="00D1283E">
        <w:tc>
          <w:tcPr>
            <w:tcW w:w="14884" w:type="dxa"/>
            <w:gridSpan w:val="10"/>
          </w:tcPr>
          <w:p w:rsidR="0058316E" w:rsidRDefault="0058316E" w:rsidP="0058316E">
            <w:pPr>
              <w:tabs>
                <w:tab w:val="left" w:pos="540"/>
                <w:tab w:val="left" w:pos="1440"/>
                <w:tab w:val="left" w:pos="1800"/>
                <w:tab w:val="left" w:pos="3864"/>
              </w:tabs>
              <w:autoSpaceDE w:val="0"/>
              <w:autoSpaceDN w:val="0"/>
              <w:adjustRightInd w:val="0"/>
              <w:ind w:left="1134" w:hanging="1134"/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</w:pPr>
            <w:r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*The certainty was </w:t>
            </w:r>
            <w:r w:rsidR="00D1283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rated </w:t>
            </w:r>
            <w:r w:rsid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as following:</w:t>
            </w:r>
          </w:p>
          <w:p w:rsidR="0032786C" w:rsidRDefault="0032786C" w:rsidP="0032786C">
            <w:pPr>
              <w:pStyle w:val="Paragraphedeliste"/>
              <w:numPr>
                <w:ilvl w:val="0"/>
                <w:numId w:val="5"/>
              </w:numPr>
              <w:tabs>
                <w:tab w:val="left" w:pos="540"/>
                <w:tab w:val="left" w:pos="1440"/>
                <w:tab w:val="left" w:pos="1800"/>
                <w:tab w:val="left" w:pos="38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</w:pPr>
            <w:r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Downgrading </w:t>
            </w:r>
            <w:r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from +4 to +2 when the s</w:t>
            </w:r>
            <w:r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tudy design </w:t>
            </w:r>
            <w:r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was o</w:t>
            </w:r>
            <w:r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bservational studies (cohort or cros</w:t>
            </w:r>
            <w:r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s-sectional studies)</w:t>
            </w:r>
          </w:p>
          <w:p w:rsidR="00D1283E" w:rsidRDefault="0032786C" w:rsidP="0032786C">
            <w:pPr>
              <w:pStyle w:val="Paragraphedeliste"/>
              <w:numPr>
                <w:ilvl w:val="0"/>
                <w:numId w:val="5"/>
              </w:numPr>
              <w:tabs>
                <w:tab w:val="left" w:pos="540"/>
                <w:tab w:val="left" w:pos="1440"/>
                <w:tab w:val="left" w:pos="1800"/>
                <w:tab w:val="left" w:pos="38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</w:pPr>
            <w:r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Downgrading </w:t>
            </w:r>
            <w:r w:rsidR="00D1283E"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Risk of bias, inconsistency, indirectness, imprecision and publication bias </w:t>
            </w:r>
            <w:r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according their ratings n</w:t>
            </w:r>
            <w:r w:rsidR="00D1283E"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ne</w:t>
            </w:r>
            <w:r w:rsidR="00D1283E"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 (score=0), </w:t>
            </w:r>
            <w:r w:rsidR="00827A2F"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borderline (-0.5), </w:t>
            </w:r>
            <w:r w:rsidR="00D1283E" w:rsidRPr="0032786C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serious (score=-1), very serious (-2)</w:t>
            </w:r>
          </w:p>
          <w:p w:rsidR="0032786C" w:rsidRPr="0032786C" w:rsidRDefault="0032786C" w:rsidP="0032786C">
            <w:pPr>
              <w:pStyle w:val="Paragraphedeliste"/>
              <w:numPr>
                <w:ilvl w:val="0"/>
                <w:numId w:val="5"/>
              </w:numPr>
              <w:tabs>
                <w:tab w:val="left" w:pos="540"/>
                <w:tab w:val="left" w:pos="1440"/>
                <w:tab w:val="left" w:pos="1800"/>
                <w:tab w:val="left" w:pos="38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Upgrading (+1), when the association measure was strong and showed a dose-response relationship in the absence of </w:t>
            </w:r>
            <w:r w:rsidR="00FF3DD9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plausible </w:t>
            </w:r>
            <w:r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residual confounding bias. </w:t>
            </w:r>
          </w:p>
          <w:p w:rsidR="0032786C" w:rsidRPr="0032786C" w:rsidRDefault="0032786C" w:rsidP="0058316E">
            <w:pPr>
              <w:tabs>
                <w:tab w:val="left" w:pos="540"/>
                <w:tab w:val="left" w:pos="1440"/>
                <w:tab w:val="left" w:pos="1800"/>
                <w:tab w:val="left" w:pos="3864"/>
              </w:tabs>
              <w:autoSpaceDE w:val="0"/>
              <w:autoSpaceDN w:val="0"/>
              <w:adjustRightInd w:val="0"/>
              <w:ind w:left="1134" w:hanging="1134"/>
              <w:rPr>
                <w:rFonts w:ascii="Times New Roman" w:hAnsi="Times New Roman" w:cs="Times New Roman"/>
                <w:b/>
                <w:color w:val="292526"/>
                <w:sz w:val="20"/>
                <w:szCs w:val="20"/>
                <w:lang w:val="en-US"/>
              </w:rPr>
            </w:pPr>
            <w:r w:rsidRPr="0032786C">
              <w:rPr>
                <w:rFonts w:ascii="Times New Roman" w:hAnsi="Times New Roman" w:cs="Times New Roman"/>
                <w:b/>
                <w:color w:val="292526"/>
                <w:sz w:val="20"/>
                <w:szCs w:val="20"/>
                <w:lang w:val="en-US"/>
              </w:rPr>
              <w:t>No score was upgraded because of the exploratory nature of statistical analyses performed in the studies identified.</w:t>
            </w:r>
          </w:p>
          <w:p w:rsidR="0058316E" w:rsidRPr="00EA2B54" w:rsidRDefault="00D1283E" w:rsidP="0058316E">
            <w:pPr>
              <w:tabs>
                <w:tab w:val="left" w:pos="540"/>
                <w:tab w:val="left" w:pos="1440"/>
                <w:tab w:val="left" w:pos="1800"/>
                <w:tab w:val="left" w:pos="3864"/>
              </w:tabs>
              <w:autoSpaceDE w:val="0"/>
              <w:autoSpaceDN w:val="0"/>
              <w:adjustRightInd w:val="0"/>
              <w:ind w:left="1134" w:hanging="1134"/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</w:pPr>
            <w:r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Score=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  4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 xml:space="preserve">   </w:t>
            </w:r>
            <w:r w:rsidR="0058316E"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4E2EC5A3" wp14:editId="7360CAB7">
                  <wp:extent cx="425450" cy="114300"/>
                  <wp:effectExtent l="0" t="0" r="0" b="0"/>
                  <wp:docPr id="94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2B54">
              <w:rPr>
                <w:rFonts w:ascii="Times New Roman" w:eastAsia="MS Mincho" w:hAnsi="Times New Roman" w:cs="Times New Roman"/>
                <w:color w:val="292526"/>
                <w:sz w:val="20"/>
                <w:szCs w:val="20"/>
                <w:lang w:val="en-GB"/>
              </w:rPr>
              <w:t xml:space="preserve"> </w:t>
            </w:r>
            <w:r w:rsidR="0058316E" w:rsidRPr="00EA2B54">
              <w:rPr>
                <w:rFonts w:ascii="Times New Roman" w:hAnsi="Times New Roman" w:cs="Times New Roman"/>
                <w:b/>
                <w:bCs/>
                <w:color w:val="292526"/>
                <w:sz w:val="20"/>
                <w:szCs w:val="20"/>
                <w:lang w:val="en-GB"/>
              </w:rPr>
              <w:t xml:space="preserve">High 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>= This research provides a very good indication of the likely effect. The likelihood that the effect will be substantially different** is low.</w:t>
            </w:r>
          </w:p>
          <w:p w:rsidR="0058316E" w:rsidRPr="00EA2B54" w:rsidRDefault="00D1283E" w:rsidP="0058316E">
            <w:pPr>
              <w:tabs>
                <w:tab w:val="left" w:pos="540"/>
                <w:tab w:val="left" w:pos="1134"/>
                <w:tab w:val="left" w:pos="2716"/>
              </w:tabs>
              <w:autoSpaceDE w:val="0"/>
              <w:autoSpaceDN w:val="0"/>
              <w:adjustRightInd w:val="0"/>
              <w:ind w:left="1134" w:hanging="1134"/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</w:pPr>
            <w:r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>Score=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  3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 xml:space="preserve">   </w:t>
            </w:r>
            <w:r w:rsidR="0058316E"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634DB9C7" wp14:editId="37DCE554">
                  <wp:extent cx="425450" cy="114300"/>
                  <wp:effectExtent l="0" t="0" r="0" b="0"/>
                  <wp:docPr id="95" name="Imag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2B54">
              <w:rPr>
                <w:rFonts w:ascii="Times New Roman" w:eastAsia="MS Mincho" w:hAnsi="Times New Roman" w:cs="Times New Roman"/>
                <w:color w:val="292526"/>
                <w:sz w:val="20"/>
                <w:szCs w:val="20"/>
                <w:lang w:val="en-GB"/>
              </w:rPr>
              <w:t xml:space="preserve"> </w:t>
            </w:r>
            <w:r w:rsidR="0058316E" w:rsidRPr="00EA2B54">
              <w:rPr>
                <w:rFonts w:ascii="Times New Roman" w:hAnsi="Times New Roman" w:cs="Times New Roman"/>
                <w:b/>
                <w:bCs/>
                <w:color w:val="292526"/>
                <w:sz w:val="20"/>
                <w:szCs w:val="20"/>
                <w:lang w:val="en-GB"/>
              </w:rPr>
              <w:t>Moderate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 xml:space="preserve"> = This research provides a good indication of the likely effect. The likelihood that the effect will be substantially different** is moderate.</w:t>
            </w:r>
          </w:p>
          <w:p w:rsidR="0058316E" w:rsidRPr="00EA2B54" w:rsidRDefault="00D1283E" w:rsidP="0058316E">
            <w:pPr>
              <w:tabs>
                <w:tab w:val="left" w:pos="540"/>
              </w:tabs>
              <w:autoSpaceDE w:val="0"/>
              <w:autoSpaceDN w:val="0"/>
              <w:adjustRightInd w:val="0"/>
              <w:ind w:left="1134" w:hanging="1134"/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</w:pPr>
            <w:r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Score=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2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 xml:space="preserve">   </w:t>
            </w:r>
            <w:r w:rsidR="0058316E"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30569FC8" wp14:editId="063C9473">
                  <wp:extent cx="425450" cy="114300"/>
                  <wp:effectExtent l="0" t="0" r="0" b="0"/>
                  <wp:docPr id="96" name="Imag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2B54">
              <w:rPr>
                <w:rFonts w:ascii="Times New Roman" w:eastAsia="MS Mincho" w:hAnsi="Times New Roman" w:cs="Times New Roman"/>
                <w:color w:val="292526"/>
                <w:sz w:val="20"/>
                <w:szCs w:val="20"/>
                <w:lang w:val="en-GB"/>
              </w:rPr>
              <w:t xml:space="preserve"> </w:t>
            </w:r>
            <w:r w:rsidR="0058316E" w:rsidRPr="00EA2B54">
              <w:rPr>
                <w:rFonts w:ascii="Times New Roman" w:hAnsi="Times New Roman" w:cs="Times New Roman"/>
                <w:b/>
                <w:bCs/>
                <w:color w:val="292526"/>
                <w:sz w:val="20"/>
                <w:szCs w:val="20"/>
                <w:lang w:val="en-GB"/>
              </w:rPr>
              <w:t>Low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 xml:space="preserve"> = This research provides some indication of the likely effect. However, the likelihood that it will be substantially different** is high.</w:t>
            </w:r>
          </w:p>
          <w:p w:rsidR="0058316E" w:rsidRPr="00EA2B54" w:rsidRDefault="00D1283E" w:rsidP="0058316E">
            <w:pPr>
              <w:tabs>
                <w:tab w:val="left" w:pos="540"/>
              </w:tabs>
              <w:autoSpaceDE w:val="0"/>
              <w:autoSpaceDN w:val="0"/>
              <w:adjustRightInd w:val="0"/>
              <w:ind w:left="1134" w:hanging="1134"/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</w:pPr>
            <w:r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>Score=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US"/>
              </w:rPr>
              <w:t xml:space="preserve"> 1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 xml:space="preserve">   </w:t>
            </w:r>
            <w:r w:rsidR="0058316E" w:rsidRPr="00EA2B54">
              <w:rPr>
                <w:rFonts w:ascii="Times New Roman" w:hAnsi="Times New Roman" w:cs="Times New Roman"/>
                <w:noProof/>
                <w:lang w:eastAsia="fr-CA"/>
              </w:rPr>
              <w:drawing>
                <wp:inline distT="0" distB="0" distL="0" distR="0" wp14:anchorId="5D17BC9E" wp14:editId="72ABE61E">
                  <wp:extent cx="425450" cy="114300"/>
                  <wp:effectExtent l="0" t="0" r="0" b="0"/>
                  <wp:docPr id="97" name="Imag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2B54">
              <w:rPr>
                <w:rFonts w:ascii="Times New Roman" w:eastAsia="MS Mincho" w:hAnsi="Times New Roman" w:cs="Times New Roman"/>
                <w:color w:val="292526"/>
                <w:sz w:val="20"/>
                <w:szCs w:val="20"/>
                <w:lang w:val="en-GB"/>
              </w:rPr>
              <w:t xml:space="preserve"> </w:t>
            </w:r>
            <w:r w:rsidR="0058316E" w:rsidRPr="00EA2B54">
              <w:rPr>
                <w:rFonts w:ascii="Times New Roman" w:hAnsi="Times New Roman" w:cs="Times New Roman"/>
                <w:b/>
                <w:bCs/>
                <w:color w:val="292526"/>
                <w:sz w:val="20"/>
                <w:szCs w:val="20"/>
                <w:lang w:val="en-GB"/>
              </w:rPr>
              <w:t>Very low</w:t>
            </w:r>
            <w:r w:rsidR="0058316E"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 xml:space="preserve"> = This research does not provide a reliable indication of the likely effect. The likelihood that the effect will be substantially different** is very high.</w:t>
            </w:r>
          </w:p>
          <w:p w:rsidR="0058316E" w:rsidRPr="00EA2B54" w:rsidRDefault="0058316E" w:rsidP="0058316E">
            <w:pPr>
              <w:tabs>
                <w:tab w:val="left" w:pos="540"/>
              </w:tabs>
              <w:autoSpaceDE w:val="0"/>
              <w:autoSpaceDN w:val="0"/>
              <w:adjustRightInd w:val="0"/>
              <w:ind w:left="1134" w:hanging="1134"/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</w:pPr>
            <w:r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>**</w:t>
            </w:r>
            <w:r w:rsidRPr="00EA2B5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EA2B54">
              <w:rPr>
                <w:rFonts w:ascii="Times New Roman" w:hAnsi="Times New Roman" w:cs="Times New Roman"/>
                <w:color w:val="292526"/>
                <w:sz w:val="20"/>
                <w:szCs w:val="20"/>
                <w:lang w:val="en-GB"/>
              </w:rPr>
              <w:t>Substantially different = a large enough difference that it might affect a decision</w:t>
            </w:r>
          </w:p>
          <w:p w:rsidR="0058316E" w:rsidRPr="00EA2B54" w:rsidRDefault="00D1283E" w:rsidP="0058316E">
            <w:pPr>
              <w:rPr>
                <w:rFonts w:ascii="Times New Roman" w:hAnsi="Times New Roman" w:cs="Times New Roman"/>
                <w:lang w:val="en-GB"/>
              </w:rPr>
            </w:pPr>
            <w:r w:rsidRPr="00EA2B54">
              <w:rPr>
                <w:rFonts w:ascii="Times New Roman" w:eastAsia="Times New Roman" w:hAnsi="Times New Roman" w:cs="Times New Roman"/>
                <w:i/>
                <w:color w:val="333333"/>
                <w:lang w:val="en-CA" w:eastAsia="fr-CA"/>
              </w:rPr>
              <w:t>Schünemann HJ, Higgins JPT, Vist GE, Glasziou P, Akl EA, Skoetz N, Guyatt GH. Chapter 14: Completing ‘Summary of findings’ tables and grading the certainty of the evidence. In: Higgins JPT, Thomas J, Chandler J, Cumpston M, Li T, Page MJ, Welch VA (editors). </w:t>
            </w:r>
            <w:r w:rsidRPr="00EA2B54">
              <w:rPr>
                <w:rFonts w:ascii="Times New Roman" w:eastAsia="Times New Roman" w:hAnsi="Times New Roman" w:cs="Times New Roman"/>
                <w:i/>
                <w:iCs/>
                <w:color w:val="333333"/>
                <w:lang w:val="en-CA" w:eastAsia="fr-CA"/>
              </w:rPr>
              <w:t>Cochrane Handbook for Systematic Reviews of Interventions </w:t>
            </w:r>
            <w:r w:rsidRPr="00EA2B54">
              <w:rPr>
                <w:rFonts w:ascii="Times New Roman" w:eastAsia="Times New Roman" w:hAnsi="Times New Roman" w:cs="Times New Roman"/>
                <w:i/>
                <w:color w:val="333333"/>
                <w:lang w:val="en-CA" w:eastAsia="fr-CA"/>
              </w:rPr>
              <w:t>version 6.1 (updated September 2020). Cochrane, 2020. Available from </w:t>
            </w:r>
            <w:hyperlink r:id="rId12" w:history="1">
              <w:r w:rsidRPr="00EA2B54">
                <w:rPr>
                  <w:rFonts w:ascii="Times New Roman" w:eastAsia="Times New Roman" w:hAnsi="Times New Roman" w:cs="Times New Roman"/>
                  <w:i/>
                  <w:color w:val="002D64"/>
                  <w:u w:val="single"/>
                  <w:lang w:val="en-CA" w:eastAsia="fr-CA"/>
                </w:rPr>
                <w:t>www.training.cochrane.org/handbook</w:t>
              </w:r>
            </w:hyperlink>
          </w:p>
        </w:tc>
      </w:tr>
    </w:tbl>
    <w:p w:rsidR="00442D7C" w:rsidRPr="008940A6" w:rsidRDefault="00442D7C" w:rsidP="00D1283E">
      <w:pPr>
        <w:spacing w:after="240" w:line="240" w:lineRule="auto"/>
        <w:rPr>
          <w:lang w:val="en-CA"/>
        </w:rPr>
      </w:pPr>
    </w:p>
    <w:sectPr w:rsidR="00442D7C" w:rsidRPr="008940A6" w:rsidSect="00D1283E">
      <w:headerReference w:type="default" r:id="rId13"/>
      <w:footerReference w:type="default" r:id="rId14"/>
      <w:footnotePr>
        <w:numFmt w:val="chicago"/>
        <w:numRestart w:val="eachPage"/>
      </w:footnotePr>
      <w:pgSz w:w="16838" w:h="11906" w:orient="landscape"/>
      <w:pgMar w:top="1077" w:right="1134" w:bottom="1077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524" w:rsidRDefault="00FE3524" w:rsidP="005415F9">
      <w:pPr>
        <w:spacing w:after="0" w:line="240" w:lineRule="auto"/>
      </w:pPr>
      <w:r>
        <w:separator/>
      </w:r>
    </w:p>
  </w:endnote>
  <w:endnote w:type="continuationSeparator" w:id="0">
    <w:p w:rsidR="00FE3524" w:rsidRDefault="00FE3524" w:rsidP="0054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venirLTStd-Roman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85350671"/>
      <w:docPartObj>
        <w:docPartGallery w:val="Page Numbers (Bottom of Page)"/>
        <w:docPartUnique/>
      </w:docPartObj>
    </w:sdtPr>
    <w:sdtContent>
      <w:p w:rsidR="00BE1442" w:rsidRPr="00061795" w:rsidRDefault="00BE1442">
        <w:pPr>
          <w:pStyle w:val="Pieddepage"/>
          <w:jc w:val="center"/>
          <w:rPr>
            <w:rFonts w:ascii="Times New Roman" w:hAnsi="Times New Roman" w:cs="Times New Roman"/>
          </w:rPr>
        </w:pPr>
        <w:r w:rsidRPr="00061795">
          <w:rPr>
            <w:rFonts w:ascii="Times New Roman" w:hAnsi="Times New Roman" w:cs="Times New Roman"/>
          </w:rPr>
          <w:fldChar w:fldCharType="begin"/>
        </w:r>
        <w:r w:rsidRPr="00061795">
          <w:rPr>
            <w:rFonts w:ascii="Times New Roman" w:hAnsi="Times New Roman" w:cs="Times New Roman"/>
          </w:rPr>
          <w:instrText>PAGE   \* MERGEFORMAT</w:instrText>
        </w:r>
        <w:r w:rsidRPr="00061795">
          <w:rPr>
            <w:rFonts w:ascii="Times New Roman" w:hAnsi="Times New Roman" w:cs="Times New Roman"/>
          </w:rPr>
          <w:fldChar w:fldCharType="separate"/>
        </w:r>
        <w:r w:rsidR="00FE3524" w:rsidRPr="00FE3524">
          <w:rPr>
            <w:rFonts w:ascii="Times New Roman" w:hAnsi="Times New Roman" w:cs="Times New Roman"/>
            <w:noProof/>
            <w:lang w:val="fr-FR"/>
          </w:rPr>
          <w:t>1</w:t>
        </w:r>
        <w:r w:rsidRPr="00061795">
          <w:rPr>
            <w:rFonts w:ascii="Times New Roman" w:hAnsi="Times New Roman" w:cs="Times New Roman"/>
          </w:rPr>
          <w:fldChar w:fldCharType="end"/>
        </w:r>
      </w:p>
    </w:sdtContent>
  </w:sdt>
  <w:p w:rsidR="00BE1442" w:rsidRDefault="00BE14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524" w:rsidRDefault="00FE3524" w:rsidP="005415F9">
      <w:pPr>
        <w:spacing w:after="0" w:line="240" w:lineRule="auto"/>
      </w:pPr>
      <w:r>
        <w:separator/>
      </w:r>
    </w:p>
  </w:footnote>
  <w:footnote w:type="continuationSeparator" w:id="0">
    <w:p w:rsidR="00FE3524" w:rsidRDefault="00FE3524" w:rsidP="0054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442" w:rsidRPr="00543CAE" w:rsidRDefault="00BE1442" w:rsidP="00543CAE">
    <w:pPr>
      <w:spacing w:before="10" w:after="10" w:line="240" w:lineRule="auto"/>
      <w:jc w:val="both"/>
      <w:outlineLvl w:val="0"/>
      <w:rPr>
        <w:rFonts w:ascii="Times New Roman" w:eastAsia="Times New Roman" w:hAnsi="Times New Roman" w:cs="Times New Roman"/>
        <w:b/>
        <w:sz w:val="24"/>
        <w:szCs w:val="24"/>
        <w:lang w:val="en-CA" w:eastAsia="fr-CA"/>
      </w:rPr>
    </w:pPr>
    <w:r w:rsidRPr="00543CAE">
      <w:rPr>
        <w:rFonts w:ascii="Times New Roman" w:eastAsia="Times New Roman" w:hAnsi="Times New Roman" w:cs="Times New Roman"/>
        <w:b/>
        <w:sz w:val="24"/>
        <w:szCs w:val="24"/>
        <w:lang w:val="en-CA" w:eastAsia="fr-CA"/>
      </w:rPr>
      <w:t>Effects of the scope of practice on family physicians: A systematic review</w:t>
    </w:r>
  </w:p>
  <w:p w:rsidR="00BE1442" w:rsidRDefault="00BE1442" w:rsidP="00543CAE">
    <w:pPr>
      <w:pStyle w:val="Commentaire"/>
    </w:pPr>
    <w:r>
      <w:rPr>
        <w:rFonts w:ascii="Times New Roman" w:eastAsia="Times New Roman" w:hAnsi="Times New Roman" w:cs="Times New Roman"/>
        <w:b/>
        <w:sz w:val="24"/>
        <w:szCs w:val="24"/>
        <w:lang w:eastAsia="fr-CA"/>
      </w:rPr>
      <w:t>Zomahoun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F1F65"/>
    <w:multiLevelType w:val="multilevel"/>
    <w:tmpl w:val="824AE29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" w15:restartNumberingAfterBreak="0">
    <w:nsid w:val="2B546572"/>
    <w:multiLevelType w:val="hybridMultilevel"/>
    <w:tmpl w:val="08F269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9151A"/>
    <w:multiLevelType w:val="hybridMultilevel"/>
    <w:tmpl w:val="9AD6966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603A5CFA"/>
    <w:multiLevelType w:val="hybridMultilevel"/>
    <w:tmpl w:val="6A2EF1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F9"/>
    <w:rsid w:val="00011B1A"/>
    <w:rsid w:val="000164A0"/>
    <w:rsid w:val="00061795"/>
    <w:rsid w:val="00071572"/>
    <w:rsid w:val="00080205"/>
    <w:rsid w:val="000B117D"/>
    <w:rsid w:val="000D7356"/>
    <w:rsid w:val="000E17FA"/>
    <w:rsid w:val="000E4CE0"/>
    <w:rsid w:val="001A4016"/>
    <w:rsid w:val="001C608E"/>
    <w:rsid w:val="001E6B06"/>
    <w:rsid w:val="001F6ABD"/>
    <w:rsid w:val="00257855"/>
    <w:rsid w:val="002D77FE"/>
    <w:rsid w:val="002F2D6D"/>
    <w:rsid w:val="0032786C"/>
    <w:rsid w:val="003F1877"/>
    <w:rsid w:val="00442D7C"/>
    <w:rsid w:val="004967DD"/>
    <w:rsid w:val="004C4442"/>
    <w:rsid w:val="005415F9"/>
    <w:rsid w:val="00543CAE"/>
    <w:rsid w:val="005525F2"/>
    <w:rsid w:val="00577E3D"/>
    <w:rsid w:val="0058316E"/>
    <w:rsid w:val="005948E6"/>
    <w:rsid w:val="00596465"/>
    <w:rsid w:val="00604499"/>
    <w:rsid w:val="00621D5C"/>
    <w:rsid w:val="00624C3F"/>
    <w:rsid w:val="00686FAC"/>
    <w:rsid w:val="006A0CCE"/>
    <w:rsid w:val="006C01CF"/>
    <w:rsid w:val="00721036"/>
    <w:rsid w:val="007D6884"/>
    <w:rsid w:val="008114E8"/>
    <w:rsid w:val="00827A2F"/>
    <w:rsid w:val="00864EA2"/>
    <w:rsid w:val="00881FDF"/>
    <w:rsid w:val="008940A6"/>
    <w:rsid w:val="008A58D1"/>
    <w:rsid w:val="008C1EA0"/>
    <w:rsid w:val="009349A1"/>
    <w:rsid w:val="00954D35"/>
    <w:rsid w:val="00A24434"/>
    <w:rsid w:val="00A52956"/>
    <w:rsid w:val="00A728BA"/>
    <w:rsid w:val="00A7613C"/>
    <w:rsid w:val="00A96C21"/>
    <w:rsid w:val="00AD77CA"/>
    <w:rsid w:val="00B43C6E"/>
    <w:rsid w:val="00B70931"/>
    <w:rsid w:val="00B725C0"/>
    <w:rsid w:val="00BE1442"/>
    <w:rsid w:val="00BE473B"/>
    <w:rsid w:val="00BE4C37"/>
    <w:rsid w:val="00C035E6"/>
    <w:rsid w:val="00C16529"/>
    <w:rsid w:val="00C4773A"/>
    <w:rsid w:val="00C56A55"/>
    <w:rsid w:val="00CA25C7"/>
    <w:rsid w:val="00D078E4"/>
    <w:rsid w:val="00D1283E"/>
    <w:rsid w:val="00D651BB"/>
    <w:rsid w:val="00D7300D"/>
    <w:rsid w:val="00D74065"/>
    <w:rsid w:val="00E1264A"/>
    <w:rsid w:val="00E354EC"/>
    <w:rsid w:val="00EA2B54"/>
    <w:rsid w:val="00EB1BB4"/>
    <w:rsid w:val="00EB2054"/>
    <w:rsid w:val="00F44FBD"/>
    <w:rsid w:val="00FC51F6"/>
    <w:rsid w:val="00FD4A39"/>
    <w:rsid w:val="00FE28F1"/>
    <w:rsid w:val="00FE3524"/>
    <w:rsid w:val="00FF36F5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3C21"/>
  <w15:chartTrackingRefBased/>
  <w15:docId w15:val="{C5CD6AB7-45C0-4D20-BE3F-A1314482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1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rsid w:val="00BE4C37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val="en-GB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E4C37"/>
    <w:rPr>
      <w:rFonts w:ascii="Book Antiqua" w:eastAsia="Times New Roman" w:hAnsi="Book Antiqua" w:cs="Times New Roman"/>
      <w:sz w:val="20"/>
      <w:szCs w:val="20"/>
      <w:lang w:val="en-GB"/>
    </w:rPr>
  </w:style>
  <w:style w:type="character" w:styleId="Appelnotedebasdep">
    <w:name w:val="footnote reference"/>
    <w:uiPriority w:val="99"/>
    <w:semiHidden/>
    <w:rsid w:val="00BE4C37"/>
    <w:rPr>
      <w:rFonts w:cs="Times New Roman"/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B1B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1BB4"/>
  </w:style>
  <w:style w:type="paragraph" w:styleId="Pieddepage">
    <w:name w:val="footer"/>
    <w:basedOn w:val="Normal"/>
    <w:link w:val="PieddepageCar"/>
    <w:uiPriority w:val="99"/>
    <w:unhideWhenUsed/>
    <w:rsid w:val="00EB1B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1BB4"/>
  </w:style>
  <w:style w:type="character" w:styleId="Lienhypertexte">
    <w:name w:val="Hyperlink"/>
    <w:basedOn w:val="Policepardfaut"/>
    <w:uiPriority w:val="99"/>
    <w:semiHidden/>
    <w:unhideWhenUsed/>
    <w:rsid w:val="00442D7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8316E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rsid w:val="00543CAE"/>
    <w:pPr>
      <w:spacing w:after="200" w:line="240" w:lineRule="auto"/>
    </w:pPr>
    <w:rPr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rsid w:val="00543CAE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training.cochrane.org/handboo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2223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Hervé Tchala Vignon Zomahoun</dc:creator>
  <cp:keywords/>
  <dc:description/>
  <cp:lastModifiedBy>Hervé Tchala Vignon Zomahoun</cp:lastModifiedBy>
  <cp:revision>2</cp:revision>
  <dcterms:created xsi:type="dcterms:W3CDTF">2020-11-21T12:41:00Z</dcterms:created>
  <dcterms:modified xsi:type="dcterms:W3CDTF">2020-11-21T12:41:00Z</dcterms:modified>
</cp:coreProperties>
</file>