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DFF11" w14:textId="2ECC9A3F" w:rsidR="00485940" w:rsidRPr="00D9416E" w:rsidRDefault="00EE2B7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Supplementary information</w:t>
      </w:r>
    </w:p>
    <w:p w14:paraId="3E1F2051" w14:textId="10CF47B2" w:rsidR="002A00FC" w:rsidRPr="00963E14" w:rsidRDefault="002A00FC" w:rsidP="002A00FC">
      <w:pPr>
        <w:rPr>
          <w:rFonts w:eastAsia="Times New Roman" w:cs="Times New Roman"/>
          <w:bCs/>
          <w:sz w:val="20"/>
          <w:szCs w:val="20"/>
          <w:lang w:val="en-GB" w:eastAsia="pl-PL"/>
        </w:rPr>
      </w:pPr>
      <w:r w:rsidRPr="00963E14">
        <w:rPr>
          <w:rFonts w:cs="Times New Roman"/>
          <w:sz w:val="20"/>
          <w:szCs w:val="20"/>
          <w:lang w:val="en-GB"/>
        </w:rPr>
        <w:t>Table A1.</w:t>
      </w:r>
      <w:r w:rsidRPr="00963E14">
        <w:rPr>
          <w:rFonts w:eastAsia="Times New Roman" w:cs="Times New Roman"/>
          <w:bCs/>
          <w:sz w:val="20"/>
          <w:szCs w:val="20"/>
          <w:lang w:val="en-GB" w:eastAsia="pl-PL"/>
        </w:rPr>
        <w:t xml:space="preserve">  </w:t>
      </w:r>
      <w:r w:rsidRPr="00963E14">
        <w:rPr>
          <w:rFonts w:cs="Times New Roman"/>
          <w:sz w:val="20"/>
          <w:szCs w:val="20"/>
          <w:lang w:val="en-GB"/>
        </w:rPr>
        <w:t>Measurement of constructs and characteristic</w:t>
      </w:r>
    </w:p>
    <w:tbl>
      <w:tblPr>
        <w:tblW w:w="913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1"/>
        <w:gridCol w:w="708"/>
        <w:gridCol w:w="710"/>
        <w:gridCol w:w="992"/>
        <w:gridCol w:w="1843"/>
      </w:tblGrid>
      <w:tr w:rsidR="002A00FC" w:rsidRPr="00D9416E" w14:paraId="597D596A" w14:textId="77777777" w:rsidTr="00B22F6B">
        <w:trPr>
          <w:trHeight w:val="456"/>
        </w:trPr>
        <w:tc>
          <w:tcPr>
            <w:tcW w:w="488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7A7E7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9416E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Item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3903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9416E">
              <w:rPr>
                <w:rFonts w:cs="Times New Roman"/>
                <w:sz w:val="20"/>
                <w:szCs w:val="20"/>
              </w:rPr>
              <w:t>Mean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F7BC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>s</w:t>
            </w:r>
            <w:r w:rsidRPr="003961A8">
              <w:rPr>
                <w:rFonts w:eastAsia="Times New Roman" w:cs="Times New Roman"/>
                <w:sz w:val="20"/>
                <w:szCs w:val="20"/>
                <w:lang w:eastAsia="pl-PL"/>
              </w:rPr>
              <w:t>tandard deviation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0EAB8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9416E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Loading</w:t>
            </w:r>
            <w: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 (CFA)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A985C3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9416E">
              <w:rPr>
                <w:rFonts w:cs="Times New Roman"/>
                <w:sz w:val="20"/>
                <w:szCs w:val="20"/>
              </w:rPr>
              <w:t>characteristic</w:t>
            </w:r>
          </w:p>
        </w:tc>
      </w:tr>
      <w:tr w:rsidR="002A00FC" w:rsidRPr="00D9416E" w14:paraId="6D029B78" w14:textId="77777777" w:rsidTr="00B22F6B">
        <w:trPr>
          <w:trHeight w:val="198"/>
        </w:trPr>
        <w:tc>
          <w:tcPr>
            <w:tcW w:w="9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DC0D9A" w14:textId="71D0BC8F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9416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Facilities in the practice</w:t>
            </w:r>
            <w:r w:rsidR="001C1708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(FP)</w:t>
            </w:r>
          </w:p>
        </w:tc>
      </w:tr>
      <w:tr w:rsidR="002A00FC" w:rsidRPr="00D03914" w14:paraId="28DF0554" w14:textId="77777777" w:rsidTr="00B22F6B">
        <w:trPr>
          <w:trHeight w:val="11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33239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Computerised medical record system which is adequately kept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7047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2.26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16C7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.968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BA0B8F8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E4D27D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Cronbach’s alpha=.733 </w:t>
            </w:r>
          </w:p>
          <w:p w14:paraId="386C01CB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CR=.843</w:t>
            </w:r>
          </w:p>
          <w:p w14:paraId="228D904E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AVE=.576</w:t>
            </w:r>
          </w:p>
          <w:p w14:paraId="2BE5C5B9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explain 57.602% of the total variance </w:t>
            </w:r>
          </w:p>
        </w:tc>
      </w:tr>
      <w:tr w:rsidR="002A00FC" w:rsidRPr="00D9416E" w14:paraId="21EA6DF6" w14:textId="77777777" w:rsidTr="00B22F6B">
        <w:trPr>
          <w:trHeight w:val="34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C270F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Reminders and alerts regarding safety issues which are integrated in the medical record system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1F20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1.77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DDCB3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.980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E8A335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.780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C9FC8D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649FC510" w14:textId="77777777" w:rsidTr="00B22F6B">
        <w:trPr>
          <w:trHeight w:val="380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94DCF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Computerised decision support regarding medication safety in daily practice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D710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1.43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6AFC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.797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AA2E25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.797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B93129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336BDFDC" w14:textId="77777777" w:rsidTr="00B22F6B">
        <w:trPr>
          <w:trHeight w:val="11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7E87A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Computerised decision support regarding test ordering in daily practice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7F37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343A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.696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576758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.810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245F60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6CF67360" w14:textId="77777777" w:rsidTr="00B22F6B">
        <w:trPr>
          <w:trHeight w:val="332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7C9AC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Access to web-based clinical guidance tools in daily practice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A1A7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592A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1.025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575D67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.635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A6F449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6C69B118" w14:textId="77777777" w:rsidTr="00B22F6B">
        <w:trPr>
          <w:trHeight w:val="26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5286E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Telephone facilities that allow quick access to the practice particularly for urgent health problems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D5DB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1.97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20DB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1.147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FCA336B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23831D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1BA42F51" w14:textId="77777777" w:rsidTr="00B22F6B">
        <w:trPr>
          <w:trHeight w:val="300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BE373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Planned checks of safety of equipment medication and other facilities in the practice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84D4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2.31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6885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7B3964E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99D59A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0B43C902" w14:textId="77777777" w:rsidTr="00B22F6B">
        <w:trPr>
          <w:trHeight w:val="20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7FD03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Working agreements with pharmacists when problems arise with delivering medication e.g. alerts interaction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139D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1.71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7385E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1.086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2EA28D2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2CBC61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55C152EB" w14:textId="77777777" w:rsidTr="00B22F6B">
        <w:trPr>
          <w:trHeight w:val="240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830E32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Forms for reporting incidents available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5E0B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1.92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A994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1.166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446E8DF3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486E6E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5AA3B571" w14:textId="77777777" w:rsidTr="00B22F6B">
        <w:trPr>
          <w:trHeight w:val="315"/>
        </w:trPr>
        <w:tc>
          <w:tcPr>
            <w:tcW w:w="9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6DCDB" w14:textId="2E8E3C76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9416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Patient safety management</w:t>
            </w:r>
            <w:r w:rsidR="001C1708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(PSM)</w:t>
            </w:r>
          </w:p>
        </w:tc>
      </w:tr>
      <w:tr w:rsidR="002A00FC" w:rsidRPr="00D03914" w14:paraId="49775F07" w14:textId="77777777" w:rsidTr="00B22F6B">
        <w:trPr>
          <w:trHeight w:val="478"/>
        </w:trPr>
        <w:tc>
          <w:tcPr>
            <w:tcW w:w="48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74A1DE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Practice-based reporting and analysis of incidents (e.g. significant event audit)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981D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1.53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81E7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.908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37E4E04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83B3CA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Cronbach’s alpha =.831 </w:t>
            </w:r>
          </w:p>
          <w:p w14:paraId="1A951909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CR=.889</w:t>
            </w:r>
          </w:p>
          <w:p w14:paraId="64EE4123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AVE=.503</w:t>
            </w:r>
          </w:p>
          <w:p w14:paraId="2345D7E0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explain 46.902% of the total variance </w:t>
            </w:r>
          </w:p>
        </w:tc>
      </w:tr>
      <w:tr w:rsidR="002A00FC" w:rsidRPr="00D9416E" w14:paraId="10BA42D7" w14:textId="77777777" w:rsidTr="00B22F6B">
        <w:trPr>
          <w:trHeight w:val="344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5614B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Reporting and analysis of incidents in small educational groups (e.g. quality circles)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343E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F8A1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.723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B1049E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.782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0AE9DA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47766C10" w14:textId="77777777" w:rsidTr="00B22F6B">
        <w:trPr>
          <w:trHeight w:val="318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A2E249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Nationwide or regional educational reporting system for incidents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DC7F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9CAC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.530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695696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.702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2BAC1C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2D3BC6ED" w14:textId="77777777" w:rsidTr="00B22F6B">
        <w:trPr>
          <w:trHeight w:val="26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C7D01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Nationwide or regional incident reporting weeks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4503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6007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.586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58C183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.716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A0497AE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3DBDDF46" w14:textId="77777777" w:rsidTr="00B22F6B">
        <w:trPr>
          <w:trHeight w:val="324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B4E55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Measurement and feedback on safety culture in general practices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03B9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98D0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533DC6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.657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75C972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1CE7877F" w14:textId="77777777" w:rsidTr="00B22F6B">
        <w:trPr>
          <w:trHeight w:val="218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B577F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Hygiene protocols and guidelines present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7F85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1019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.609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634F71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.699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EBA360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6F377E18" w14:textId="77777777" w:rsidTr="00B22F6B">
        <w:trPr>
          <w:trHeight w:val="32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45E302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Measurement and feedback on indicators for patient safety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B5B2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2BC8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196163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.645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DB9E29D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25912622" w14:textId="77777777" w:rsidTr="00B22F6B">
        <w:trPr>
          <w:trHeight w:val="325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D4F7C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Surveys and other types of consultations of patients regarding safety incidents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3020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FA91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.692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65A5655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.655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AEC390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54E6B91C" w14:textId="77777777" w:rsidTr="00B22F6B">
        <w:trPr>
          <w:trHeight w:val="393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70B061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Campaigns to increase patients' and public awareness of patient safety in general practice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B64C3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5596C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.588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0429C5" w14:textId="77777777" w:rsidR="002A00FC" w:rsidRPr="00D9416E" w:rsidRDefault="002A00FC" w:rsidP="00B22F6B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.802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36AD8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7B7A677C" w14:textId="77777777" w:rsidTr="00B22F6B">
        <w:trPr>
          <w:trHeight w:val="348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583C71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Periodic audits by an external inspection authority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89A6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1.52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93E6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.922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34FABC4A" w14:textId="77777777" w:rsidR="002A00FC" w:rsidRPr="00D9416E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1645A4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51013B58" w14:textId="77777777" w:rsidTr="00B22F6B">
        <w:trPr>
          <w:trHeight w:val="315"/>
        </w:trPr>
        <w:tc>
          <w:tcPr>
            <w:tcW w:w="9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1081E" w14:textId="161402B2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9416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Communication and collaboration</w:t>
            </w:r>
            <w:r w:rsidR="001C1708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(CC)</w:t>
            </w:r>
          </w:p>
        </w:tc>
      </w:tr>
      <w:tr w:rsidR="002A00FC" w:rsidRPr="00D03914" w14:paraId="4F38A6BB" w14:textId="77777777" w:rsidTr="00B22F6B">
        <w:trPr>
          <w:trHeight w:val="235"/>
        </w:trPr>
        <w:tc>
          <w:tcPr>
            <w:tcW w:w="48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E6DA5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Standards for record keeping (ICPC coding electronic records)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224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2.21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798B2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1.082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449A16F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.642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C2DEB6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Cronbach’s alpha =.719 </w:t>
            </w:r>
          </w:p>
          <w:p w14:paraId="39E6DF95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CR=.863</w:t>
            </w:r>
          </w:p>
          <w:p w14:paraId="691C2D72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AVE=.514</w:t>
            </w:r>
          </w:p>
          <w:p w14:paraId="790851D7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explain 45.08% of the total variance </w:t>
            </w:r>
          </w:p>
        </w:tc>
      </w:tr>
      <w:tr w:rsidR="002A00FC" w:rsidRPr="00D9416E" w14:paraId="66538F99" w14:textId="77777777" w:rsidTr="00B22F6B">
        <w:trPr>
          <w:trHeight w:val="267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613710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9416E">
              <w:rPr>
                <w:rFonts w:eastAsia="Times New Roman" w:cs="Times New Roman"/>
                <w:sz w:val="20"/>
                <w:szCs w:val="20"/>
                <w:lang w:eastAsia="pl-PL"/>
              </w:rPr>
              <w:t>Patient-held medical records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4690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3.33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F5C7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1.067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5FEA9AF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C088F9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5522D865" w14:textId="77777777" w:rsidTr="00B22F6B">
        <w:trPr>
          <w:trHeight w:val="271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B8C3F0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Integrated medical records for communication with specialists and others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A27C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1.43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2FC9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.755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B4D0976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.801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70D833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7AD339A4" w14:textId="77777777" w:rsidTr="00B22F6B">
        <w:trPr>
          <w:trHeight w:val="389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4798D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Electronic prescriptions and integrated medication overview in the records from the pharmacist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7EE6A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1.39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2A55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.664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26EBFD8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.706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C28775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00A71F0D" w14:textId="77777777" w:rsidTr="00B22F6B">
        <w:trPr>
          <w:trHeight w:val="26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733E1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lastRenderedPageBreak/>
              <w:t>Structured formats for information on referral of patients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F668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1.81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2F269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1.083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16A7F16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.628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9A39C5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7686A364" w14:textId="77777777" w:rsidTr="00B22F6B">
        <w:trPr>
          <w:trHeight w:val="524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ED917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Comprehensive analysis of prescribing decisions in the pharmacy. using decision support systems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1702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E69EC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1E28227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.745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A7D441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472206F2" w14:textId="77777777" w:rsidTr="00B22F6B">
        <w:trPr>
          <w:trHeight w:val="117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7351B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Periodic review of medication by pharmacists in patients who use dangerous (combinations of) medication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75D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1A5C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.743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3DE1183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.766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52C37B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03914" w14:paraId="39A78EF3" w14:textId="77777777" w:rsidTr="00B22F6B">
        <w:trPr>
          <w:trHeight w:val="315"/>
        </w:trPr>
        <w:tc>
          <w:tcPr>
            <w:tcW w:w="9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7153C4" w14:textId="473E8846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b/>
                <w:bCs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b/>
                <w:bCs/>
                <w:sz w:val="20"/>
                <w:szCs w:val="20"/>
                <w:lang w:val="en-GB" w:eastAsia="pl-PL"/>
              </w:rPr>
              <w:t>Generic conditions for patient safety</w:t>
            </w:r>
            <w:r w:rsidR="001C1708">
              <w:rPr>
                <w:rFonts w:eastAsia="Times New Roman" w:cs="Times New Roman"/>
                <w:b/>
                <w:bCs/>
                <w:sz w:val="20"/>
                <w:szCs w:val="20"/>
                <w:lang w:val="en-GB" w:eastAsia="pl-PL"/>
              </w:rPr>
              <w:t xml:space="preserve"> (GC)</w:t>
            </w:r>
          </w:p>
        </w:tc>
      </w:tr>
      <w:tr w:rsidR="002A00FC" w:rsidRPr="00D03914" w14:paraId="196EA974" w14:textId="77777777" w:rsidTr="00B22F6B">
        <w:trPr>
          <w:trHeight w:val="146"/>
        </w:trPr>
        <w:tc>
          <w:tcPr>
            <w:tcW w:w="48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3C6C8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Culture and mentality which facilitates learning from incidents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E3F0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1.91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3CA3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11919DF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.637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0265FD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Cronbach’s alpha=.703 </w:t>
            </w:r>
          </w:p>
          <w:p w14:paraId="360F7CEB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CR=.843</w:t>
            </w:r>
          </w:p>
          <w:p w14:paraId="0B380D54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AVE=.520</w:t>
            </w:r>
          </w:p>
          <w:p w14:paraId="00640DB6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 explain 49.15% of the total variance</w:t>
            </w:r>
          </w:p>
        </w:tc>
      </w:tr>
      <w:tr w:rsidR="002A00FC" w:rsidRPr="00D9416E" w14:paraId="319ECB4D" w14:textId="77777777" w:rsidTr="00B22F6B">
        <w:trPr>
          <w:trHeight w:val="504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792AB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Understanding of patient safety in health professionals. Particularly regarding how it differs from complications of treatment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95ED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2.15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6F0E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D272A47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.728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8DB67E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6B3B7B13" w14:textId="77777777" w:rsidTr="00B22F6B">
        <w:trPr>
          <w:trHeight w:val="212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EA2669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Workload is perceived as acceptable in general practice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5107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1.56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4CF1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1.036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4B17365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.703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6A4CC39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438941E2" w14:textId="77777777" w:rsidTr="00B22F6B">
        <w:trPr>
          <w:trHeight w:val="31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ED75F8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Adequate procedures for identifying and managing burn-out in health professionals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3A4DB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1F66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.711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E8994F3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.750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2402B9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46FD777A" w14:textId="77777777" w:rsidTr="00B22F6B">
        <w:trPr>
          <w:trHeight w:val="350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14A4E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Availability of information technology in general practice and skills to use these adequately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C4596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2.15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6EA0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1.108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4EAF83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.775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0280D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3DC9E2DB" w14:textId="77777777" w:rsidTr="00B22F6B">
        <w:trPr>
          <w:trHeight w:val="315"/>
        </w:trPr>
        <w:tc>
          <w:tcPr>
            <w:tcW w:w="9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DD6DCC" w14:textId="33622BD9" w:rsidR="002A00FC" w:rsidRPr="00D9416E" w:rsidRDefault="002A00FC" w:rsidP="00B22F6B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9416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Education on patient safety</w:t>
            </w:r>
            <w:r w:rsidR="001C1708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(EPS)</w:t>
            </w:r>
          </w:p>
        </w:tc>
      </w:tr>
      <w:tr w:rsidR="002A00FC" w:rsidRPr="00D03914" w14:paraId="6B0F057E" w14:textId="77777777" w:rsidTr="00B22F6B">
        <w:trPr>
          <w:trHeight w:val="346"/>
        </w:trPr>
        <w:tc>
          <w:tcPr>
            <w:tcW w:w="48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10CACC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Education on patient safety in the medical curriculum. before graduation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A26A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1.39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A016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2415544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.733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70F37C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Cronbach’s alpha=.883 </w:t>
            </w:r>
          </w:p>
          <w:p w14:paraId="3B39B789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CR=.907</w:t>
            </w:r>
          </w:p>
          <w:p w14:paraId="3042D44B" w14:textId="77777777" w:rsidR="002A00FC" w:rsidRPr="00963E14" w:rsidRDefault="002A00FC" w:rsidP="00B22F6B">
            <w:pPr>
              <w:spacing w:after="0" w:line="240" w:lineRule="auto"/>
              <w:rPr>
                <w:rFonts w:cs="Times New Roman"/>
                <w:sz w:val="20"/>
                <w:szCs w:val="20"/>
                <w:lang w:val="en-GB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>AVE=.554</w:t>
            </w:r>
          </w:p>
          <w:p w14:paraId="0ED70CB4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cs="Times New Roman"/>
                <w:sz w:val="20"/>
                <w:szCs w:val="20"/>
                <w:lang w:val="en-GB"/>
              </w:rPr>
              <w:t xml:space="preserve">explain 55.44% of the total variance </w:t>
            </w:r>
          </w:p>
        </w:tc>
      </w:tr>
      <w:tr w:rsidR="002A00FC" w:rsidRPr="00D9416E" w14:paraId="3ED05658" w14:textId="77777777" w:rsidTr="00B22F6B">
        <w:trPr>
          <w:trHeight w:val="252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52A424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Education on patient safety in the vocational training of GPs (general practitioners)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CC2D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1.60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9EAF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1.013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2EC6C3A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.749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00BFF1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473093AC" w14:textId="77777777" w:rsidTr="00B22F6B">
        <w:trPr>
          <w:trHeight w:val="130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8D46FB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 xml:space="preserve">Practical skills workshops for safe practice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9034C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1.22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349A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.637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355EE86A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.540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06F6A3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032942A7" w14:textId="77777777" w:rsidTr="00B22F6B">
        <w:trPr>
          <w:trHeight w:val="189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9DF9C3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Postgraduate education on patient safety of GPs (general practitioners)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3843C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1.36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B5D4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.798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8708385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.753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7268C0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3209F818" w14:textId="77777777" w:rsidTr="00B22F6B">
        <w:trPr>
          <w:trHeight w:val="276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EBD49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Education on patient safety in the nurses curriculum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7157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1.48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DC96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.935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3E3595C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.854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E7E35B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0FFEC282" w14:textId="77777777" w:rsidTr="00B22F6B">
        <w:trPr>
          <w:trHeight w:val="124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7F88FC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Education on patient safety in the vocational training of practice nurses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70457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1.47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3A73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.926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E851422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.861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624BB3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5BD66205" w14:textId="77777777" w:rsidTr="00B22F6B">
        <w:trPr>
          <w:trHeight w:val="340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8BCB6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Postgraduate education on patient safety of practice nurses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678A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1.41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CF4F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.853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EB9C9AF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.770</w:t>
            </w:r>
          </w:p>
        </w:tc>
        <w:tc>
          <w:tcPr>
            <w:tcW w:w="1843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7B436C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A00FC" w:rsidRPr="00D9416E" w14:paraId="3C5931E6" w14:textId="77777777" w:rsidTr="00B22F6B">
        <w:trPr>
          <w:trHeight w:val="119"/>
        </w:trPr>
        <w:tc>
          <w:tcPr>
            <w:tcW w:w="488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B4736" w14:textId="77777777" w:rsidR="002A00FC" w:rsidRPr="00963E14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pl-PL"/>
              </w:rPr>
            </w:pPr>
            <w:r w:rsidRPr="00963E14">
              <w:rPr>
                <w:rFonts w:eastAsia="Times New Roman" w:cs="Times New Roman"/>
                <w:sz w:val="20"/>
                <w:szCs w:val="20"/>
                <w:lang w:val="en-GB" w:eastAsia="pl-PL"/>
              </w:rPr>
              <w:t>A guideline on patient safety is available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C3F2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1.45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193F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.876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B3642F4" w14:textId="77777777" w:rsidR="002A00FC" w:rsidRPr="00D9416E" w:rsidRDefault="002A00FC" w:rsidP="00B22F6B">
            <w:pPr>
              <w:rPr>
                <w:rFonts w:cs="Times New Roman"/>
                <w:sz w:val="20"/>
                <w:szCs w:val="20"/>
              </w:rPr>
            </w:pPr>
            <w:r w:rsidRPr="00D9416E">
              <w:rPr>
                <w:rFonts w:cs="Times New Roman"/>
                <w:sz w:val="20"/>
                <w:szCs w:val="20"/>
              </w:rPr>
              <w:t>.645</w:t>
            </w:r>
          </w:p>
        </w:tc>
        <w:tc>
          <w:tcPr>
            <w:tcW w:w="184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B365E7" w14:textId="77777777" w:rsidR="002A00FC" w:rsidRPr="00D9416E" w:rsidRDefault="002A00FC" w:rsidP="00B22F6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44DC1C5F" w14:textId="77777777" w:rsidR="002A00FC" w:rsidRPr="00963E14" w:rsidRDefault="002A00FC" w:rsidP="002A00FC">
      <w:pPr>
        <w:spacing w:after="0" w:line="240" w:lineRule="auto"/>
        <w:rPr>
          <w:rFonts w:eastAsia="Times New Roman" w:cs="Times New Roman"/>
          <w:bCs/>
          <w:sz w:val="20"/>
          <w:szCs w:val="20"/>
          <w:lang w:val="en-GB" w:eastAsia="pl-PL"/>
        </w:rPr>
      </w:pPr>
      <w:r w:rsidRPr="00963E14">
        <w:rPr>
          <w:rFonts w:cs="Times New Roman"/>
          <w:sz w:val="20"/>
          <w:szCs w:val="20"/>
          <w:lang w:val="en-GB"/>
        </w:rPr>
        <w:t xml:space="preserve">Note: </w:t>
      </w:r>
      <w:r w:rsidRPr="00963E14">
        <w:rPr>
          <w:rFonts w:eastAsia="Times New Roman" w:cs="Times New Roman"/>
          <w:bCs/>
          <w:sz w:val="20"/>
          <w:szCs w:val="20"/>
          <w:lang w:val="en-GB" w:eastAsia="pl-PL"/>
        </w:rPr>
        <w:t>-means the question does not create latent variables (strategies)</w:t>
      </w:r>
    </w:p>
    <w:p w14:paraId="4B393DDB" w14:textId="77777777" w:rsidR="002A00FC" w:rsidRPr="00963E14" w:rsidRDefault="002A00FC" w:rsidP="002A00FC">
      <w:pPr>
        <w:spacing w:after="0" w:line="240" w:lineRule="auto"/>
        <w:rPr>
          <w:rFonts w:eastAsia="Times New Roman" w:cs="Times New Roman"/>
          <w:bCs/>
          <w:sz w:val="20"/>
          <w:szCs w:val="20"/>
          <w:lang w:val="en-GB" w:eastAsia="pl-PL"/>
        </w:rPr>
      </w:pPr>
    </w:p>
    <w:sectPr w:rsidR="002A00FC" w:rsidRPr="00963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FC2"/>
    <w:rsid w:val="001C1708"/>
    <w:rsid w:val="002A00FC"/>
    <w:rsid w:val="00485940"/>
    <w:rsid w:val="00927D07"/>
    <w:rsid w:val="00A21FC2"/>
    <w:rsid w:val="00C562BD"/>
    <w:rsid w:val="00D1295C"/>
    <w:rsid w:val="00D9416E"/>
    <w:rsid w:val="00EE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0DCC9"/>
  <w15:chartTrackingRefBased/>
  <w15:docId w15:val="{3EED6861-8264-4D64-8584-305EC46D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DPI42tablebody">
    <w:name w:val="MDPI_4.2_table_body"/>
    <w:qFormat/>
    <w:rsid w:val="00A21FC2"/>
    <w:pPr>
      <w:adjustRightInd w:val="0"/>
      <w:snapToGrid w:val="0"/>
      <w:spacing w:after="0" w:line="260" w:lineRule="atLeast"/>
      <w:jc w:val="center"/>
    </w:pPr>
    <w:rPr>
      <w:rFonts w:ascii="Palatino Linotype" w:eastAsia="Times New Roman" w:hAnsi="Palatino Linotype" w:cs="Times New Roman"/>
      <w:snapToGrid w:val="0"/>
      <w:color w:val="000000"/>
      <w:sz w:val="20"/>
      <w:szCs w:val="20"/>
      <w:lang w:val="en-US" w:eastAsia="de-DE" w:bidi="en-US"/>
    </w:rPr>
  </w:style>
  <w:style w:type="table" w:styleId="Tabela-Siatka">
    <w:name w:val="Table Grid"/>
    <w:basedOn w:val="Standardowy"/>
    <w:uiPriority w:val="39"/>
    <w:rsid w:val="00A21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PI31text">
    <w:name w:val="MDPI_3.1_text"/>
    <w:qFormat/>
    <w:rsid w:val="00A21FC2"/>
    <w:pPr>
      <w:adjustRightInd w:val="0"/>
      <w:snapToGrid w:val="0"/>
      <w:spacing w:after="0"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sz w:val="20"/>
      <w:lang w:val="en-US"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607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Iwona Staniec K83</cp:lastModifiedBy>
  <cp:revision>3</cp:revision>
  <dcterms:created xsi:type="dcterms:W3CDTF">2021-08-29T20:05:00Z</dcterms:created>
  <dcterms:modified xsi:type="dcterms:W3CDTF">2021-08-29T20:07:00Z</dcterms:modified>
</cp:coreProperties>
</file>