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1789C" w14:textId="77777777" w:rsidR="00444A46" w:rsidRDefault="00444A46" w:rsidP="0002778F"/>
    <w:p w14:paraId="053CDE5A" w14:textId="77777777" w:rsidR="00444A46" w:rsidRDefault="00444A46" w:rsidP="0002778F">
      <w:pPr>
        <w:jc w:val="center"/>
        <w:rPr>
          <w:b/>
          <w:bCs/>
        </w:rPr>
      </w:pPr>
      <w:r w:rsidRPr="00BD6AB6">
        <w:rPr>
          <w:b/>
          <w:bCs/>
        </w:rPr>
        <w:t xml:space="preserve">Patients’ and Clinicians’ </w:t>
      </w:r>
      <w:r>
        <w:rPr>
          <w:b/>
          <w:bCs/>
        </w:rPr>
        <w:t>P</w:t>
      </w:r>
      <w:r w:rsidRPr="00BD6AB6">
        <w:rPr>
          <w:b/>
          <w:bCs/>
        </w:rPr>
        <w:t xml:space="preserve">erceptions of </w:t>
      </w:r>
      <w:r>
        <w:rPr>
          <w:b/>
          <w:bCs/>
        </w:rPr>
        <w:t>O</w:t>
      </w:r>
      <w:r w:rsidRPr="00BD6AB6">
        <w:rPr>
          <w:b/>
          <w:bCs/>
        </w:rPr>
        <w:t xml:space="preserve">ral </w:t>
      </w:r>
      <w:r>
        <w:rPr>
          <w:b/>
          <w:bCs/>
        </w:rPr>
        <w:t>A</w:t>
      </w:r>
      <w:r w:rsidRPr="00BD6AB6">
        <w:rPr>
          <w:b/>
          <w:bCs/>
        </w:rPr>
        <w:t xml:space="preserve">nticoagulants in </w:t>
      </w:r>
      <w:r>
        <w:rPr>
          <w:b/>
          <w:bCs/>
        </w:rPr>
        <w:t>A</w:t>
      </w:r>
      <w:r w:rsidRPr="00BD6AB6">
        <w:rPr>
          <w:b/>
          <w:bCs/>
        </w:rPr>
        <w:t xml:space="preserve">trial </w:t>
      </w:r>
      <w:r>
        <w:rPr>
          <w:b/>
          <w:bCs/>
        </w:rPr>
        <w:t>F</w:t>
      </w:r>
      <w:r w:rsidRPr="00BD6AB6">
        <w:rPr>
          <w:b/>
          <w:bCs/>
        </w:rPr>
        <w:t xml:space="preserve">ibrillation: </w:t>
      </w:r>
    </w:p>
    <w:p w14:paraId="0B2AE8D5" w14:textId="77777777" w:rsidR="00444A46" w:rsidRPr="00BD6AB6" w:rsidRDefault="00444A46" w:rsidP="0002778F">
      <w:pPr>
        <w:jc w:val="center"/>
        <w:rPr>
          <w:b/>
          <w:bCs/>
        </w:rPr>
      </w:pPr>
      <w:r w:rsidRPr="00BD6AB6">
        <w:rPr>
          <w:b/>
          <w:bCs/>
        </w:rPr>
        <w:t xml:space="preserve">A </w:t>
      </w:r>
      <w:r>
        <w:rPr>
          <w:b/>
          <w:bCs/>
        </w:rPr>
        <w:t>systematic narrative review and meta-analysis</w:t>
      </w:r>
    </w:p>
    <w:p w14:paraId="0832E775" w14:textId="77777777" w:rsidR="00444A46" w:rsidRDefault="00444A46" w:rsidP="0002778F"/>
    <w:p w14:paraId="23E63033" w14:textId="77777777" w:rsidR="00444A46" w:rsidRPr="00D76764" w:rsidRDefault="00444A46" w:rsidP="0002778F">
      <w:r w:rsidRPr="00D76764">
        <w:br/>
        <w:t xml:space="preserve">Yeyenta </w:t>
      </w:r>
      <w:r>
        <w:t xml:space="preserve">Mina </w:t>
      </w:r>
      <w:r w:rsidRPr="00D76764">
        <w:t>Osasu</w:t>
      </w:r>
      <w:r>
        <w:t xml:space="preserve"> </w:t>
      </w:r>
      <w:proofErr w:type="spellStart"/>
      <w:r>
        <w:t>MPharm</w:t>
      </w:r>
      <w:proofErr w:type="spellEnd"/>
      <w:r>
        <w:t xml:space="preserve"> </w:t>
      </w:r>
      <w:proofErr w:type="spellStart"/>
      <w:r>
        <w:t>PGDipClinPharm</w:t>
      </w:r>
      <w:proofErr w:type="spellEnd"/>
      <w:r>
        <w:t>*</w:t>
      </w:r>
    </w:p>
    <w:p w14:paraId="50D3CCF3" w14:textId="77777777" w:rsidR="00444A46" w:rsidRDefault="00444A46" w:rsidP="0002778F">
      <w:pPr>
        <w:rPr>
          <w:rStyle w:val="Hyperlink"/>
        </w:rPr>
      </w:pPr>
      <w:hyperlink r:id="rId6" w:history="1">
        <w:r w:rsidRPr="00FA73BC">
          <w:rPr>
            <w:rStyle w:val="Hyperlink"/>
          </w:rPr>
          <w:t>yeyenta.osasu@nhs.net</w:t>
        </w:r>
      </w:hyperlink>
    </w:p>
    <w:p w14:paraId="686A577F" w14:textId="77777777" w:rsidR="00444A46" w:rsidRPr="00D76764" w:rsidRDefault="00444A46" w:rsidP="0002778F">
      <w:r w:rsidRPr="00D76764">
        <w:t>Academic Unit of Primary Medical Care</w:t>
      </w:r>
    </w:p>
    <w:p w14:paraId="52AB9F71" w14:textId="77777777" w:rsidR="00444A46" w:rsidRPr="00D76764" w:rsidRDefault="00444A46" w:rsidP="0002778F">
      <w:r w:rsidRPr="00D76764">
        <w:t>Faculty of Medicine, Dentistry and Health</w:t>
      </w:r>
      <w:r w:rsidRPr="00D76764">
        <w:br/>
        <w:t>University of Sheffield</w:t>
      </w:r>
    </w:p>
    <w:p w14:paraId="1D109901" w14:textId="77777777" w:rsidR="00444A46" w:rsidRPr="00FA7C4D" w:rsidRDefault="00444A46" w:rsidP="0002778F">
      <w:r w:rsidRPr="00FA7C4D">
        <w:t>S5 7AU</w:t>
      </w:r>
    </w:p>
    <w:p w14:paraId="20CA84DF" w14:textId="77777777" w:rsidR="00444A46" w:rsidRPr="00D76764" w:rsidRDefault="00444A46" w:rsidP="0002778F"/>
    <w:p w14:paraId="145819C2" w14:textId="77777777" w:rsidR="00444A46" w:rsidRPr="00D76764" w:rsidRDefault="00444A46" w:rsidP="0002778F">
      <w:r w:rsidRPr="00D76764">
        <w:t>Dr Richard Cooper</w:t>
      </w:r>
      <w:r>
        <w:t xml:space="preserve"> BPharm MA PhD </w:t>
      </w:r>
      <w:proofErr w:type="spellStart"/>
      <w:r>
        <w:t>PGCertHEd</w:t>
      </w:r>
      <w:proofErr w:type="spellEnd"/>
    </w:p>
    <w:p w14:paraId="12E0EA8A" w14:textId="77777777" w:rsidR="00444A46" w:rsidRDefault="00444A46" w:rsidP="0002778F">
      <w:hyperlink r:id="rId7" w:tgtFrame="_blank" w:history="1">
        <w:r w:rsidRPr="00D76764">
          <w:rPr>
            <w:rStyle w:val="Hyperlink"/>
          </w:rPr>
          <w:t>richard.cooper@sheffield.ac.uk</w:t>
        </w:r>
      </w:hyperlink>
    </w:p>
    <w:p w14:paraId="59927969" w14:textId="77777777" w:rsidR="00444A46" w:rsidRPr="00D76764" w:rsidRDefault="00444A46" w:rsidP="0002778F">
      <w:r w:rsidRPr="00D76764">
        <w:t>Senior Lecturer in Public Health</w:t>
      </w:r>
      <w:r w:rsidRPr="00D76764">
        <w:br/>
      </w:r>
      <w:proofErr w:type="spellStart"/>
      <w:r w:rsidRPr="00D76764">
        <w:t>ScHARR</w:t>
      </w:r>
      <w:proofErr w:type="spellEnd"/>
      <w:r w:rsidRPr="00D76764">
        <w:t>, University of Sheffield</w:t>
      </w:r>
      <w:r w:rsidRPr="00D76764">
        <w:br/>
      </w:r>
      <w:proofErr w:type="spellStart"/>
      <w:r w:rsidRPr="00D76764">
        <w:t>Sheffield</w:t>
      </w:r>
      <w:proofErr w:type="spellEnd"/>
      <w:r w:rsidRPr="00D76764">
        <w:t>, S1 4DA, UK</w:t>
      </w:r>
      <w:r w:rsidRPr="00D76764">
        <w:br/>
        <w:t>+44 (0)114 2220768</w:t>
      </w:r>
    </w:p>
    <w:p w14:paraId="6348A3B5" w14:textId="77777777" w:rsidR="00444A46" w:rsidRPr="00D76764" w:rsidRDefault="00444A46" w:rsidP="0002778F"/>
    <w:p w14:paraId="74BD4C8A" w14:textId="77777777" w:rsidR="00444A46" w:rsidRPr="00D76764" w:rsidRDefault="00444A46" w:rsidP="0002778F">
      <w:r w:rsidRPr="00D76764">
        <w:t>Dr Caroline Mitchell</w:t>
      </w:r>
      <w:r>
        <w:t xml:space="preserve"> </w:t>
      </w:r>
      <w:r w:rsidRPr="007975B0">
        <w:t xml:space="preserve">MD FRCGP MRCGP </w:t>
      </w:r>
      <w:proofErr w:type="spellStart"/>
      <w:r w:rsidRPr="007975B0">
        <w:t>PGCertMedED</w:t>
      </w:r>
      <w:proofErr w:type="spellEnd"/>
    </w:p>
    <w:p w14:paraId="1D2E38A8" w14:textId="77777777" w:rsidR="00444A46" w:rsidRDefault="00444A46" w:rsidP="0002778F">
      <w:hyperlink r:id="rId8" w:tgtFrame="_blank" w:history="1">
        <w:r w:rsidRPr="00D76764">
          <w:rPr>
            <w:rStyle w:val="Hyperlink"/>
          </w:rPr>
          <w:t>c.mitchell@sheffield.ac.uk</w:t>
        </w:r>
      </w:hyperlink>
    </w:p>
    <w:p w14:paraId="11403583" w14:textId="77777777" w:rsidR="00444A46" w:rsidRPr="00D76764" w:rsidRDefault="00444A46" w:rsidP="0002778F">
      <w:r w:rsidRPr="00D76764">
        <w:t>Academic Unit of Primary Medical Care</w:t>
      </w:r>
    </w:p>
    <w:p w14:paraId="6751AA12" w14:textId="77777777" w:rsidR="00444A46" w:rsidRPr="00D76764" w:rsidRDefault="00444A46" w:rsidP="0002778F">
      <w:r w:rsidRPr="00D76764">
        <w:t>Faculty of Medicine, Dentistry and Health</w:t>
      </w:r>
      <w:r w:rsidRPr="00D76764">
        <w:br/>
        <w:t>University of Sheffield</w:t>
      </w:r>
    </w:p>
    <w:p w14:paraId="42F65951" w14:textId="77777777" w:rsidR="00444A46" w:rsidRPr="00FA7C4D" w:rsidRDefault="00444A46" w:rsidP="0002778F">
      <w:r w:rsidRPr="00FA7C4D">
        <w:t>S5 7AU</w:t>
      </w:r>
    </w:p>
    <w:p w14:paraId="7FCD5E06" w14:textId="77777777" w:rsidR="00444A46" w:rsidRPr="00D76764" w:rsidRDefault="00444A46" w:rsidP="0002778F"/>
    <w:p w14:paraId="049D1813" w14:textId="77777777" w:rsidR="00444A46" w:rsidRDefault="00444A46" w:rsidP="0002778F"/>
    <w:p w14:paraId="0F16667A" w14:textId="77777777" w:rsidR="00444A46" w:rsidRDefault="00444A46">
      <w:pPr>
        <w:sectPr w:rsidR="00444A46" w:rsidSect="00444A46">
          <w:footerReference w:type="even" r:id="rId9"/>
          <w:footerReference w:type="default" r:id="rId10"/>
          <w:pgSz w:w="11900" w:h="16840"/>
          <w:pgMar w:top="1440" w:right="1440" w:bottom="1440" w:left="1440" w:header="708" w:footer="708" w:gutter="0"/>
          <w:cols w:space="708"/>
          <w:docGrid w:linePitch="360"/>
        </w:sectPr>
      </w:pPr>
      <w:r>
        <w:t>Yeyenta Osasu*- 1</w:t>
      </w:r>
      <w:r w:rsidRPr="000A5889">
        <w:rPr>
          <w:vertAlign w:val="superscript"/>
        </w:rPr>
        <w:t>st</w:t>
      </w:r>
      <w:r>
        <w:t xml:space="preserve"> author/ Corresponding author</w:t>
      </w:r>
    </w:p>
    <w:p w14:paraId="19B1492D" w14:textId="5C785309" w:rsidR="00444A46" w:rsidRDefault="00444A46"/>
    <w:p w14:paraId="52CA3944" w14:textId="241ADA40" w:rsidR="00DA7737" w:rsidRDefault="00AF7B95" w:rsidP="00DA7737">
      <w:pPr>
        <w:pBdr>
          <w:top w:val="nil"/>
          <w:left w:val="nil"/>
          <w:bottom w:val="nil"/>
          <w:right w:val="nil"/>
          <w:between w:val="nil"/>
        </w:pBdr>
        <w:jc w:val="both"/>
        <w:rPr>
          <w:color w:val="000000"/>
        </w:rPr>
      </w:pPr>
      <w:r>
        <w:rPr>
          <w:b/>
          <w:color w:val="000000"/>
        </w:rPr>
        <w:t xml:space="preserve">Supplementary </w:t>
      </w:r>
      <w:r w:rsidR="00DA7737" w:rsidRPr="00BD6AB6">
        <w:rPr>
          <w:b/>
          <w:color w:val="000000"/>
        </w:rPr>
        <w:t xml:space="preserve">Table </w:t>
      </w:r>
      <w:r>
        <w:rPr>
          <w:b/>
          <w:color w:val="000000"/>
        </w:rPr>
        <w:t>1</w:t>
      </w:r>
      <w:r w:rsidR="00DA7737">
        <w:rPr>
          <w:b/>
          <w:color w:val="000000"/>
        </w:rPr>
        <w:tab/>
      </w:r>
      <w:r w:rsidR="00DA7737">
        <w:rPr>
          <w:color w:val="000000"/>
        </w:rPr>
        <w:t>Extraction table showing summary of studies</w:t>
      </w:r>
    </w:p>
    <w:p w14:paraId="2EECF044" w14:textId="546A1CB8" w:rsidR="00DA7737" w:rsidRDefault="00DA7737"/>
    <w:tbl>
      <w:tblPr>
        <w:tblStyle w:val="TableGrid"/>
        <w:tblW w:w="13887" w:type="dxa"/>
        <w:tblLook w:val="04A0" w:firstRow="1" w:lastRow="0" w:firstColumn="1" w:lastColumn="0" w:noHBand="0" w:noVBand="1"/>
      </w:tblPr>
      <w:tblGrid>
        <w:gridCol w:w="1589"/>
        <w:gridCol w:w="1503"/>
        <w:gridCol w:w="1444"/>
        <w:gridCol w:w="3114"/>
        <w:gridCol w:w="3402"/>
        <w:gridCol w:w="2835"/>
      </w:tblGrid>
      <w:tr w:rsidR="00DA7737" w:rsidRPr="00066031" w14:paraId="0C107453" w14:textId="77777777" w:rsidTr="00F73E3D">
        <w:trPr>
          <w:cantSplit/>
          <w:tblHeader/>
        </w:trPr>
        <w:tc>
          <w:tcPr>
            <w:tcW w:w="1589" w:type="dxa"/>
            <w:tcBorders>
              <w:bottom w:val="single" w:sz="4" w:space="0" w:color="auto"/>
            </w:tcBorders>
          </w:tcPr>
          <w:p w14:paraId="7CA90E6C" w14:textId="77777777" w:rsidR="00DA7737" w:rsidRPr="002C3CCD" w:rsidRDefault="00DA7737" w:rsidP="00F73E3D">
            <w:pPr>
              <w:jc w:val="center"/>
              <w:rPr>
                <w:rFonts w:asciiTheme="minorHAnsi" w:hAnsiTheme="minorHAnsi" w:cstheme="minorHAnsi"/>
                <w:b/>
                <w:bCs/>
                <w:sz w:val="20"/>
                <w:szCs w:val="20"/>
              </w:rPr>
            </w:pPr>
            <w:r>
              <w:rPr>
                <w:rFonts w:asciiTheme="minorHAnsi" w:hAnsiTheme="minorHAnsi" w:cstheme="minorHAnsi"/>
                <w:b/>
                <w:bCs/>
                <w:sz w:val="20"/>
                <w:szCs w:val="20"/>
              </w:rPr>
              <w:t>Author</w:t>
            </w:r>
          </w:p>
        </w:tc>
        <w:tc>
          <w:tcPr>
            <w:tcW w:w="1503" w:type="dxa"/>
            <w:tcBorders>
              <w:bottom w:val="single" w:sz="4" w:space="0" w:color="auto"/>
            </w:tcBorders>
          </w:tcPr>
          <w:p w14:paraId="7C9B39AB" w14:textId="77777777" w:rsidR="00DA7737" w:rsidRPr="002C3CCD" w:rsidRDefault="00DA7737" w:rsidP="00F73E3D">
            <w:pPr>
              <w:jc w:val="center"/>
              <w:rPr>
                <w:rFonts w:asciiTheme="minorHAnsi" w:hAnsiTheme="minorHAnsi" w:cstheme="minorHAnsi"/>
                <w:b/>
                <w:bCs/>
                <w:sz w:val="20"/>
                <w:szCs w:val="20"/>
              </w:rPr>
            </w:pPr>
            <w:r>
              <w:rPr>
                <w:rFonts w:asciiTheme="minorHAnsi" w:hAnsiTheme="minorHAnsi" w:cstheme="minorHAnsi"/>
                <w:b/>
                <w:bCs/>
                <w:sz w:val="20"/>
                <w:szCs w:val="20"/>
              </w:rPr>
              <w:t>Methodology</w:t>
            </w:r>
          </w:p>
        </w:tc>
        <w:tc>
          <w:tcPr>
            <w:tcW w:w="1444" w:type="dxa"/>
            <w:tcBorders>
              <w:bottom w:val="single" w:sz="4" w:space="0" w:color="auto"/>
            </w:tcBorders>
          </w:tcPr>
          <w:p w14:paraId="6A005FD0" w14:textId="77777777" w:rsidR="00DA7737" w:rsidRPr="002C3CCD" w:rsidRDefault="00DA7737" w:rsidP="00F73E3D">
            <w:pPr>
              <w:jc w:val="center"/>
              <w:rPr>
                <w:rFonts w:asciiTheme="minorHAnsi" w:hAnsiTheme="minorHAnsi" w:cstheme="minorHAnsi"/>
                <w:b/>
                <w:bCs/>
                <w:sz w:val="20"/>
                <w:szCs w:val="20"/>
              </w:rPr>
            </w:pPr>
            <w:r>
              <w:rPr>
                <w:rFonts w:asciiTheme="minorHAnsi" w:hAnsiTheme="minorHAnsi" w:cstheme="minorHAnsi"/>
                <w:b/>
                <w:bCs/>
                <w:sz w:val="20"/>
                <w:szCs w:val="20"/>
              </w:rPr>
              <w:t>Participants/ Country</w:t>
            </w:r>
          </w:p>
        </w:tc>
        <w:tc>
          <w:tcPr>
            <w:tcW w:w="3114" w:type="dxa"/>
            <w:tcBorders>
              <w:bottom w:val="single" w:sz="4" w:space="0" w:color="auto"/>
            </w:tcBorders>
          </w:tcPr>
          <w:p w14:paraId="2B6890CC" w14:textId="77777777" w:rsidR="00DA7737" w:rsidRPr="002C3CCD" w:rsidRDefault="00DA7737" w:rsidP="00F73E3D">
            <w:pPr>
              <w:jc w:val="center"/>
              <w:rPr>
                <w:rFonts w:asciiTheme="minorHAnsi" w:hAnsiTheme="minorHAnsi" w:cstheme="minorHAnsi"/>
                <w:b/>
                <w:bCs/>
                <w:sz w:val="20"/>
                <w:szCs w:val="20"/>
              </w:rPr>
            </w:pPr>
            <w:r>
              <w:rPr>
                <w:rFonts w:asciiTheme="minorHAnsi" w:hAnsiTheme="minorHAnsi" w:cstheme="minorHAnsi"/>
                <w:b/>
                <w:bCs/>
                <w:sz w:val="20"/>
                <w:szCs w:val="20"/>
              </w:rPr>
              <w:t>Objectives</w:t>
            </w:r>
          </w:p>
        </w:tc>
        <w:tc>
          <w:tcPr>
            <w:tcW w:w="3402" w:type="dxa"/>
            <w:tcBorders>
              <w:bottom w:val="single" w:sz="4" w:space="0" w:color="auto"/>
            </w:tcBorders>
          </w:tcPr>
          <w:p w14:paraId="65879A9A" w14:textId="77777777" w:rsidR="00DA7737" w:rsidRPr="002C3CCD" w:rsidRDefault="00DA7737" w:rsidP="00F73E3D">
            <w:pPr>
              <w:jc w:val="center"/>
              <w:rPr>
                <w:rFonts w:asciiTheme="minorHAnsi" w:hAnsiTheme="minorHAnsi" w:cstheme="minorHAnsi"/>
                <w:b/>
                <w:bCs/>
                <w:sz w:val="20"/>
                <w:szCs w:val="20"/>
              </w:rPr>
            </w:pPr>
            <w:r>
              <w:rPr>
                <w:rFonts w:asciiTheme="minorHAnsi" w:hAnsiTheme="minorHAnsi" w:cstheme="minorHAnsi"/>
                <w:b/>
                <w:bCs/>
                <w:sz w:val="20"/>
                <w:szCs w:val="20"/>
              </w:rPr>
              <w:t>Main findings</w:t>
            </w:r>
          </w:p>
        </w:tc>
        <w:tc>
          <w:tcPr>
            <w:tcW w:w="2835" w:type="dxa"/>
            <w:tcBorders>
              <w:bottom w:val="single" w:sz="4" w:space="0" w:color="auto"/>
            </w:tcBorders>
          </w:tcPr>
          <w:p w14:paraId="1E430480" w14:textId="77777777" w:rsidR="00DA7737" w:rsidRPr="002C3CCD" w:rsidRDefault="00DA7737" w:rsidP="00F73E3D">
            <w:pPr>
              <w:jc w:val="center"/>
              <w:rPr>
                <w:rFonts w:asciiTheme="minorHAnsi" w:hAnsiTheme="minorHAnsi" w:cstheme="minorHAnsi"/>
                <w:b/>
                <w:bCs/>
                <w:sz w:val="20"/>
                <w:szCs w:val="20"/>
              </w:rPr>
            </w:pPr>
            <w:r>
              <w:rPr>
                <w:rFonts w:asciiTheme="minorHAnsi" w:hAnsiTheme="minorHAnsi" w:cstheme="minorHAnsi"/>
                <w:b/>
                <w:bCs/>
                <w:sz w:val="20"/>
                <w:szCs w:val="20"/>
              </w:rPr>
              <w:t>Limitations/ Comments</w:t>
            </w:r>
          </w:p>
        </w:tc>
      </w:tr>
      <w:tr w:rsidR="00DA7737" w:rsidRPr="00066031" w14:paraId="450FB1C0" w14:textId="77777777" w:rsidTr="00F73E3D">
        <w:trPr>
          <w:trHeight w:val="1587"/>
        </w:trPr>
        <w:tc>
          <w:tcPr>
            <w:tcW w:w="1589" w:type="dxa"/>
            <w:tcBorders>
              <w:top w:val="single" w:sz="4" w:space="0" w:color="auto"/>
              <w:left w:val="single" w:sz="4" w:space="0" w:color="auto"/>
              <w:bottom w:val="single" w:sz="4" w:space="0" w:color="auto"/>
              <w:right w:val="single" w:sz="4" w:space="0" w:color="auto"/>
            </w:tcBorders>
          </w:tcPr>
          <w:p w14:paraId="6E4B551D" w14:textId="77777777" w:rsidR="00DA7737" w:rsidRPr="00066031" w:rsidRDefault="00DA7737" w:rsidP="00F73E3D">
            <w:pPr>
              <w:pStyle w:val="ListParagraph"/>
              <w:ind w:left="0"/>
              <w:jc w:val="center"/>
              <w:rPr>
                <w:rFonts w:asciiTheme="minorHAnsi" w:hAnsiTheme="minorHAnsi" w:cstheme="minorHAnsi"/>
                <w:sz w:val="20"/>
                <w:szCs w:val="20"/>
              </w:rPr>
            </w:pPr>
            <w:r>
              <w:rPr>
                <w:rFonts w:asciiTheme="minorHAnsi" w:hAnsiTheme="minorHAnsi" w:cstheme="minorHAnsi"/>
                <w:sz w:val="20"/>
                <w:szCs w:val="20"/>
              </w:rPr>
              <w:t xml:space="preserve">McCrory </w:t>
            </w:r>
            <w:r w:rsidRPr="003D135A">
              <w:rPr>
                <w:rFonts w:asciiTheme="minorHAnsi" w:hAnsiTheme="minorHAnsi" w:cstheme="minorHAnsi"/>
                <w:i/>
                <w:iCs/>
                <w:sz w:val="20"/>
                <w:szCs w:val="20"/>
              </w:rPr>
              <w:t>et al.</w:t>
            </w:r>
            <w:r>
              <w:rPr>
                <w:rFonts w:asciiTheme="minorHAnsi" w:hAnsiTheme="minorHAnsi" w:cstheme="minorHAnsi"/>
                <w:sz w:val="20"/>
                <w:szCs w:val="20"/>
              </w:rPr>
              <w:t xml:space="preserve"> 1999 </w:t>
            </w:r>
            <w:r w:rsidRPr="00066031">
              <w:rPr>
                <w:rFonts w:asciiTheme="minorHAnsi" w:hAnsiTheme="minorHAnsi" w:cstheme="minorHAnsi"/>
                <w:sz w:val="20"/>
                <w:szCs w:val="20"/>
              </w:rPr>
              <w:fldChar w:fldCharType="begin" w:fldLock="1"/>
            </w:r>
            <w:r>
              <w:rPr>
                <w:rFonts w:asciiTheme="minorHAnsi" w:hAnsiTheme="minorHAnsi" w:cstheme="minorHAnsi"/>
                <w:sz w:val="20"/>
                <w:szCs w:val="20"/>
              </w:rPr>
              <w:instrText>ADDIN CSL_CITATION {"citationItems":[{"id":"ITEM-1","itemData":{"author":[{"dropping-particle":"","family":"Mccrory","given":"C","non-dropping-particle":"","parse-names":false,"suffix":""},{"dropping-particle":"","family":"Matchar","given":"David B","non-dropping-particle":"","parse-names":false,"suffix":""},{"dropping-particle":"","family":"Samsa","given":"Greg","non-dropping-particle":"","parse-names":false,"suffix":""},{"dropping-particle":"","family":"Sanders","given":"Linda L","non-dropping-particle":"","parse-names":false,"suffix":""},{"dropping-particle":"","family":"Pritchett","given":"Edward L C","non-dropping-particle":"","parse-names":false,"suffix":""}],"container-title":"Archives of internal medicine","id":"ITEM-1","issued":{"date-parts":[["1995"]]},"page":"277-281","title":"Physician attitudes about anticoagulation for nonvalvular atrial fibrillation in the Elderly","type":"article-journal","volume":"155"},"uris":["http://www.mendeley.com/documents/?uuid=492c65da-998f-4ca7-97d5-78e06e3bd597"]}],"mendeley":{"formattedCitation":"(17)","plainTextFormattedCitation":"(17)","previouslyFormattedCitation":"(16)"},"properties":{"noteIndex":0},"schema":"https://github.com/citation-style-language/schema/raw/master/csl-citation.json"}</w:instrText>
            </w:r>
            <w:r w:rsidRPr="00066031">
              <w:rPr>
                <w:rFonts w:asciiTheme="minorHAnsi" w:hAnsiTheme="minorHAnsi" w:cstheme="minorHAnsi"/>
                <w:sz w:val="20"/>
                <w:szCs w:val="20"/>
              </w:rPr>
              <w:fldChar w:fldCharType="separate"/>
            </w:r>
            <w:r w:rsidRPr="00140A65">
              <w:rPr>
                <w:rFonts w:asciiTheme="minorHAnsi" w:hAnsiTheme="minorHAnsi" w:cstheme="minorHAnsi"/>
                <w:noProof/>
                <w:sz w:val="20"/>
                <w:szCs w:val="20"/>
              </w:rPr>
              <w:t>(17)</w:t>
            </w:r>
            <w:r w:rsidRPr="00066031">
              <w:rPr>
                <w:rFonts w:asciiTheme="minorHAnsi" w:hAnsiTheme="minorHAnsi" w:cstheme="minorHAnsi"/>
                <w:sz w:val="20"/>
                <w:szCs w:val="20"/>
              </w:rPr>
              <w:fldChar w:fldCharType="end"/>
            </w:r>
          </w:p>
          <w:p w14:paraId="5B0D25E1" w14:textId="77777777" w:rsidR="00DA7737" w:rsidRPr="00066031" w:rsidRDefault="00DA7737" w:rsidP="00F73E3D">
            <w:pPr>
              <w:pStyle w:val="ListParagraph"/>
              <w:ind w:left="0"/>
              <w:jc w:val="center"/>
              <w:rPr>
                <w:rFonts w:asciiTheme="minorHAnsi" w:hAnsiTheme="minorHAnsi" w:cstheme="minorHAnsi"/>
                <w:sz w:val="20"/>
                <w:szCs w:val="20"/>
              </w:rPr>
            </w:pPr>
          </w:p>
          <w:p w14:paraId="22731BC1" w14:textId="77777777" w:rsidR="00DA7737" w:rsidRPr="00066031" w:rsidRDefault="00DA7737" w:rsidP="00F73E3D">
            <w:pPr>
              <w:pStyle w:val="ListParagraph"/>
              <w:ind w:left="0"/>
              <w:rPr>
                <w:rFonts w:asciiTheme="minorHAnsi" w:hAnsiTheme="minorHAnsi" w:cstheme="minorHAnsi"/>
                <w:sz w:val="20"/>
                <w:szCs w:val="20"/>
              </w:rPr>
            </w:pPr>
          </w:p>
        </w:tc>
        <w:tc>
          <w:tcPr>
            <w:tcW w:w="1503" w:type="dxa"/>
            <w:tcBorders>
              <w:top w:val="single" w:sz="4" w:space="0" w:color="auto"/>
              <w:left w:val="single" w:sz="4" w:space="0" w:color="auto"/>
              <w:bottom w:val="single" w:sz="4" w:space="0" w:color="auto"/>
              <w:right w:val="single" w:sz="4" w:space="0" w:color="auto"/>
            </w:tcBorders>
          </w:tcPr>
          <w:p w14:paraId="34FC8DFC" w14:textId="77777777" w:rsidR="00DA7737" w:rsidRPr="00066031" w:rsidRDefault="00DA7737" w:rsidP="00F73E3D">
            <w:pPr>
              <w:pStyle w:val="ListParagraph"/>
              <w:ind w:left="0"/>
              <w:jc w:val="center"/>
              <w:rPr>
                <w:rFonts w:asciiTheme="minorHAnsi" w:hAnsiTheme="minorHAnsi" w:cstheme="minorHAnsi"/>
                <w:sz w:val="20"/>
                <w:szCs w:val="20"/>
              </w:rPr>
            </w:pPr>
            <w:r>
              <w:rPr>
                <w:rFonts w:cstheme="minorHAnsi"/>
                <w:sz w:val="20"/>
                <w:szCs w:val="20"/>
              </w:rPr>
              <w:t>Quantitative</w:t>
            </w:r>
          </w:p>
          <w:p w14:paraId="57DFD257" w14:textId="77777777" w:rsidR="00DA7737" w:rsidRPr="00066031" w:rsidRDefault="00DA7737" w:rsidP="00F73E3D">
            <w:pPr>
              <w:pStyle w:val="ListParagraph"/>
              <w:ind w:left="0"/>
              <w:jc w:val="center"/>
              <w:rPr>
                <w:rFonts w:asciiTheme="minorHAnsi" w:hAnsiTheme="minorHAnsi" w:cstheme="minorHAnsi"/>
                <w:sz w:val="20"/>
                <w:szCs w:val="20"/>
              </w:rPr>
            </w:pPr>
          </w:p>
          <w:p w14:paraId="40952C9F"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35DDA182" w14:textId="77777777" w:rsidR="00DA7737" w:rsidRDefault="00DA7737" w:rsidP="00F73E3D">
            <w:pPr>
              <w:pStyle w:val="ListParagraph"/>
              <w:ind w:left="0"/>
              <w:jc w:val="center"/>
              <w:rPr>
                <w:rFonts w:cstheme="minorHAnsi"/>
                <w:sz w:val="20"/>
                <w:szCs w:val="20"/>
              </w:rPr>
            </w:pPr>
            <w:r w:rsidRPr="00066031">
              <w:rPr>
                <w:rFonts w:asciiTheme="minorHAnsi" w:hAnsiTheme="minorHAnsi" w:cstheme="minorHAnsi"/>
                <w:sz w:val="20"/>
                <w:szCs w:val="20"/>
              </w:rPr>
              <w:t>450 Physicians</w:t>
            </w:r>
          </w:p>
          <w:p w14:paraId="1289D896" w14:textId="77777777" w:rsidR="00DA7737" w:rsidRPr="00066031" w:rsidRDefault="00DA7737" w:rsidP="00F73E3D">
            <w:pPr>
              <w:pStyle w:val="ListParagraph"/>
              <w:ind w:left="0"/>
              <w:rPr>
                <w:rFonts w:asciiTheme="minorHAnsi" w:hAnsiTheme="minorHAnsi" w:cstheme="minorHAnsi"/>
                <w:sz w:val="20"/>
                <w:szCs w:val="20"/>
              </w:rPr>
            </w:pPr>
          </w:p>
          <w:p w14:paraId="4D46BC99"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U.S.A</w:t>
            </w:r>
          </w:p>
          <w:p w14:paraId="2DBE05B6" w14:textId="77777777" w:rsidR="00DA7737" w:rsidRPr="00066031" w:rsidRDefault="00DA7737" w:rsidP="00F73E3D">
            <w:pPr>
              <w:pStyle w:val="ListParagraph"/>
              <w:ind w:left="0"/>
              <w:jc w:val="center"/>
              <w:rPr>
                <w:rFonts w:asciiTheme="minorHAnsi" w:hAnsiTheme="minorHAnsi" w:cstheme="minorHAnsi"/>
                <w:sz w:val="20"/>
                <w:szCs w:val="20"/>
              </w:rPr>
            </w:pPr>
          </w:p>
          <w:p w14:paraId="6DEDDF92" w14:textId="77777777" w:rsidR="00DA7737" w:rsidRPr="00066031" w:rsidRDefault="00DA7737" w:rsidP="00F73E3D">
            <w:pPr>
              <w:pStyle w:val="ListParagraph"/>
              <w:ind w:left="0"/>
              <w:jc w:val="center"/>
              <w:rPr>
                <w:rFonts w:asciiTheme="minorHAnsi" w:hAnsiTheme="minorHAnsi" w:cstheme="minorHAnsi"/>
                <w:sz w:val="20"/>
                <w:szCs w:val="20"/>
              </w:rPr>
            </w:pPr>
          </w:p>
          <w:p w14:paraId="59A6D6AE"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7086A7C0"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To determine the influence of age on the prescribing of anticoagulants by physicians </w:t>
            </w:r>
          </w:p>
        </w:tc>
        <w:tc>
          <w:tcPr>
            <w:tcW w:w="3402" w:type="dxa"/>
            <w:tcBorders>
              <w:top w:val="single" w:sz="4" w:space="0" w:color="auto"/>
              <w:left w:val="single" w:sz="4" w:space="0" w:color="auto"/>
              <w:bottom w:val="single" w:sz="4" w:space="0" w:color="auto"/>
              <w:right w:val="single" w:sz="4" w:space="0" w:color="auto"/>
            </w:tcBorders>
          </w:tcPr>
          <w:p w14:paraId="78DE6915"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Physicians were less likely to prescribe anticoagulation for 75-year olds than younger patients aged 55-65 years. Lower intensity anticoagulation was preferred in older patients especially when aged over 75 years</w:t>
            </w:r>
          </w:p>
        </w:tc>
        <w:tc>
          <w:tcPr>
            <w:tcW w:w="2835" w:type="dxa"/>
            <w:tcBorders>
              <w:top w:val="single" w:sz="4" w:space="0" w:color="auto"/>
              <w:left w:val="single" w:sz="4" w:space="0" w:color="auto"/>
              <w:bottom w:val="single" w:sz="4" w:space="0" w:color="auto"/>
              <w:right w:val="single" w:sz="4" w:space="0" w:color="auto"/>
            </w:tcBorders>
          </w:tcPr>
          <w:p w14:paraId="0772400C"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The low response rate of physicians could introduce a selection bias. </w:t>
            </w:r>
          </w:p>
        </w:tc>
      </w:tr>
      <w:tr w:rsidR="00DA7737" w:rsidRPr="00066031" w14:paraId="68A889FD" w14:textId="77777777" w:rsidTr="00F73E3D">
        <w:tc>
          <w:tcPr>
            <w:tcW w:w="1589" w:type="dxa"/>
            <w:tcBorders>
              <w:top w:val="single" w:sz="4" w:space="0" w:color="auto"/>
              <w:left w:val="single" w:sz="4" w:space="0" w:color="auto"/>
              <w:bottom w:val="single" w:sz="4" w:space="0" w:color="auto"/>
              <w:right w:val="single" w:sz="4" w:space="0" w:color="auto"/>
            </w:tcBorders>
          </w:tcPr>
          <w:p w14:paraId="0622DEBB" w14:textId="77777777" w:rsidR="00DA7737" w:rsidRPr="00066031" w:rsidRDefault="00DA7737" w:rsidP="00F73E3D">
            <w:pPr>
              <w:pStyle w:val="ListParagraph"/>
              <w:ind w:left="0"/>
              <w:jc w:val="center"/>
              <w:rPr>
                <w:rFonts w:asciiTheme="minorHAnsi" w:hAnsiTheme="minorHAnsi" w:cstheme="minorHAnsi"/>
                <w:sz w:val="20"/>
                <w:szCs w:val="20"/>
              </w:rPr>
            </w:pPr>
          </w:p>
          <w:p w14:paraId="02C76675" w14:textId="77777777" w:rsidR="00DA7737" w:rsidRPr="00066031" w:rsidRDefault="00DA7737" w:rsidP="00F73E3D">
            <w:pPr>
              <w:pStyle w:val="ListParagraph"/>
              <w:tabs>
                <w:tab w:val="center" w:pos="686"/>
              </w:tabs>
              <w:ind w:left="0"/>
              <w:rPr>
                <w:rFonts w:asciiTheme="minorHAnsi" w:hAnsiTheme="minorHAnsi" w:cstheme="minorHAnsi"/>
                <w:sz w:val="20"/>
                <w:szCs w:val="20"/>
              </w:rPr>
            </w:pPr>
            <w:r>
              <w:rPr>
                <w:rFonts w:asciiTheme="minorHAnsi" w:hAnsiTheme="minorHAnsi" w:cstheme="minorHAnsi"/>
                <w:sz w:val="20"/>
                <w:szCs w:val="20"/>
              </w:rPr>
              <w:t xml:space="preserve">Monette </w:t>
            </w:r>
            <w:r w:rsidRPr="003D135A">
              <w:rPr>
                <w:rFonts w:asciiTheme="minorHAnsi" w:hAnsiTheme="minorHAnsi" w:cstheme="minorHAnsi"/>
                <w:i/>
                <w:iCs/>
                <w:sz w:val="20"/>
                <w:szCs w:val="20"/>
              </w:rPr>
              <w:t>et al.,</w:t>
            </w:r>
            <w:r>
              <w:rPr>
                <w:rFonts w:asciiTheme="minorHAnsi" w:hAnsiTheme="minorHAnsi" w:cstheme="minorHAnsi"/>
                <w:sz w:val="20"/>
                <w:szCs w:val="20"/>
              </w:rPr>
              <w:t xml:space="preserve"> 1997 </w:t>
            </w:r>
            <w:r w:rsidRPr="00066031">
              <w:rPr>
                <w:rFonts w:asciiTheme="minorHAnsi" w:hAnsiTheme="minorHAnsi" w:cstheme="minorHAnsi"/>
                <w:sz w:val="20"/>
                <w:szCs w:val="20"/>
              </w:rPr>
              <w:fldChar w:fldCharType="begin" w:fldLock="1"/>
            </w:r>
            <w:r>
              <w:rPr>
                <w:rFonts w:asciiTheme="minorHAnsi" w:hAnsiTheme="minorHAnsi" w:cstheme="minorHAnsi"/>
                <w:sz w:val="20"/>
                <w:szCs w:val="20"/>
              </w:rPr>
              <w:instrText>ADDIN CSL_CITATION {"citationItems":[{"id":"ITEM-1","itemData":{"DOI":"10.1111/j.1532-5415.1997.tb05967.x","ISSN":"00028614","abstract":"BACKGROUND: The prevalence of atrial fibrillation (AF) increases dramatically with advancing patient age, and, as a result, this condition is common in persons residing in the long-term care setting. OBJECTIVES: To assess the knowledge and attitudes of physicians regarding the use of warfarin for stroke prevention in patients with atrial fibrillation in long- term care facilities. METHODS: We surveyed physicians actively providing primary care to older patients in 30 long-term care facilities located in New England, Quebec, and Ontario. Physicians were requested to complete a structured questionnaire about use of warfarin therapy for stroke prevention in patients with AF residing in long-term care facilities. The questionnaire included two clinical scenarios designed to provide substantial contrasts in patient characteristics including underlying comorbidity, functional status, bleeding risk, and stroke risk. RESULTS: A total of 269 physicians were asked to participate in the survey, and 182 (67.7%) completed the questionnaire between February 1, 1995, and July 31, 1995. Only 47% of respondents indicated that the benefits of warfarin therapy 'greatly outweigh the risks' in this setting; the remainder of physicians indicated that benefits only 'slightly outweigh the risks' (34%) or that risks 'outweigh benefits' (19%). The most frequently cited contraindications to warfarin use were: excessive risk of falls (71%), history of gastrointestinal bleeding (71%), history of other non-central nervous system bleeding (36%), and history of cerebrovascular hemorrhage (25%). Among the 164 physicians who reported using the international normalized ratio to monitor warfarin therapy, 27% indicated a target range with a lower limit less than 2, 71% indicated a target range between 2 and 3, and 2% indicated an upper limit greater than 3. Among respondents who answered questions about the two clinical scenarios, estimates of the risk of a stroke without warfarin therapy and the risk of an intracranial hemorrhage with therapy varied widely. CONCLUSIONS: Our findings suggest that many uncertainties surround the decision to prescribe warfarin to patients with AF in the long-term care setting, as well as questions about the appropriate intensity of this treatment when it is prescribed. Concerns about the risks of bleeding appear to prevail over stroke prevention when physicians make such prescribing decisions.","author":[{"dropping-particle":"","family":"Monette","given":"Johanne","non-dropping-particle":"","parse-names":false,"suffix":""},{"dropping-particle":"","family":"Gurwitz","given":"Jerry H.","non-dropping-particle":"","parse-names":false,"suffix":""},{"dropping-particle":"","family":"Rochon","given":"Paula A.","non-dropping-particle":"","parse-names":false,"suffix":""},{"dropping-particle":"","family":"Avorn","given":"Jerry","non-dropping-particle":"","parse-names":false,"suffix":""}],"container-title":"Journal of the American Geriatrics Society","id":"ITEM-1","issue":"9","issued":{"date-parts":[["1997"]]},"page":"1060-1065","title":"Physician attitudes concerning warfarin for stroke prevention in atrial fibrillation: Results of a survey of long-term care practitioners","type":"article-journal","volume":"45"},"uris":["http://www.mendeley.com/documents/?uuid=070a1edd-95f9-4d4b-a5db-12a704b23138"]}],"mendeley":{"formattedCitation":"(18)","plainTextFormattedCitation":"(18)","previouslyFormattedCitation":"(17)"},"properties":{"noteIndex":0},"schema":"https://github.com/citation-style-language/schema/raw/master/csl-citation.json"}</w:instrText>
            </w:r>
            <w:r w:rsidRPr="00066031">
              <w:rPr>
                <w:rFonts w:asciiTheme="minorHAnsi" w:hAnsiTheme="minorHAnsi" w:cstheme="minorHAnsi"/>
                <w:sz w:val="20"/>
                <w:szCs w:val="20"/>
              </w:rPr>
              <w:fldChar w:fldCharType="separate"/>
            </w:r>
            <w:r w:rsidRPr="00140A65">
              <w:rPr>
                <w:rFonts w:asciiTheme="minorHAnsi" w:hAnsiTheme="minorHAnsi" w:cstheme="minorHAnsi"/>
                <w:noProof/>
                <w:sz w:val="20"/>
                <w:szCs w:val="20"/>
              </w:rPr>
              <w:t>(18)</w:t>
            </w:r>
            <w:r w:rsidRPr="00066031">
              <w:rPr>
                <w:rFonts w:asciiTheme="minorHAnsi" w:hAnsiTheme="minorHAnsi"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36B244A9"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7000DD0A" w14:textId="77777777" w:rsidR="00DA7737" w:rsidRPr="00066031" w:rsidRDefault="00DA7737" w:rsidP="00F73E3D">
            <w:pPr>
              <w:pStyle w:val="ListParagraph"/>
              <w:ind w:left="0"/>
              <w:jc w:val="center"/>
              <w:rPr>
                <w:rFonts w:asciiTheme="minorHAnsi" w:hAnsiTheme="minorHAnsi" w:cstheme="minorHAnsi"/>
                <w:sz w:val="20"/>
                <w:szCs w:val="20"/>
              </w:rPr>
            </w:pPr>
          </w:p>
          <w:p w14:paraId="6C2CAAB6" w14:textId="77777777" w:rsidR="00DA7737" w:rsidRPr="00066031" w:rsidRDefault="00DA7737" w:rsidP="00F73E3D">
            <w:pPr>
              <w:pStyle w:val="ListParagraph"/>
              <w:ind w:left="0"/>
              <w:jc w:val="center"/>
              <w:rPr>
                <w:rFonts w:asciiTheme="minorHAnsi" w:hAnsiTheme="minorHAnsi" w:cstheme="minorHAnsi"/>
                <w:sz w:val="20"/>
                <w:szCs w:val="20"/>
              </w:rPr>
            </w:pPr>
          </w:p>
          <w:p w14:paraId="089DFF7B" w14:textId="77777777" w:rsidR="00DA7737" w:rsidRPr="00066031" w:rsidRDefault="00DA7737" w:rsidP="00F73E3D">
            <w:pPr>
              <w:pStyle w:val="ListParagraph"/>
              <w:ind w:left="0"/>
              <w:jc w:val="center"/>
              <w:rPr>
                <w:rFonts w:asciiTheme="minorHAnsi" w:hAnsiTheme="minorHAnsi" w:cstheme="minorHAnsi"/>
                <w:sz w:val="20"/>
                <w:szCs w:val="20"/>
              </w:rPr>
            </w:pPr>
          </w:p>
          <w:p w14:paraId="305ED2CC"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40C9B008" w14:textId="77777777" w:rsidR="00DA7737" w:rsidRDefault="00DA7737" w:rsidP="00F73E3D">
            <w:pPr>
              <w:pStyle w:val="ListParagraph"/>
              <w:ind w:left="0"/>
              <w:jc w:val="center"/>
              <w:rPr>
                <w:rFonts w:cstheme="minorHAnsi"/>
                <w:sz w:val="20"/>
                <w:szCs w:val="20"/>
              </w:rPr>
            </w:pPr>
            <w:r w:rsidRPr="00066031">
              <w:rPr>
                <w:rFonts w:asciiTheme="minorHAnsi" w:hAnsiTheme="minorHAnsi" w:cstheme="minorHAnsi"/>
                <w:sz w:val="20"/>
                <w:szCs w:val="20"/>
              </w:rPr>
              <w:t>182 Physicians in primary care</w:t>
            </w:r>
          </w:p>
          <w:p w14:paraId="1472E72B" w14:textId="77777777" w:rsidR="00DA7737" w:rsidRPr="002E29FB" w:rsidRDefault="00DA7737" w:rsidP="00F73E3D">
            <w:pPr>
              <w:pStyle w:val="ListParagraph"/>
              <w:ind w:left="0"/>
              <w:jc w:val="center"/>
              <w:rPr>
                <w:rFonts w:cstheme="minorHAnsi"/>
                <w:sz w:val="20"/>
                <w:szCs w:val="20"/>
              </w:rPr>
            </w:pPr>
          </w:p>
          <w:p w14:paraId="171B224F"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Canada</w:t>
            </w:r>
          </w:p>
          <w:p w14:paraId="06FFE155" w14:textId="77777777" w:rsidR="00DA7737" w:rsidRPr="00066031" w:rsidRDefault="00DA7737" w:rsidP="00F73E3D">
            <w:pPr>
              <w:pStyle w:val="ListParagraph"/>
              <w:ind w:left="0"/>
              <w:jc w:val="center"/>
              <w:rPr>
                <w:rFonts w:asciiTheme="minorHAnsi" w:hAnsiTheme="minorHAnsi" w:cstheme="minorHAnsi"/>
                <w:sz w:val="20"/>
                <w:szCs w:val="20"/>
              </w:rPr>
            </w:pPr>
          </w:p>
          <w:p w14:paraId="217428F0" w14:textId="77777777" w:rsidR="00DA7737" w:rsidRPr="00066031" w:rsidRDefault="00DA7737" w:rsidP="00F73E3D">
            <w:pPr>
              <w:pStyle w:val="ListParagraph"/>
              <w:ind w:left="0"/>
              <w:jc w:val="center"/>
              <w:rPr>
                <w:rFonts w:asciiTheme="minorHAnsi" w:hAnsiTheme="minorHAnsi" w:cstheme="minorHAnsi"/>
                <w:sz w:val="20"/>
                <w:szCs w:val="20"/>
              </w:rPr>
            </w:pPr>
          </w:p>
          <w:p w14:paraId="0053355D"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1332F0C7"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﻿To assess the knowledge and attitudes of physicians regarding the use of warfarin for stroke prevention in patients with atrial fibrillation in long-term care facilities. </w:t>
            </w:r>
          </w:p>
        </w:tc>
        <w:tc>
          <w:tcPr>
            <w:tcW w:w="3402" w:type="dxa"/>
            <w:tcBorders>
              <w:top w:val="single" w:sz="4" w:space="0" w:color="auto"/>
              <w:left w:val="single" w:sz="4" w:space="0" w:color="auto"/>
              <w:bottom w:val="single" w:sz="4" w:space="0" w:color="auto"/>
              <w:right w:val="single" w:sz="4" w:space="0" w:color="auto"/>
            </w:tcBorders>
          </w:tcPr>
          <w:p w14:paraId="244BBA6B"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Physicians were more averse to bleeding than they were to stroke and were reluctant to prescribe warfarin due to patient’s fall risk, especially in older patients </w:t>
            </w:r>
            <w:r w:rsidRPr="00066031">
              <w:rPr>
                <w:rFonts w:asciiTheme="minorHAnsi" w:hAnsiTheme="minorHAnsi" w:cstheme="minorHAnsi"/>
                <w:sz w:val="20"/>
                <w:szCs w:val="20"/>
              </w:rPr>
              <w:sym w:font="Symbol" w:char="F0B3"/>
            </w:r>
            <w:r w:rsidRPr="00066031">
              <w:rPr>
                <w:rFonts w:asciiTheme="minorHAnsi" w:hAnsiTheme="minorHAnsi" w:cstheme="minorHAnsi"/>
                <w:sz w:val="20"/>
                <w:szCs w:val="20"/>
              </w:rPr>
              <w:t>75 years.</w:t>
            </w:r>
          </w:p>
        </w:tc>
        <w:tc>
          <w:tcPr>
            <w:tcW w:w="2835" w:type="dxa"/>
            <w:tcBorders>
              <w:top w:val="single" w:sz="4" w:space="0" w:color="auto"/>
              <w:left w:val="single" w:sz="4" w:space="0" w:color="auto"/>
              <w:bottom w:val="single" w:sz="4" w:space="0" w:color="auto"/>
              <w:right w:val="single" w:sz="4" w:space="0" w:color="auto"/>
            </w:tcBorders>
          </w:tcPr>
          <w:p w14:paraId="083B5E97"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This is a very dated study. The stroke and bleeding risks were based on arbitrary measures and not recognised schemas such as HASBLED, CHA</w:t>
            </w:r>
            <w:r w:rsidRPr="00066031">
              <w:rPr>
                <w:rFonts w:asciiTheme="minorHAnsi" w:hAnsiTheme="minorHAnsi" w:cstheme="minorHAnsi"/>
                <w:sz w:val="20"/>
                <w:szCs w:val="20"/>
                <w:vertAlign w:val="subscript"/>
              </w:rPr>
              <w:t>2</w:t>
            </w:r>
            <w:r w:rsidRPr="00066031">
              <w:rPr>
                <w:rFonts w:asciiTheme="minorHAnsi" w:hAnsiTheme="minorHAnsi" w:cstheme="minorHAnsi"/>
                <w:sz w:val="20"/>
                <w:szCs w:val="20"/>
              </w:rPr>
              <w:t>DS</w:t>
            </w:r>
            <w:r w:rsidRPr="00066031">
              <w:rPr>
                <w:rFonts w:asciiTheme="minorHAnsi" w:hAnsiTheme="minorHAnsi" w:cstheme="minorHAnsi"/>
                <w:sz w:val="20"/>
                <w:szCs w:val="20"/>
                <w:vertAlign w:val="subscript"/>
              </w:rPr>
              <w:t>2</w:t>
            </w:r>
            <w:r w:rsidRPr="00066031">
              <w:rPr>
                <w:rFonts w:asciiTheme="minorHAnsi" w:hAnsiTheme="minorHAnsi" w:cstheme="minorHAnsi"/>
                <w:sz w:val="20"/>
                <w:szCs w:val="20"/>
              </w:rPr>
              <w:t>VASC or ATRIA for example.</w:t>
            </w:r>
          </w:p>
        </w:tc>
      </w:tr>
      <w:tr w:rsidR="00DA7737" w:rsidRPr="00066031" w14:paraId="3DD07773" w14:textId="77777777" w:rsidTr="00F73E3D">
        <w:tc>
          <w:tcPr>
            <w:tcW w:w="1589" w:type="dxa"/>
            <w:tcBorders>
              <w:top w:val="single" w:sz="4" w:space="0" w:color="auto"/>
              <w:left w:val="single" w:sz="4" w:space="0" w:color="auto"/>
              <w:bottom w:val="single" w:sz="4" w:space="0" w:color="auto"/>
              <w:right w:val="single" w:sz="4" w:space="0" w:color="auto"/>
            </w:tcBorders>
          </w:tcPr>
          <w:p w14:paraId="24C2A586" w14:textId="77777777" w:rsidR="00DA7737" w:rsidRPr="00066031" w:rsidRDefault="00DA7737" w:rsidP="00F73E3D">
            <w:pPr>
              <w:pStyle w:val="ListParagraph"/>
              <w:ind w:left="0"/>
              <w:jc w:val="center"/>
              <w:rPr>
                <w:rFonts w:asciiTheme="minorHAnsi" w:hAnsiTheme="minorHAnsi" w:cstheme="minorHAnsi"/>
                <w:sz w:val="20"/>
                <w:szCs w:val="20"/>
              </w:rPr>
            </w:pPr>
          </w:p>
          <w:p w14:paraId="5A54CDC2" w14:textId="77777777" w:rsidR="00DA7737" w:rsidRPr="00066031" w:rsidRDefault="00DA7737" w:rsidP="00F73E3D">
            <w:pPr>
              <w:pStyle w:val="ListParagraph"/>
              <w:ind w:left="0"/>
              <w:jc w:val="center"/>
              <w:rPr>
                <w:rFonts w:asciiTheme="minorHAnsi" w:hAnsiTheme="minorHAnsi" w:cstheme="minorHAnsi"/>
                <w:sz w:val="20"/>
                <w:szCs w:val="20"/>
              </w:rPr>
            </w:pPr>
            <w:r>
              <w:rPr>
                <w:rFonts w:asciiTheme="minorHAnsi" w:hAnsiTheme="minorHAnsi" w:cstheme="minorHAnsi"/>
                <w:noProof/>
                <w:sz w:val="20"/>
                <w:szCs w:val="20"/>
              </w:rPr>
              <w:t xml:space="preserve">Lip </w:t>
            </w:r>
            <w:r w:rsidRPr="003D135A">
              <w:rPr>
                <w:rFonts w:asciiTheme="minorHAnsi" w:hAnsiTheme="minorHAnsi" w:cstheme="minorHAnsi"/>
                <w:i/>
                <w:iCs/>
                <w:noProof/>
                <w:sz w:val="20"/>
                <w:szCs w:val="20"/>
              </w:rPr>
              <w:t>et al.,</w:t>
            </w:r>
            <w:r w:rsidRPr="003D135A">
              <w:rPr>
                <w:rFonts w:asciiTheme="minorHAnsi" w:hAnsiTheme="minorHAnsi" w:cstheme="minorHAnsi"/>
                <w:noProof/>
                <w:sz w:val="20"/>
                <w:szCs w:val="20"/>
              </w:rPr>
              <w:t>2002</w:t>
            </w:r>
            <w:r>
              <w:rPr>
                <w:rFonts w:asciiTheme="minorHAnsi" w:hAnsiTheme="minorHAnsi" w:cstheme="minorHAnsi"/>
                <w:noProof/>
                <w:sz w:val="20"/>
                <w:szCs w:val="20"/>
              </w:rPr>
              <w:t xml:space="preserve"> </w:t>
            </w:r>
            <w:r w:rsidRPr="00B57F83">
              <w:rPr>
                <w:rFonts w:asciiTheme="minorHAnsi" w:hAnsiTheme="minorHAnsi" w:cstheme="minorHAnsi"/>
                <w:noProof/>
                <w:sz w:val="20"/>
                <w:szCs w:val="20"/>
              </w:rPr>
              <w:t>(</w:t>
            </w:r>
            <w:r w:rsidRPr="00066031">
              <w:rPr>
                <w:rFonts w:asciiTheme="minorHAnsi" w:hAnsiTheme="minorHAnsi" w:cstheme="minorHAnsi"/>
                <w:sz w:val="20"/>
                <w:szCs w:val="20"/>
              </w:rPr>
              <w:fldChar w:fldCharType="begin" w:fldLock="1"/>
            </w:r>
            <w:r>
              <w:rPr>
                <w:rFonts w:asciiTheme="minorHAnsi" w:hAnsiTheme="minorHAnsi" w:cstheme="minorHAnsi"/>
                <w:sz w:val="20"/>
                <w:szCs w:val="20"/>
              </w:rPr>
              <w:instrText>ADDIN CSL_CITATION {"citationItems":[{"id":"ITEM-1","itemData":{"DOI":"10.1161/hs0102.101817","ISSN":"00392499","abstract":"Background and Purpose - We hypothesized that different ethnic groups would have different levels of knowledge and perceptions of atrial fibrillation (AF) and of their antithrombotic therapy. To investigate this further, we conducted a cross-sectional survey of patients with documented chronic AF who were attending the anticoagulation clinic in our city center teaching hospital, serving a multiethnic population. Methods - We surveyed 119 patients (77 male; mean age 69±9 years [mean±SD]); of these, 39 were Indo-Asian (33%), 27 Afro-Caribbean (23%), and 53 white (44%). Results - Only 63% of patients in the overall study cohort were aware of their cardiac condition, with Indo-Asians and Afro-Caribbeans significantly less aware of AF compared with the white patients (P&lt;0.001). When questioned about the perception of the severity of the underlying condition, the majority (61%) felt that AF was \"not serious.\" A large proportion were unaware that AF predisposed to thrombosis and stroke; among the ethnic groups, Indo-Asians appeared to be the least aware of the stroke and thromboembolic associations of AF. Only 52% in the whole cohort were aware of the reason(s) for commencing their warfarin, whereas the remainder began warfarin therapy simply because their \"doctor told them to.\" Most patients in the whole cohort were aware of warfarin being used to prevent blood clots (65%) or stroke (66%), but Indo-Asians and Afro-Caribbeans were less so. Only 45% of the study cohort believed that there was some risk associated with warfarin therapy in the form of either \"bleeding\" or \"poisoning.\" Only a minority of Indo-Asians and Afro-Caribbeans with AF felt that their doctor had given them enough information about their warfarin therapy, and many from these ethnic groups felt that they were careless about taking their warfarin. Conclusions - In conclusion, many patients with AF possess very limited knowledge of AF as well as its consequences and therapy. In particular, our study has highlighted significant differences between different ethnic groups in terms of their knowledge of the risks, actions, and benefits of warfarin as well as of AF itself.","author":[{"dropping-particle":"","family":"Lip","given":"Gregory Y.H.","non-dropping-particle":"","parse-names":false,"suffix":""},{"dropping-particle":"","family":"Kamath","given":"Sridhar","non-dropping-particle":"","parse-names":false,"suffix":""},{"dropping-particle":"","family":"Jafri","given":"Marian","non-dropping-particle":"","parse-names":false,"suffix":""},{"dropping-particle":"","family":"Mohammed","given":"Afzal","non-dropping-particle":"","parse-names":false,"suffix":""},{"dropping-particle":"","family":"Bareford","given":"David","non-dropping-particle":"","parse-names":false,"suffix":""}],"container-title":"Stroke","id":"ITEM-1","issue":"1","issued":{"date-parts":[["2002"]]},"page":"238-242","title":"Ethnic differences in patient perceptions of atrial fibrillation and anticoagulation therapy: The West Birmingham atrial fibrillation project","type":"article-journal","volume":"33"},"uris":["http://www.mendeley.com/documents/?uuid=bce870a1-faf4-4f2c-883d-e11f8407389a"]}],"mendeley":{"formattedCitation":"(19)","manualFormatting":"11)","plainTextFormattedCitation":"(19)","previouslyFormattedCitation":"(18)"},"properties":{"noteIndex":0},"schema":"https://github.com/citation-style-language/schema/raw/master/csl-citation.json"}</w:instrText>
            </w:r>
            <w:r w:rsidRPr="00066031">
              <w:rPr>
                <w:rFonts w:asciiTheme="minorHAnsi" w:hAnsiTheme="minorHAnsi" w:cstheme="minorHAnsi"/>
                <w:sz w:val="20"/>
                <w:szCs w:val="20"/>
              </w:rPr>
              <w:fldChar w:fldCharType="separate"/>
            </w:r>
            <w:r w:rsidRPr="00B57F83">
              <w:rPr>
                <w:rFonts w:asciiTheme="minorHAnsi" w:hAnsiTheme="minorHAnsi" w:cstheme="minorHAnsi"/>
                <w:noProof/>
                <w:sz w:val="20"/>
                <w:szCs w:val="20"/>
              </w:rPr>
              <w:t>11)</w:t>
            </w:r>
            <w:r w:rsidRPr="00066031">
              <w:rPr>
                <w:rFonts w:asciiTheme="minorHAnsi" w:hAnsiTheme="minorHAnsi"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26681A4"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31883537" w14:textId="77777777" w:rsidR="00DA7737" w:rsidRPr="00066031" w:rsidRDefault="00DA7737" w:rsidP="00F73E3D">
            <w:pPr>
              <w:pStyle w:val="ListParagraph"/>
              <w:ind w:left="0"/>
              <w:jc w:val="center"/>
              <w:rPr>
                <w:rFonts w:asciiTheme="minorHAnsi" w:hAnsiTheme="minorHAnsi" w:cstheme="minorHAnsi"/>
                <w:sz w:val="20"/>
                <w:szCs w:val="20"/>
              </w:rPr>
            </w:pPr>
          </w:p>
          <w:p w14:paraId="516E4125" w14:textId="77777777" w:rsidR="00DA7737" w:rsidRPr="00066031" w:rsidRDefault="00DA7737" w:rsidP="00F73E3D">
            <w:pPr>
              <w:pStyle w:val="ListParagraph"/>
              <w:ind w:left="0"/>
              <w:jc w:val="center"/>
              <w:rPr>
                <w:rFonts w:asciiTheme="minorHAnsi" w:hAnsiTheme="minorHAnsi" w:cstheme="minorHAnsi"/>
                <w:sz w:val="20"/>
                <w:szCs w:val="20"/>
              </w:rPr>
            </w:pPr>
          </w:p>
          <w:p w14:paraId="0DC601D6"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0041169C" w14:textId="77777777" w:rsidR="00DA7737" w:rsidRDefault="00DA7737" w:rsidP="00F73E3D">
            <w:pPr>
              <w:pStyle w:val="ListParagraph"/>
              <w:ind w:left="0"/>
              <w:jc w:val="center"/>
              <w:rPr>
                <w:rFonts w:cstheme="minorHAnsi"/>
                <w:sz w:val="20"/>
                <w:szCs w:val="20"/>
              </w:rPr>
            </w:pPr>
            <w:r w:rsidRPr="00066031">
              <w:rPr>
                <w:rFonts w:asciiTheme="minorHAnsi" w:hAnsiTheme="minorHAnsi" w:cstheme="minorHAnsi"/>
                <w:sz w:val="20"/>
                <w:szCs w:val="20"/>
              </w:rPr>
              <w:t xml:space="preserve">119 patients </w:t>
            </w:r>
          </w:p>
          <w:p w14:paraId="5C0D040F" w14:textId="77777777" w:rsidR="00DA7737" w:rsidRDefault="00DA7737" w:rsidP="00F73E3D">
            <w:pPr>
              <w:pStyle w:val="ListParagraph"/>
              <w:ind w:left="0"/>
              <w:jc w:val="center"/>
              <w:rPr>
                <w:rFonts w:cstheme="minorHAnsi"/>
                <w:sz w:val="20"/>
                <w:szCs w:val="20"/>
              </w:rPr>
            </w:pPr>
          </w:p>
          <w:p w14:paraId="7A61A5CA" w14:textId="77777777" w:rsidR="00DA7737" w:rsidRPr="00066031" w:rsidRDefault="00DA7737" w:rsidP="00F73E3D">
            <w:pPr>
              <w:pStyle w:val="ListParagraph"/>
              <w:ind w:left="0"/>
              <w:jc w:val="center"/>
              <w:rPr>
                <w:rFonts w:asciiTheme="minorHAnsi" w:hAnsiTheme="minorHAnsi" w:cstheme="minorHAnsi"/>
                <w:sz w:val="20"/>
                <w:szCs w:val="20"/>
              </w:rPr>
            </w:pPr>
          </w:p>
          <w:p w14:paraId="0F2225A8"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U.K</w:t>
            </w:r>
          </w:p>
          <w:p w14:paraId="2C0B4778" w14:textId="77777777" w:rsidR="00DA7737" w:rsidRPr="00066031" w:rsidRDefault="00DA7737" w:rsidP="00F73E3D">
            <w:pPr>
              <w:pStyle w:val="ListParagraph"/>
              <w:ind w:left="0"/>
              <w:jc w:val="center"/>
              <w:rPr>
                <w:rFonts w:asciiTheme="minorHAnsi" w:hAnsiTheme="minorHAnsi" w:cstheme="minorHAnsi"/>
                <w:sz w:val="20"/>
                <w:szCs w:val="20"/>
              </w:rPr>
            </w:pPr>
          </w:p>
          <w:p w14:paraId="47C18B3A" w14:textId="77777777" w:rsidR="00DA7737" w:rsidRPr="00066031" w:rsidRDefault="00DA7737" w:rsidP="00F73E3D">
            <w:pPr>
              <w:pStyle w:val="ListParagraph"/>
              <w:ind w:left="0"/>
              <w:jc w:val="center"/>
              <w:rPr>
                <w:rFonts w:asciiTheme="minorHAnsi" w:hAnsiTheme="minorHAnsi" w:cstheme="minorHAnsi"/>
                <w:sz w:val="20"/>
                <w:szCs w:val="20"/>
              </w:rPr>
            </w:pPr>
          </w:p>
          <w:p w14:paraId="67071898" w14:textId="77777777" w:rsidR="00DA7737" w:rsidRPr="00066031" w:rsidRDefault="00DA7737" w:rsidP="00F73E3D">
            <w:pPr>
              <w:pStyle w:val="ListParagraph"/>
              <w:ind w:left="0"/>
              <w:jc w:val="center"/>
              <w:rPr>
                <w:rFonts w:asciiTheme="minorHAnsi" w:hAnsiTheme="minorHAnsi" w:cstheme="minorHAnsi"/>
                <w:sz w:val="20"/>
                <w:szCs w:val="20"/>
              </w:rPr>
            </w:pPr>
          </w:p>
          <w:p w14:paraId="164767F9"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4C6C6C63"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To assess if there were differences in perception to AF and anticoagulation amongst different ethnic groups</w:t>
            </w:r>
          </w:p>
        </w:tc>
        <w:tc>
          <w:tcPr>
            <w:tcW w:w="3402" w:type="dxa"/>
            <w:tcBorders>
              <w:top w:val="single" w:sz="4" w:space="0" w:color="auto"/>
              <w:left w:val="single" w:sz="4" w:space="0" w:color="auto"/>
              <w:bottom w:val="single" w:sz="4" w:space="0" w:color="auto"/>
              <w:right w:val="single" w:sz="4" w:space="0" w:color="auto"/>
            </w:tcBorders>
          </w:tcPr>
          <w:p w14:paraId="7686DCE4"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Poor perception of AF and warfarin amongst ethnic groups regardless of duration of therapy. Only a minority of black and minority ethnic felt they had enough information about their warfarin. A significant proportion of patients felt their heart condition was not serious.</w:t>
            </w:r>
          </w:p>
        </w:tc>
        <w:tc>
          <w:tcPr>
            <w:tcW w:w="2835" w:type="dxa"/>
            <w:tcBorders>
              <w:top w:val="single" w:sz="4" w:space="0" w:color="auto"/>
              <w:left w:val="single" w:sz="4" w:space="0" w:color="auto"/>
              <w:bottom w:val="single" w:sz="4" w:space="0" w:color="auto"/>
              <w:right w:val="single" w:sz="4" w:space="0" w:color="auto"/>
            </w:tcBorders>
          </w:tcPr>
          <w:p w14:paraId="2ED5093F"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This study is dated but highlights</w:t>
            </w:r>
            <w:r>
              <w:rPr>
                <w:rFonts w:cstheme="minorHAnsi"/>
                <w:sz w:val="20"/>
                <w:szCs w:val="20"/>
              </w:rPr>
              <w:t xml:space="preserve"> </w:t>
            </w:r>
            <w:r w:rsidRPr="00066031">
              <w:rPr>
                <w:rFonts w:asciiTheme="minorHAnsi" w:hAnsiTheme="minorHAnsi" w:cstheme="minorHAnsi"/>
                <w:sz w:val="20"/>
                <w:szCs w:val="20"/>
              </w:rPr>
              <w:t>the need for improved patient education from healthcare professionals especially in those from minority ethnic groups. There is a gap in what the patient actually knows and what the doctor thinks he or she knows.</w:t>
            </w:r>
          </w:p>
        </w:tc>
      </w:tr>
      <w:tr w:rsidR="00DA7737" w:rsidRPr="00066031" w14:paraId="133DF229" w14:textId="77777777" w:rsidTr="00F73E3D">
        <w:tc>
          <w:tcPr>
            <w:tcW w:w="1589" w:type="dxa"/>
            <w:tcBorders>
              <w:top w:val="single" w:sz="4" w:space="0" w:color="auto"/>
              <w:left w:val="single" w:sz="4" w:space="0" w:color="auto"/>
              <w:bottom w:val="single" w:sz="4" w:space="0" w:color="auto"/>
              <w:right w:val="single" w:sz="4" w:space="0" w:color="auto"/>
            </w:tcBorders>
          </w:tcPr>
          <w:p w14:paraId="01834E26" w14:textId="77777777" w:rsidR="00DA7737" w:rsidRPr="00066031" w:rsidRDefault="00DA7737" w:rsidP="00F73E3D">
            <w:pPr>
              <w:pStyle w:val="ListParagraph"/>
              <w:ind w:left="0"/>
              <w:jc w:val="center"/>
              <w:rPr>
                <w:rFonts w:asciiTheme="minorHAnsi" w:hAnsiTheme="minorHAnsi" w:cstheme="minorHAnsi"/>
                <w:sz w:val="20"/>
                <w:szCs w:val="20"/>
              </w:rPr>
            </w:pPr>
            <w:r>
              <w:rPr>
                <w:rFonts w:asciiTheme="minorHAnsi" w:hAnsiTheme="minorHAnsi" w:cstheme="minorHAnsi"/>
                <w:sz w:val="20"/>
                <w:szCs w:val="20"/>
              </w:rPr>
              <w:t xml:space="preserve">Gross </w:t>
            </w:r>
            <w:r w:rsidRPr="003D135A">
              <w:rPr>
                <w:rFonts w:asciiTheme="minorHAnsi" w:hAnsiTheme="minorHAnsi" w:cstheme="minorHAnsi"/>
                <w:i/>
                <w:iCs/>
                <w:sz w:val="20"/>
                <w:szCs w:val="20"/>
              </w:rPr>
              <w:t>et al.,</w:t>
            </w:r>
            <w:r>
              <w:rPr>
                <w:rFonts w:asciiTheme="minorHAnsi" w:hAnsiTheme="minorHAnsi" w:cstheme="minorHAnsi"/>
                <w:sz w:val="20"/>
                <w:szCs w:val="20"/>
              </w:rPr>
              <w:t xml:space="preserve"> 2003 </w:t>
            </w:r>
            <w:r w:rsidRPr="00066031">
              <w:rPr>
                <w:rFonts w:asciiTheme="minorHAnsi" w:hAnsiTheme="minorHAnsi" w:cstheme="minorHAnsi"/>
                <w:sz w:val="20"/>
                <w:szCs w:val="20"/>
              </w:rPr>
              <w:fldChar w:fldCharType="begin" w:fldLock="1"/>
            </w:r>
            <w:r>
              <w:rPr>
                <w:rFonts w:asciiTheme="minorHAnsi" w:hAnsiTheme="minorHAnsi" w:cstheme="minorHAnsi"/>
                <w:sz w:val="20"/>
                <w:szCs w:val="20"/>
              </w:rPr>
              <w:instrText>ADDIN CSL_CITATION {"citationItems":[{"id":"ITEM-1","itemData":{"DOI":"10.1016/S0149-2918(03)80167-4","ISSN":"1879114X","abstract":"Background: Some elderly patients with nonvalvular atrial fibrillation (NVAF) who might benefit from warfarin therapy do not receive it. Objective: The goal of this cross-sectional study was to identify physicians' attitudes and beliefs that are associated with their reported use of warfarin in case scenarios. Methods: A self-administered survey was mailed to a cross-section of general internists randomly selected from a national pool of physicians in the American Medical Association Masterfile. Fourteen clinical vignettes were used, incorporating various comorbid conditions and risk factors for either major bleeding episode or embolic cerebrovascular accident (CVA). The outcome measure was the number of case vignettes for which warfarin was recommended. Results: A total of 142 completed surveys (33% of 426 eligible respondents; 109 men, 32 women [1 respondent did not provide gender]; mean [SD] age, 45 [10] years) were received. The median number of case vignettes for which warfarin was recommended was 10 (interquartile range, 8-12). We found no relationship between the perceived benefits of warfarin and its use in the case vignettes. However, the perceived risk for warfarin-associated hemorrhage was strongly associated with reported warfarin use (P &lt; 0.001). The physicians in our sample provided estimates of the annual rate of warfarin-associated intracerebral hemorrhage that were &gt;10-fold higher than literature-based estimates, and physicians providing higher risk estimates tended to use warfarin less often. On multivariate logistic regression, physicians who recommended warfarin use in more vignettes were less likely to report anticipated regret of committing an error of omission (ischemic CVA in an untreated NVAF patient) (P &lt; 0.001) or a loss-aversive risk preference (P = 0.027), and had a lower perceived annual risk for hemorrhage with warfarin (P &lt; 0.001). Physician age, sex, primary mechanism of reimbursement, academic appointment, and the NVAF patient volume all were unrelated to warfarin use. Conclusions: Although the decision to use warfarin in NVAF was not driven by the perceived benefit, the perceived risks strongly affected warfarin use. Response bias is a potential limitation, but our data strongly suggest that physicians' attitudes toward anticipated regret and risk aversion can impact on their treatment recommendations. Copyright © 2003 Excerpta Medica, Inc.","author":[{"dropping-particle":"","family":"Gross","given":"Cary P.","non-dropping-particle":"","parse-names":false,"suffix":""},{"dropping-particle":"","family":"Vogel","given":"Eric W.","non-dropping-particle":"","parse-names":false,"suffix":""},{"dropping-particle":"","family":"Dhond","given":"Abhay J.","non-dropping-particle":"","parse-names":false,"suffix":""},{"dropping-particle":"","family":"Marple","given":"Cheryl B.","non-dropping-particle":"","parse-names":false,"suffix":""},{"dropping-particle":"","family":"Edwards","given":"Roger A.","non-dropping-particle":"","parse-names":false,"suffix":""},{"dropping-particle":"","family":"Hauch","given":"Ole","non-dropping-particle":"","parse-names":false,"suffix":""},{"dropping-particle":"","family":"Demers","given":"Elizabeth A.","non-dropping-particle":"","parse-names":false,"suffix":""},{"dropping-particle":"","family":"Ezekowitz","given":"Michael","non-dropping-particle":"","parse-names":false,"suffix":""}],"container-title":"Clinical Therapeutics","id":"ITEM-1","issue":"6","issued":{"date-parts":[["2003"]]},"page":"1750-1764","title":"Factors influencing physicians' reported use of anticoagulation therapy in nonvalvular atrial fibrillation: A cross-sectional survey","type":"article-journal","volume":"25"},"uris":["http://www.mendeley.com/documents/?uuid=4d09de73-4924-4717-9fc5-6973df0a85ff"]}],"mendeley":{"formattedCitation":"(20)","plainTextFormattedCitation":"(20)","previouslyFormattedCitation":"(19)"},"properties":{"noteIndex":0},"schema":"https://github.com/citation-style-language/schema/raw/master/csl-citation.json"}</w:instrText>
            </w:r>
            <w:r w:rsidRPr="00066031">
              <w:rPr>
                <w:rFonts w:asciiTheme="minorHAnsi" w:hAnsiTheme="minorHAnsi" w:cstheme="minorHAnsi"/>
                <w:sz w:val="20"/>
                <w:szCs w:val="20"/>
              </w:rPr>
              <w:fldChar w:fldCharType="separate"/>
            </w:r>
            <w:r w:rsidRPr="00140A65">
              <w:rPr>
                <w:rFonts w:asciiTheme="minorHAnsi" w:hAnsiTheme="minorHAnsi" w:cstheme="minorHAnsi"/>
                <w:noProof/>
                <w:sz w:val="20"/>
                <w:szCs w:val="20"/>
              </w:rPr>
              <w:t>(20)</w:t>
            </w:r>
            <w:r w:rsidRPr="00066031">
              <w:rPr>
                <w:rFonts w:asciiTheme="minorHAnsi" w:hAnsiTheme="minorHAnsi"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559B357"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7D41D889" w14:textId="77777777" w:rsidR="00DA7737" w:rsidRPr="00066031" w:rsidRDefault="00DA7737" w:rsidP="00F73E3D">
            <w:pPr>
              <w:pStyle w:val="ListParagraph"/>
              <w:ind w:left="0"/>
              <w:jc w:val="center"/>
              <w:rPr>
                <w:rFonts w:asciiTheme="minorHAnsi" w:hAnsiTheme="minorHAnsi" w:cstheme="minorHAnsi"/>
                <w:sz w:val="20"/>
                <w:szCs w:val="20"/>
              </w:rPr>
            </w:pPr>
          </w:p>
          <w:p w14:paraId="621CF37F"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0BB62AC7"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142 General internists</w:t>
            </w:r>
          </w:p>
          <w:p w14:paraId="6693CD63" w14:textId="77777777" w:rsidR="00DA7737" w:rsidRPr="00066031" w:rsidRDefault="00DA7737" w:rsidP="00F73E3D">
            <w:pPr>
              <w:pStyle w:val="ListParagraph"/>
              <w:ind w:left="0"/>
              <w:rPr>
                <w:rFonts w:asciiTheme="minorHAnsi" w:hAnsiTheme="minorHAnsi" w:cstheme="minorHAnsi"/>
                <w:sz w:val="20"/>
                <w:szCs w:val="20"/>
              </w:rPr>
            </w:pPr>
          </w:p>
          <w:p w14:paraId="4F3B388A"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U.S.A</w:t>
            </w:r>
          </w:p>
          <w:p w14:paraId="2DF4DD5A" w14:textId="77777777" w:rsidR="00DA7737" w:rsidRPr="00066031" w:rsidRDefault="00DA7737" w:rsidP="00F73E3D">
            <w:pPr>
              <w:pStyle w:val="ListParagraph"/>
              <w:ind w:left="0"/>
              <w:jc w:val="center"/>
              <w:rPr>
                <w:rFonts w:asciiTheme="minorHAnsi" w:hAnsiTheme="minorHAnsi" w:cstheme="minorHAnsi"/>
                <w:sz w:val="20"/>
                <w:szCs w:val="20"/>
              </w:rPr>
            </w:pPr>
          </w:p>
          <w:p w14:paraId="25DC89A8" w14:textId="77777777" w:rsidR="00DA7737" w:rsidRPr="00066031" w:rsidRDefault="00DA7737" w:rsidP="00F73E3D">
            <w:pPr>
              <w:pStyle w:val="ListParagraph"/>
              <w:ind w:left="0"/>
              <w:jc w:val="center"/>
              <w:rPr>
                <w:rFonts w:asciiTheme="minorHAnsi" w:hAnsiTheme="minorHAnsi" w:cstheme="minorHAnsi"/>
                <w:sz w:val="20"/>
                <w:szCs w:val="20"/>
              </w:rPr>
            </w:pPr>
          </w:p>
          <w:p w14:paraId="1899C235"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5DBC2C5D"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To identify physician’s attitudes and beliefs associated with warfarin use</w:t>
            </w:r>
          </w:p>
        </w:tc>
        <w:tc>
          <w:tcPr>
            <w:tcW w:w="3402" w:type="dxa"/>
            <w:tcBorders>
              <w:top w:val="single" w:sz="4" w:space="0" w:color="auto"/>
              <w:left w:val="single" w:sz="4" w:space="0" w:color="auto"/>
              <w:bottom w:val="single" w:sz="4" w:space="0" w:color="auto"/>
              <w:right w:val="single" w:sz="4" w:space="0" w:color="auto"/>
            </w:tcBorders>
          </w:tcPr>
          <w:p w14:paraId="16FEE612"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The prescription of warfarin for NVAF was not driven by perceived benefits of anticoagulation. Rather physicians were more risk averse. The fear of causing intracerebral haemorrhage made them less likely to prescribe warfarin. </w:t>
            </w:r>
          </w:p>
        </w:tc>
        <w:tc>
          <w:tcPr>
            <w:tcW w:w="2835" w:type="dxa"/>
            <w:tcBorders>
              <w:top w:val="single" w:sz="4" w:space="0" w:color="auto"/>
              <w:left w:val="single" w:sz="4" w:space="0" w:color="auto"/>
              <w:bottom w:val="single" w:sz="4" w:space="0" w:color="auto"/>
              <w:right w:val="single" w:sz="4" w:space="0" w:color="auto"/>
            </w:tcBorders>
          </w:tcPr>
          <w:p w14:paraId="4BCD04CC"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Case vignettes were used in this study. Perhaps physician’s decision would be different if they had real patients. </w:t>
            </w:r>
            <w:proofErr w:type="gramStart"/>
            <w:r w:rsidRPr="00066031">
              <w:rPr>
                <w:rFonts w:asciiTheme="minorHAnsi" w:hAnsiTheme="minorHAnsi" w:cstheme="minorHAnsi"/>
                <w:sz w:val="20"/>
                <w:szCs w:val="20"/>
              </w:rPr>
              <w:t>Also</w:t>
            </w:r>
            <w:proofErr w:type="gramEnd"/>
            <w:r w:rsidRPr="00066031">
              <w:rPr>
                <w:rFonts w:asciiTheme="minorHAnsi" w:hAnsiTheme="minorHAnsi" w:cstheme="minorHAnsi"/>
                <w:sz w:val="20"/>
                <w:szCs w:val="20"/>
              </w:rPr>
              <w:t xml:space="preserve"> response bias (low response rate) was a limitation to this study.</w:t>
            </w:r>
            <w:r>
              <w:rPr>
                <w:rFonts w:asciiTheme="minorHAnsi" w:hAnsiTheme="minorHAnsi" w:cstheme="minorHAnsi"/>
                <w:sz w:val="20"/>
                <w:szCs w:val="20"/>
              </w:rPr>
              <w:t xml:space="preserve"> </w:t>
            </w:r>
            <w:r w:rsidRPr="00066031">
              <w:rPr>
                <w:rFonts w:asciiTheme="minorHAnsi" w:hAnsiTheme="minorHAnsi" w:cstheme="minorHAnsi"/>
                <w:sz w:val="20"/>
                <w:szCs w:val="20"/>
              </w:rPr>
              <w:t xml:space="preserve">Very dated study. </w:t>
            </w:r>
          </w:p>
        </w:tc>
      </w:tr>
      <w:tr w:rsidR="00DA7737" w:rsidRPr="00066031" w14:paraId="54B3ACDB" w14:textId="77777777" w:rsidTr="00F73E3D">
        <w:tc>
          <w:tcPr>
            <w:tcW w:w="1589" w:type="dxa"/>
            <w:tcBorders>
              <w:top w:val="single" w:sz="4" w:space="0" w:color="auto"/>
              <w:left w:val="single" w:sz="4" w:space="0" w:color="auto"/>
              <w:bottom w:val="single" w:sz="4" w:space="0" w:color="auto"/>
              <w:right w:val="single" w:sz="4" w:space="0" w:color="auto"/>
            </w:tcBorders>
          </w:tcPr>
          <w:p w14:paraId="4A7FBF86" w14:textId="77777777" w:rsidR="00DA7737" w:rsidRDefault="00DA7737" w:rsidP="00F73E3D">
            <w:pPr>
              <w:pStyle w:val="ListParagraph"/>
              <w:tabs>
                <w:tab w:val="center" w:pos="686"/>
              </w:tabs>
              <w:ind w:left="0"/>
              <w:rPr>
                <w:rFonts w:asciiTheme="minorHAnsi" w:hAnsiTheme="minorHAnsi" w:cstheme="minorHAnsi"/>
                <w:sz w:val="20"/>
                <w:szCs w:val="20"/>
              </w:rPr>
            </w:pPr>
          </w:p>
          <w:p w14:paraId="21E34D1A" w14:textId="77777777" w:rsidR="00DA7737" w:rsidRPr="00066031" w:rsidRDefault="00DA7737" w:rsidP="00F73E3D">
            <w:pPr>
              <w:pStyle w:val="ListParagraph"/>
              <w:tabs>
                <w:tab w:val="center" w:pos="686"/>
              </w:tabs>
              <w:ind w:left="0"/>
              <w:rPr>
                <w:rFonts w:asciiTheme="minorHAnsi" w:hAnsiTheme="minorHAnsi" w:cstheme="minorHAnsi"/>
                <w:sz w:val="20"/>
                <w:szCs w:val="20"/>
              </w:rPr>
            </w:pPr>
            <w:proofErr w:type="spellStart"/>
            <w:r>
              <w:rPr>
                <w:rFonts w:asciiTheme="minorHAnsi" w:hAnsiTheme="minorHAnsi" w:cstheme="minorHAnsi"/>
                <w:sz w:val="20"/>
                <w:szCs w:val="20"/>
              </w:rPr>
              <w:t>Dantas</w:t>
            </w:r>
            <w:proofErr w:type="spellEnd"/>
            <w:r>
              <w:rPr>
                <w:rFonts w:asciiTheme="minorHAnsi" w:hAnsiTheme="minorHAnsi" w:cstheme="minorHAnsi"/>
                <w:sz w:val="20"/>
                <w:szCs w:val="20"/>
              </w:rPr>
              <w:t xml:space="preserve"> </w:t>
            </w:r>
            <w:r w:rsidRPr="003D135A">
              <w:rPr>
                <w:rFonts w:asciiTheme="minorHAnsi" w:hAnsiTheme="minorHAnsi" w:cstheme="minorHAnsi"/>
                <w:i/>
                <w:iCs/>
                <w:sz w:val="20"/>
                <w:szCs w:val="20"/>
              </w:rPr>
              <w:t>et al.,</w:t>
            </w:r>
            <w:r>
              <w:rPr>
                <w:rFonts w:asciiTheme="minorHAnsi" w:hAnsiTheme="minorHAnsi" w:cstheme="minorHAnsi"/>
                <w:sz w:val="20"/>
                <w:szCs w:val="20"/>
              </w:rPr>
              <w:t xml:space="preserve"> 2004 </w:t>
            </w:r>
            <w:r w:rsidRPr="00066031">
              <w:rPr>
                <w:rFonts w:asciiTheme="minorHAnsi" w:hAnsiTheme="minorHAnsi" w:cstheme="minorHAnsi"/>
                <w:sz w:val="20"/>
                <w:szCs w:val="20"/>
              </w:rPr>
              <w:fldChar w:fldCharType="begin" w:fldLock="1"/>
            </w:r>
            <w:r>
              <w:rPr>
                <w:rFonts w:asciiTheme="minorHAnsi" w:hAnsiTheme="minorHAnsi" w:cstheme="minorHAnsi"/>
                <w:sz w:val="20"/>
                <w:szCs w:val="20"/>
              </w:rPr>
              <w:instrText>ADDIN CSL_CITATION {"citationItems":[{"id":"ITEM-1","itemData":{"DOI":"10.1186/1471-2296-5-15","ISBN":"1471-2296","ISSN":"1471-2296","PMID":"15268764","abstract":"BACKGROUND: Despite the well-documented benefits of using warfarin to prevent stroke, physicians remain reluctant to initiate therapy, and especially so with the elderly owing to the higher risk of hemorrhage. Prior research suggests that patients are more accepting of the risk of bleeding than are physicians, although there have been few qualitative studies. The aim of this study was to employ qualitative methods to investigate the experience and perspective of individuals taking warfarin.\\n\\nMETHODS: We conducted face-to-face interviews with 21 older patients (12 male, 9 female) who had been taking warfarin for a minimum of six months. Participants were patients at a family practice clinic situated in a large, tertiary care teaching hospital. We used a semistructured interview guide with four main thematic areas: decision-making, knowledge/education, impact, and satisfaction. Data were analysed according to the principles of content analysis.\\n\\nRESULTS AND DISCUSSION: Participants tended to have minimal input into the decision to initiate warfarin therapy, instead relying in great part on physicians' expertise. There appeared to be low retention of information received regarding the therapy; half the patients in our sample possessed only a superficial level of understanding of the risks and benefits. This notwithstanding, participants reported a high level of satisfaction with the care provided and a low level of impact on their day-to-day lives.\\n\\nCONCLUSIONS: Minimal patient involvement in the initial decision and modest knowledge did not appear to diminish satisfaction with warfarin management. At the same time, care providers exert a tremendous influence on the initiation of warfarin therapy and should strive to incorporate patient preferences and expectations into the decision-making process.","author":[{"dropping-particle":"","family":"Dantas","given":"Guilherme Coelho","non-dropping-particle":"","parse-names":false,"suffix":""},{"dropping-particle":"V","family":"Thompson","given":"Barbara","non-dropping-particle":"","parse-names":false,"suffix":""},{"dropping-particle":"","family":"Manson","given":"Judith A","non-dropping-particle":"","parse-names":false,"suffix":""},{"dropping-particle":"","family":"Tracy","given":"C Shawn","non-dropping-particle":"","parse-names":false,"suffix":""},{"dropping-particle":"","family":"Upshur","given":"Ross EG","non-dropping-particle":"","parse-names":false,"suffix":""}],"container-title":"BMC Family Practice","id":"ITEM-1","issue":"1","issued":{"date-parts":[["2004"]]},"page":"15","title":"Patients' perspectives on taking warfarin: qualitative study in family practice","type":"article-journal","volume":"5"},"uris":["http://www.mendeley.com/documents/?uuid=78762998-2133-46f3-93e8-bada5a2a3cd9"]}],"mendeley":{"formattedCitation":"(21)","plainTextFormattedCitation":"(21)","previouslyFormattedCitation":"(20)"},"properties":{"noteIndex":0},"schema":"https://github.com/citation-style-language/schema/raw/master/csl-citation.json"}</w:instrText>
            </w:r>
            <w:r w:rsidRPr="00066031">
              <w:rPr>
                <w:rFonts w:asciiTheme="minorHAnsi" w:hAnsiTheme="minorHAnsi" w:cstheme="minorHAnsi"/>
                <w:sz w:val="20"/>
                <w:szCs w:val="20"/>
              </w:rPr>
              <w:fldChar w:fldCharType="separate"/>
            </w:r>
            <w:r w:rsidRPr="00140A65">
              <w:rPr>
                <w:rFonts w:asciiTheme="minorHAnsi" w:hAnsiTheme="minorHAnsi" w:cstheme="minorHAnsi"/>
                <w:noProof/>
                <w:sz w:val="20"/>
                <w:szCs w:val="20"/>
              </w:rPr>
              <w:t>(21)</w:t>
            </w:r>
            <w:r w:rsidRPr="00066031">
              <w:rPr>
                <w:rFonts w:asciiTheme="minorHAnsi" w:hAnsiTheme="minorHAnsi"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811949F" w14:textId="77777777" w:rsidR="00DA7737" w:rsidRPr="00066031" w:rsidRDefault="00DA7737" w:rsidP="00F73E3D">
            <w:pPr>
              <w:pStyle w:val="ListParagraph"/>
              <w:ind w:left="0"/>
              <w:jc w:val="center"/>
              <w:rPr>
                <w:rFonts w:asciiTheme="minorHAnsi" w:hAnsiTheme="minorHAnsi" w:cstheme="minorHAnsi"/>
                <w:sz w:val="20"/>
                <w:szCs w:val="20"/>
              </w:rPr>
            </w:pPr>
            <w:r>
              <w:rPr>
                <w:rFonts w:asciiTheme="minorHAnsi" w:hAnsiTheme="minorHAnsi" w:cstheme="minorHAnsi"/>
                <w:sz w:val="20"/>
                <w:szCs w:val="20"/>
              </w:rPr>
              <w:t>Qualitative</w:t>
            </w:r>
          </w:p>
        </w:tc>
        <w:tc>
          <w:tcPr>
            <w:tcW w:w="1444" w:type="dxa"/>
            <w:tcBorders>
              <w:top w:val="single" w:sz="4" w:space="0" w:color="auto"/>
              <w:left w:val="single" w:sz="4" w:space="0" w:color="auto"/>
              <w:bottom w:val="single" w:sz="4" w:space="0" w:color="auto"/>
              <w:right w:val="single" w:sz="4" w:space="0" w:color="auto"/>
            </w:tcBorders>
          </w:tcPr>
          <w:p w14:paraId="457F57C0" w14:textId="77777777" w:rsidR="00DA7737" w:rsidRDefault="00DA7737" w:rsidP="00F73E3D">
            <w:pPr>
              <w:pStyle w:val="ListParagraph"/>
              <w:ind w:left="0"/>
              <w:jc w:val="center"/>
              <w:rPr>
                <w:rFonts w:asciiTheme="minorHAnsi" w:hAnsiTheme="minorHAnsi" w:cstheme="minorHAnsi"/>
                <w:sz w:val="20"/>
                <w:szCs w:val="20"/>
              </w:rPr>
            </w:pPr>
            <w:r>
              <w:rPr>
                <w:rFonts w:asciiTheme="minorHAnsi" w:hAnsiTheme="minorHAnsi" w:cstheme="minorHAnsi"/>
                <w:sz w:val="20"/>
                <w:szCs w:val="20"/>
              </w:rPr>
              <w:t>21 Patients</w:t>
            </w:r>
          </w:p>
          <w:p w14:paraId="41563F3C" w14:textId="77777777" w:rsidR="00DA7737" w:rsidRPr="00066031" w:rsidRDefault="00DA7737" w:rsidP="00F73E3D">
            <w:pPr>
              <w:pStyle w:val="ListParagraph"/>
              <w:ind w:left="0"/>
              <w:jc w:val="center"/>
              <w:rPr>
                <w:rFonts w:asciiTheme="minorHAnsi" w:hAnsiTheme="minorHAnsi" w:cstheme="minorHAnsi"/>
                <w:sz w:val="20"/>
                <w:szCs w:val="20"/>
              </w:rPr>
            </w:pPr>
          </w:p>
          <w:p w14:paraId="24C4BC83"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Canada</w:t>
            </w:r>
          </w:p>
          <w:p w14:paraId="2A80ADA8" w14:textId="77777777" w:rsidR="00DA7737" w:rsidRPr="00066031" w:rsidRDefault="00DA7737" w:rsidP="00F73E3D">
            <w:pPr>
              <w:pStyle w:val="ListParagraph"/>
              <w:ind w:left="0"/>
              <w:jc w:val="center"/>
              <w:rPr>
                <w:rFonts w:asciiTheme="minorHAnsi" w:hAnsiTheme="minorHAnsi" w:cstheme="minorHAnsi"/>
                <w:sz w:val="20"/>
                <w:szCs w:val="20"/>
              </w:rPr>
            </w:pPr>
          </w:p>
          <w:p w14:paraId="2592C51F" w14:textId="77777777" w:rsidR="00DA7737" w:rsidRPr="00066031" w:rsidRDefault="00DA7737" w:rsidP="00F73E3D">
            <w:pPr>
              <w:pStyle w:val="ListParagraph"/>
              <w:ind w:left="0"/>
              <w:jc w:val="center"/>
              <w:rPr>
                <w:rFonts w:asciiTheme="minorHAnsi" w:hAnsiTheme="minorHAnsi" w:cstheme="minorHAnsi"/>
                <w:sz w:val="20"/>
                <w:szCs w:val="20"/>
              </w:rPr>
            </w:pPr>
          </w:p>
          <w:p w14:paraId="0AA10DDB"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5F9D4AFF" w14:textId="77777777" w:rsidR="00DA7737" w:rsidRPr="00066031" w:rsidRDefault="00DA7737" w:rsidP="00F73E3D">
            <w:pPr>
              <w:pStyle w:val="ListParagraph"/>
              <w:ind w:left="0"/>
              <w:rPr>
                <w:rFonts w:asciiTheme="minorHAnsi" w:hAnsiTheme="minorHAnsi" w:cstheme="minorHAnsi"/>
                <w:sz w:val="20"/>
                <w:szCs w:val="20"/>
              </w:rPr>
            </w:pPr>
            <w:r>
              <w:rPr>
                <w:rFonts w:asciiTheme="minorHAnsi" w:hAnsiTheme="minorHAnsi" w:cstheme="minorHAnsi"/>
                <w:sz w:val="20"/>
                <w:szCs w:val="20"/>
              </w:rPr>
              <w:t>To understand the experience and perspective of individuals on warfarin for atrial fibrillation</w:t>
            </w:r>
          </w:p>
        </w:tc>
        <w:tc>
          <w:tcPr>
            <w:tcW w:w="3402" w:type="dxa"/>
            <w:tcBorders>
              <w:top w:val="single" w:sz="4" w:space="0" w:color="auto"/>
              <w:left w:val="single" w:sz="4" w:space="0" w:color="auto"/>
              <w:bottom w:val="single" w:sz="4" w:space="0" w:color="auto"/>
              <w:right w:val="single" w:sz="4" w:space="0" w:color="auto"/>
            </w:tcBorders>
          </w:tcPr>
          <w:p w14:paraId="3052FA92" w14:textId="77777777" w:rsidR="00DA7737" w:rsidRPr="00066031" w:rsidRDefault="00DA7737" w:rsidP="00F73E3D">
            <w:pPr>
              <w:pStyle w:val="ListParagraph"/>
              <w:ind w:left="0"/>
              <w:rPr>
                <w:rFonts w:asciiTheme="minorHAnsi" w:hAnsiTheme="minorHAnsi" w:cstheme="minorHAnsi"/>
                <w:sz w:val="20"/>
                <w:szCs w:val="20"/>
              </w:rPr>
            </w:pPr>
            <w:r>
              <w:rPr>
                <w:rFonts w:asciiTheme="minorHAnsi" w:hAnsiTheme="minorHAnsi" w:cstheme="minorHAnsi"/>
                <w:sz w:val="20"/>
                <w:szCs w:val="20"/>
              </w:rPr>
              <w:t>Practitioners were paternalistic in decision making and patients had high trust in the doctor’s decisions. Poor patient understanding of treatment and low retention of benefits and risks of therapy, especially in the elderly (</w:t>
            </w:r>
            <w:r w:rsidRPr="00066031">
              <w:rPr>
                <w:rFonts w:asciiTheme="minorHAnsi" w:hAnsiTheme="minorHAnsi" w:cstheme="minorHAnsi"/>
                <w:sz w:val="20"/>
                <w:szCs w:val="20"/>
              </w:rPr>
              <w:sym w:font="Symbol" w:char="F0B3"/>
            </w:r>
            <w:r>
              <w:rPr>
                <w:rFonts w:asciiTheme="minorHAnsi" w:hAnsiTheme="minorHAnsi" w:cstheme="minorHAnsi"/>
                <w:sz w:val="20"/>
                <w:szCs w:val="20"/>
              </w:rPr>
              <w:t xml:space="preserve">75 </w:t>
            </w:r>
            <w:proofErr w:type="spellStart"/>
            <w:r>
              <w:rPr>
                <w:rFonts w:asciiTheme="minorHAnsi" w:hAnsiTheme="minorHAnsi" w:cstheme="minorHAnsi"/>
                <w:sz w:val="20"/>
                <w:szCs w:val="20"/>
              </w:rPr>
              <w:t>yrs</w:t>
            </w:r>
            <w:proofErr w:type="spellEnd"/>
            <w:r>
              <w:rPr>
                <w:rFonts w:asciiTheme="minorHAnsi" w:hAnsiTheme="minorHAnsi" w:cstheme="minorHAnsi"/>
                <w:sz w:val="20"/>
                <w:szCs w:val="20"/>
              </w:rPr>
              <w:t>). However, there was high satisfaction and low impact on daily living.</w:t>
            </w:r>
          </w:p>
        </w:tc>
        <w:tc>
          <w:tcPr>
            <w:tcW w:w="2835" w:type="dxa"/>
            <w:tcBorders>
              <w:top w:val="single" w:sz="4" w:space="0" w:color="auto"/>
              <w:left w:val="single" w:sz="4" w:space="0" w:color="auto"/>
              <w:bottom w:val="single" w:sz="4" w:space="0" w:color="auto"/>
              <w:right w:val="single" w:sz="4" w:space="0" w:color="auto"/>
            </w:tcBorders>
          </w:tcPr>
          <w:p w14:paraId="7A637606" w14:textId="77777777" w:rsidR="00DA7737" w:rsidRPr="00066031" w:rsidRDefault="00DA7737" w:rsidP="00F73E3D">
            <w:pPr>
              <w:pStyle w:val="ListParagraph"/>
              <w:ind w:left="0"/>
              <w:rPr>
                <w:rFonts w:asciiTheme="minorHAnsi" w:hAnsiTheme="minorHAnsi" w:cstheme="minorHAnsi"/>
                <w:sz w:val="20"/>
                <w:szCs w:val="20"/>
              </w:rPr>
            </w:pPr>
            <w:r>
              <w:rPr>
                <w:rFonts w:asciiTheme="minorHAnsi" w:hAnsiTheme="minorHAnsi" w:cstheme="minorHAnsi"/>
                <w:sz w:val="20"/>
                <w:szCs w:val="20"/>
              </w:rPr>
              <w:t>Patients reported only minor inconveniences and saw warfarin as just another daily pill.</w:t>
            </w:r>
          </w:p>
        </w:tc>
      </w:tr>
      <w:tr w:rsidR="00DA7737" w:rsidRPr="00066031" w14:paraId="56584F57" w14:textId="77777777" w:rsidTr="00F73E3D">
        <w:tc>
          <w:tcPr>
            <w:tcW w:w="1589" w:type="dxa"/>
            <w:tcBorders>
              <w:top w:val="single" w:sz="4" w:space="0" w:color="auto"/>
              <w:left w:val="single" w:sz="4" w:space="0" w:color="auto"/>
              <w:bottom w:val="single" w:sz="4" w:space="0" w:color="auto"/>
              <w:right w:val="single" w:sz="4" w:space="0" w:color="auto"/>
            </w:tcBorders>
          </w:tcPr>
          <w:p w14:paraId="0BFB1DF6" w14:textId="77777777" w:rsidR="00DA7737" w:rsidRPr="00066031" w:rsidRDefault="00DA7737" w:rsidP="00F73E3D">
            <w:pPr>
              <w:pStyle w:val="ListParagraph"/>
              <w:ind w:left="0"/>
              <w:jc w:val="center"/>
              <w:rPr>
                <w:rFonts w:asciiTheme="minorHAnsi" w:hAnsiTheme="minorHAnsi" w:cstheme="minorHAnsi"/>
                <w:sz w:val="20"/>
                <w:szCs w:val="20"/>
              </w:rPr>
            </w:pPr>
          </w:p>
          <w:p w14:paraId="3BB91606" w14:textId="77777777" w:rsidR="00DA7737" w:rsidRPr="00066031" w:rsidRDefault="00DA7737" w:rsidP="00F73E3D">
            <w:pPr>
              <w:pStyle w:val="ListParagraph"/>
              <w:ind w:left="0"/>
              <w:jc w:val="center"/>
              <w:rPr>
                <w:rFonts w:asciiTheme="minorHAnsi" w:hAnsiTheme="minorHAnsi" w:cstheme="minorHAnsi"/>
                <w:sz w:val="20"/>
                <w:szCs w:val="20"/>
              </w:rPr>
            </w:pPr>
            <w:proofErr w:type="spellStart"/>
            <w:r>
              <w:rPr>
                <w:rFonts w:asciiTheme="minorHAnsi" w:hAnsiTheme="minorHAnsi" w:cstheme="minorHAnsi"/>
                <w:sz w:val="20"/>
                <w:szCs w:val="20"/>
              </w:rPr>
              <w:t>Rewiuk</w:t>
            </w:r>
            <w:proofErr w:type="spellEnd"/>
            <w:r>
              <w:rPr>
                <w:rFonts w:asciiTheme="minorHAnsi" w:hAnsiTheme="minorHAnsi" w:cstheme="minorHAnsi"/>
                <w:sz w:val="20"/>
                <w:szCs w:val="20"/>
              </w:rPr>
              <w:t xml:space="preserve"> </w:t>
            </w:r>
            <w:r w:rsidRPr="003D135A">
              <w:rPr>
                <w:rFonts w:asciiTheme="minorHAnsi" w:hAnsiTheme="minorHAnsi" w:cstheme="minorHAnsi"/>
                <w:i/>
                <w:iCs/>
                <w:sz w:val="20"/>
                <w:szCs w:val="20"/>
              </w:rPr>
              <w:t>et al.</w:t>
            </w:r>
            <w:r>
              <w:rPr>
                <w:rFonts w:asciiTheme="minorHAnsi" w:hAnsiTheme="minorHAnsi" w:cstheme="minorHAnsi"/>
                <w:sz w:val="20"/>
                <w:szCs w:val="20"/>
              </w:rPr>
              <w:t xml:space="preserve">,2007 </w:t>
            </w:r>
            <w:r w:rsidRPr="00066031">
              <w:rPr>
                <w:rFonts w:asciiTheme="minorHAnsi" w:hAnsiTheme="minorHAnsi" w:cstheme="minorHAnsi"/>
                <w:sz w:val="20"/>
                <w:szCs w:val="20"/>
              </w:rPr>
              <w:fldChar w:fldCharType="begin" w:fldLock="1"/>
            </w:r>
            <w:r>
              <w:rPr>
                <w:rFonts w:asciiTheme="minorHAnsi" w:hAnsiTheme="minorHAnsi" w:cstheme="minorHAnsi"/>
                <w:sz w:val="20"/>
                <w:szCs w:val="20"/>
              </w:rPr>
              <w:instrText>ADDIN CSL_CITATION {"citationItems":[{"id":"ITEM-1","itemData":{"ISSN":"15074145","PMID":"18651434","abstract":"Background: Effective and safe anticoagulative therapy needs close co-operation between doctor and patient, the latter being well-informed. The aim of the study was to assess knowledge of oral anticoagulation in a group of patients with atrial fibrillation (AF) treated with acenocoumarol and to determine the relationship between knowledge and INR value. Method: The study group consisted of patients with AF who were continuously using anticoagulative therapy and who were admitted to hospital (for different reasons). The questionnaire comprised questions about their knowledge of various aspects of the treatment used. In the assessment of knowledge a numerical scale was introduced (0-9 points) and the patients were given one point for each correct answer. Results: The study group consisted of 61 patients aged 46-91 (mean 70.18). The level of knowledge of oral anticoagulation among the group of patients examined was low (the mean number of points achieved was 4.19 in the 9-point scale). Sex, education and the reason for admission had no relationship with the level of knowledge. Younger patients (4.85 ± 1.94 vs. 3.56 ± 1.86, p = 0.01) and those who had INR within the therapeutic limits at the moment of admission to the hospital (5.50 ± 1.79 vs. 3.56 ± 1.79 points, p = 0.0003) had a higher level of knowledge of the antithrombotic treatment. Conclusions: Knowledge of treatment with acenocoumarol among the patients with atrial fifibrillation using oral anticoagulation is low and inversely correlated with age. The greater the knowledge, the better is the value of INR controlled. Copyright © 2007 Via Medica.","author":[{"dropping-particle":"","family":"Rewiuk","given":"Krzysztof","non-dropping-particle":"","parse-names":false,"suffix":""},{"dropping-particle":"","family":"Bednarz","given":"Stefan","non-dropping-particle":"","parse-names":false,"suffix":""},{"dropping-particle":"","family":"Faryan","given":"Piotr","non-dropping-particle":"","parse-names":false,"suffix":""},{"dropping-particle":"","family":"Grodzicki","given":"Tomasz","non-dropping-particle":"","parse-names":false,"suffix":""}],"container-title":"Folia Cardiologica","id":"ITEM-1","issue":"1","issued":{"date-parts":[["2007"]]},"page":"44-49","title":"Knowledge of antithrombotic prophylaxis among patients with atrial fibrillation","type":"article-journal","volume":"14"},"uris":["http://www.mendeley.com/documents/?uuid=1b64f912-e695-4415-98d2-ea0fdbb8cf95"]}],"mendeley":{"formattedCitation":"(22)","plainTextFormattedCitation":"(22)","previouslyFormattedCitation":"(21)"},"properties":{"noteIndex":0},"schema":"https://github.com/citation-style-language/schema/raw/master/csl-citation.json"}</w:instrText>
            </w:r>
            <w:r w:rsidRPr="00066031">
              <w:rPr>
                <w:rFonts w:asciiTheme="minorHAnsi" w:hAnsiTheme="minorHAnsi" w:cstheme="minorHAnsi"/>
                <w:sz w:val="20"/>
                <w:szCs w:val="20"/>
              </w:rPr>
              <w:fldChar w:fldCharType="separate"/>
            </w:r>
            <w:r w:rsidRPr="00140A65">
              <w:rPr>
                <w:rFonts w:asciiTheme="minorHAnsi" w:hAnsiTheme="minorHAnsi" w:cstheme="minorHAnsi"/>
                <w:noProof/>
                <w:sz w:val="20"/>
                <w:szCs w:val="20"/>
              </w:rPr>
              <w:t>(22)</w:t>
            </w:r>
            <w:r w:rsidRPr="00066031">
              <w:rPr>
                <w:rFonts w:asciiTheme="minorHAnsi" w:hAnsiTheme="minorHAnsi"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468EABBC"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6A5F370B" w14:textId="77777777" w:rsidR="00DA7737" w:rsidRPr="00066031" w:rsidRDefault="00DA7737" w:rsidP="00F73E3D">
            <w:pPr>
              <w:pStyle w:val="ListParagraph"/>
              <w:ind w:left="0"/>
              <w:jc w:val="center"/>
              <w:rPr>
                <w:rFonts w:asciiTheme="minorHAnsi" w:hAnsiTheme="minorHAnsi" w:cstheme="minorHAnsi"/>
                <w:sz w:val="20"/>
                <w:szCs w:val="20"/>
              </w:rPr>
            </w:pPr>
          </w:p>
          <w:p w14:paraId="61CF827A"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70CD6838"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 xml:space="preserve">61 patients </w:t>
            </w:r>
          </w:p>
          <w:p w14:paraId="13242DBF" w14:textId="77777777" w:rsidR="00DA7737" w:rsidRPr="00066031" w:rsidRDefault="00DA7737" w:rsidP="00F73E3D">
            <w:pPr>
              <w:pStyle w:val="ListParagraph"/>
              <w:ind w:left="0"/>
              <w:jc w:val="center"/>
              <w:rPr>
                <w:rFonts w:asciiTheme="minorHAnsi" w:hAnsiTheme="minorHAnsi" w:cstheme="minorHAnsi"/>
                <w:sz w:val="20"/>
                <w:szCs w:val="20"/>
              </w:rPr>
            </w:pPr>
          </w:p>
          <w:p w14:paraId="6DFBC689" w14:textId="77777777" w:rsidR="00DA7737" w:rsidRPr="00066031" w:rsidRDefault="00DA7737" w:rsidP="00F73E3D">
            <w:pPr>
              <w:pStyle w:val="ListParagraph"/>
              <w:ind w:left="0"/>
              <w:jc w:val="center"/>
              <w:rPr>
                <w:rFonts w:asciiTheme="minorHAnsi" w:hAnsiTheme="minorHAnsi" w:cstheme="minorHAnsi"/>
                <w:sz w:val="20"/>
                <w:szCs w:val="20"/>
              </w:rPr>
            </w:pPr>
          </w:p>
          <w:p w14:paraId="6EFC60EA" w14:textId="77777777" w:rsidR="00DA7737" w:rsidRPr="00066031" w:rsidRDefault="00DA7737" w:rsidP="00F73E3D">
            <w:pPr>
              <w:pStyle w:val="ListParagraph"/>
              <w:ind w:left="0"/>
              <w:jc w:val="center"/>
              <w:rPr>
                <w:rFonts w:asciiTheme="minorHAnsi" w:hAnsiTheme="minorHAnsi" w:cstheme="minorHAnsi"/>
                <w:sz w:val="20"/>
                <w:szCs w:val="20"/>
              </w:rPr>
            </w:pPr>
            <w:r w:rsidRPr="00066031">
              <w:rPr>
                <w:rFonts w:asciiTheme="minorHAnsi" w:hAnsiTheme="minorHAnsi" w:cstheme="minorHAnsi"/>
                <w:sz w:val="20"/>
                <w:szCs w:val="20"/>
              </w:rPr>
              <w:t>Poland</w:t>
            </w:r>
          </w:p>
          <w:p w14:paraId="631EE79E" w14:textId="77777777" w:rsidR="00DA7737" w:rsidRPr="00066031" w:rsidRDefault="00DA7737" w:rsidP="00F73E3D">
            <w:pPr>
              <w:pStyle w:val="ListParagraph"/>
              <w:ind w:left="0"/>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33A886EB"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To assess patients’ knowledge of anticoagulation and the effect on INR control</w:t>
            </w:r>
          </w:p>
        </w:tc>
        <w:tc>
          <w:tcPr>
            <w:tcW w:w="3402" w:type="dxa"/>
            <w:tcBorders>
              <w:top w:val="single" w:sz="4" w:space="0" w:color="auto"/>
              <w:left w:val="single" w:sz="4" w:space="0" w:color="auto"/>
              <w:bottom w:val="single" w:sz="4" w:space="0" w:color="auto"/>
              <w:right w:val="single" w:sz="4" w:space="0" w:color="auto"/>
            </w:tcBorders>
          </w:tcPr>
          <w:p w14:paraId="634CBC23"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Low patient knowledge of antithrombotic prophylaxis amongst patients with AF. There was a strong correlation between patient knowledge INR control. Age and was inversely correlated with INR control</w:t>
            </w:r>
          </w:p>
        </w:tc>
        <w:tc>
          <w:tcPr>
            <w:tcW w:w="2835" w:type="dxa"/>
            <w:tcBorders>
              <w:top w:val="single" w:sz="4" w:space="0" w:color="auto"/>
              <w:left w:val="single" w:sz="4" w:space="0" w:color="auto"/>
              <w:bottom w:val="single" w:sz="4" w:space="0" w:color="auto"/>
              <w:right w:val="single" w:sz="4" w:space="0" w:color="auto"/>
            </w:tcBorders>
          </w:tcPr>
          <w:p w14:paraId="11DA7198"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This study demonstrates the importance of patient education and adequate anticoagulation.</w:t>
            </w:r>
          </w:p>
          <w:p w14:paraId="044496C2" w14:textId="77777777" w:rsidR="00DA7737" w:rsidRPr="00066031" w:rsidRDefault="00DA7737" w:rsidP="00F73E3D">
            <w:pPr>
              <w:pStyle w:val="ListParagraph"/>
              <w:ind w:left="0"/>
              <w:rPr>
                <w:rFonts w:asciiTheme="minorHAnsi" w:hAnsiTheme="minorHAnsi" w:cstheme="minorHAnsi"/>
                <w:sz w:val="20"/>
                <w:szCs w:val="20"/>
              </w:rPr>
            </w:pPr>
            <w:r w:rsidRPr="00066031">
              <w:rPr>
                <w:rFonts w:asciiTheme="minorHAnsi" w:hAnsiTheme="minorHAnsi" w:cstheme="minorHAnsi"/>
                <w:sz w:val="20"/>
                <w:szCs w:val="20"/>
              </w:rPr>
              <w:t xml:space="preserve">Limitations include low sample size, hospital recruitment risks selection bias of sicker patients with potentially lower knowledge of their medication. </w:t>
            </w:r>
          </w:p>
        </w:tc>
      </w:tr>
      <w:tr w:rsidR="00DA7737" w:rsidRPr="00066031" w14:paraId="046310F4" w14:textId="77777777" w:rsidTr="00F73E3D">
        <w:tc>
          <w:tcPr>
            <w:tcW w:w="1589" w:type="dxa"/>
            <w:tcBorders>
              <w:top w:val="single" w:sz="4" w:space="0" w:color="auto"/>
              <w:left w:val="single" w:sz="4" w:space="0" w:color="auto"/>
              <w:bottom w:val="single" w:sz="4" w:space="0" w:color="auto"/>
              <w:right w:val="single" w:sz="4" w:space="0" w:color="auto"/>
            </w:tcBorders>
          </w:tcPr>
          <w:p w14:paraId="14E8A5A8" w14:textId="77777777" w:rsidR="00DA7737" w:rsidRDefault="00DA7737" w:rsidP="00F73E3D">
            <w:pPr>
              <w:rPr>
                <w:rFonts w:asciiTheme="minorHAnsi" w:hAnsiTheme="minorHAnsi" w:cstheme="minorHAnsi"/>
                <w:sz w:val="20"/>
                <w:szCs w:val="20"/>
              </w:rPr>
            </w:pPr>
          </w:p>
          <w:p w14:paraId="3C27EAD5"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Anderson, Fuller and Dudley, 2007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{"citationItems":[{"id":"ITEM-1","itemData":{"DOI":"10.1093/qjmed/hcm016","ISBN":"9780071752541","ISSN":"14602725","PMID":"17389657","abstract":"BACKGROUND: The recently published Atrial Fibrillation (AF) Guidelines from the National Institute for Health and Clinical Excellence (NICE) highlight the importance of assessing stroke risk and using appropriate anti-thrombotic therapy. AIM: To improve understanding of physicians' behaviour and attitudes in respect to decision-making in AF and the use of anti-thrombotics. DESIGN: Semi-qualitative, questionnaire- and interview-based study. METHODS: Five clinical vignettes relating to treatment choices for AF and stroke prevention illustrating a range of risk and benefit were examined by 14 senior physicians (consultants or specialist registrars) in Cardiology, General Medicine and Geriatric Medicine, who then recommended anti-thrombotic treatment. A semi-structured interview explored their decision-making and prescribing in AF, with qualitative analysis of interview transcripts using grounded theory. RESULTS: There was marked variation in the choice of anti-thrombotic treatment. Respondents were more likely to prescribe warfarin to patients with a previous intracerebral haemorrhage than to a patient with a history of falls. A key theme on qualitative analysis revealed that decision-making in AF is often associated with uncertainty and concerns about knowledge of risk and benefit. DISCUSSION: In this study, doctors rarely agreed on the choice of anti-thrombotics in AF, and their perceptions of stroke and bleeding risk showed considerable variation. Uncertainty, doubt, concerns about knowledge and varied approach to the role of patients in decision-making are all significant themes in the considerable variability in anti-thrombotic prescribing.","author":[{"dropping-particle":"","family":"Anderson","given":"N.","non-dropping-particle":"","parse-names":false,"suffix":""},{"dropping-particle":"","family":"Fuller","given":"R.","non-dropping-particle":"","parse-names":false,"suffix":""},{"dropping-particle":"","family":"Dudley","given":"N.","non-dropping-particle":"","parse-names":false,"suffix":""}],"container-title":"Qjm","id":"ITEM-1","issue":"5","issued":{"date-parts":[["2007"]]},"page":"263-269","title":"'Rules of thumb' or reflective practice? Understanding senior physicians' decision-making about anti-thrombotic usage in atrial fibrillation","type":"article-journal","volume":"100"},"uris":["http://www.mendeley.com/documents/?uuid=be97d3e5-64de-4458-bdc6-cb8f06560a4e"]}],"mendeley":{"formattedCitation":"(23)","plainTextFormattedCitation":"(23)","previouslyFormattedCitation":"(22)"},"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(23)</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6268CE2F" w14:textId="77777777" w:rsidR="00DA7737" w:rsidRPr="00066031" w:rsidRDefault="00DA7737" w:rsidP="00F73E3D">
            <w:pPr>
              <w:rPr>
                <w:rFonts w:asciiTheme="minorHAnsi" w:hAnsiTheme="minorHAnsi" w:cstheme="minorHAnsi"/>
                <w:sz w:val="20"/>
                <w:szCs w:val="20"/>
              </w:rPr>
            </w:pPr>
            <w:r>
              <w:rPr>
                <w:rFonts w:cstheme="minorHAnsi"/>
                <w:sz w:val="20"/>
                <w:szCs w:val="20"/>
              </w:rPr>
              <w:t>Mixed methods</w:t>
            </w:r>
          </w:p>
          <w:p w14:paraId="69BAD4FC" w14:textId="77777777" w:rsidR="00DA7737" w:rsidRPr="00066031" w:rsidRDefault="00DA7737" w:rsidP="00F73E3D">
            <w:pPr>
              <w:rPr>
                <w:rFonts w:asciiTheme="minorHAnsi" w:hAnsiTheme="minorHAnsi" w:cstheme="minorHAnsi"/>
                <w:sz w:val="20"/>
                <w:szCs w:val="20"/>
              </w:rPr>
            </w:pPr>
          </w:p>
          <w:p w14:paraId="3F89C7AD" w14:textId="77777777" w:rsidR="00DA7737" w:rsidRPr="00066031" w:rsidRDefault="00DA7737" w:rsidP="00F73E3D">
            <w:pPr>
              <w:rPr>
                <w:rFonts w:asciiTheme="minorHAnsi" w:hAnsiTheme="minorHAnsi" w:cstheme="minorHAnsi"/>
                <w:sz w:val="20"/>
                <w:szCs w:val="20"/>
              </w:rPr>
            </w:pPr>
          </w:p>
          <w:p w14:paraId="23BE028E"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4B74B8B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﻿14 Senior physicians </w:t>
            </w:r>
          </w:p>
          <w:p w14:paraId="57DFD225" w14:textId="77777777" w:rsidR="00DA7737" w:rsidRPr="00066031" w:rsidRDefault="00DA7737" w:rsidP="00F73E3D">
            <w:pPr>
              <w:rPr>
                <w:rFonts w:asciiTheme="minorHAnsi" w:hAnsiTheme="minorHAnsi" w:cstheme="minorHAnsi"/>
                <w:sz w:val="20"/>
                <w:szCs w:val="20"/>
              </w:rPr>
            </w:pPr>
          </w:p>
          <w:p w14:paraId="408DCB14"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United Kingdom</w:t>
            </w:r>
          </w:p>
          <w:p w14:paraId="1AB49EDA"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1E3EC9D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understand physicians’ behaviours and attitudes toward anticoagulation for AF, examine why risks are misperceived and how clinicians cope with risk and benefit dilemmas</w:t>
            </w:r>
          </w:p>
        </w:tc>
        <w:tc>
          <w:tcPr>
            <w:tcW w:w="3402" w:type="dxa"/>
            <w:tcBorders>
              <w:top w:val="single" w:sz="4" w:space="0" w:color="auto"/>
              <w:left w:val="single" w:sz="4" w:space="0" w:color="auto"/>
              <w:bottom w:val="single" w:sz="4" w:space="0" w:color="auto"/>
              <w:right w:val="single" w:sz="4" w:space="0" w:color="auto"/>
            </w:tcBorders>
          </w:tcPr>
          <w:p w14:paraId="69D2233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Wide variation in the decision to </w:t>
            </w:r>
            <w:r>
              <w:rPr>
                <w:rFonts w:asciiTheme="minorHAnsi" w:hAnsiTheme="minorHAnsi" w:cstheme="minorHAnsi"/>
                <w:sz w:val="20"/>
                <w:szCs w:val="20"/>
              </w:rPr>
              <w:pgNum/>
            </w:r>
            <w:r>
              <w:rPr>
                <w:rFonts w:asciiTheme="minorHAnsi" w:hAnsiTheme="minorHAnsi" w:cstheme="minorHAnsi"/>
                <w:sz w:val="20"/>
                <w:szCs w:val="20"/>
              </w:rPr>
              <w:t xml:space="preserve"> </w:t>
            </w:r>
            <w:proofErr w:type="spellStart"/>
            <w:r>
              <w:rPr>
                <w:rFonts w:asciiTheme="minorHAnsi" w:hAnsiTheme="minorHAnsi" w:cstheme="minorHAnsi"/>
                <w:sz w:val="20"/>
                <w:szCs w:val="20"/>
              </w:rPr>
              <w:t>anticoagulate</w:t>
            </w:r>
            <w:proofErr w:type="spellEnd"/>
            <w:r>
              <w:rPr>
                <w:rFonts w:asciiTheme="minorHAnsi" w:hAnsiTheme="minorHAnsi" w:cstheme="minorHAnsi"/>
                <w:sz w:val="20"/>
                <w:szCs w:val="20"/>
              </w:rPr>
              <w:t xml:space="preserve">. </w:t>
            </w:r>
            <w:r w:rsidRPr="00066031">
              <w:rPr>
                <w:rFonts w:asciiTheme="minorHAnsi" w:hAnsiTheme="minorHAnsi" w:cstheme="minorHAnsi"/>
                <w:sz w:val="20"/>
                <w:szCs w:val="20"/>
              </w:rPr>
              <w:t>Physicians remained uncertain and concerned about knowledge of risk and benefit.</w:t>
            </w:r>
          </w:p>
        </w:tc>
        <w:tc>
          <w:tcPr>
            <w:tcW w:w="2835" w:type="dxa"/>
            <w:tcBorders>
              <w:top w:val="single" w:sz="4" w:space="0" w:color="auto"/>
              <w:left w:val="single" w:sz="4" w:space="0" w:color="auto"/>
              <w:bottom w:val="single" w:sz="4" w:space="0" w:color="auto"/>
            </w:tcBorders>
          </w:tcPr>
          <w:p w14:paraId="3D9E7E6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The use of vignettes limits the information available to physicians in a real</w:t>
            </w:r>
            <w:r>
              <w:rPr>
                <w:rFonts w:asciiTheme="minorHAnsi" w:hAnsiTheme="minorHAnsi" w:cstheme="minorHAnsi"/>
                <w:sz w:val="20"/>
                <w:szCs w:val="20"/>
              </w:rPr>
              <w:t>-</w:t>
            </w:r>
            <w:r w:rsidRPr="00066031">
              <w:rPr>
                <w:rFonts w:asciiTheme="minorHAnsi" w:hAnsiTheme="minorHAnsi" w:cstheme="minorHAnsi"/>
                <w:sz w:val="20"/>
                <w:szCs w:val="20"/>
              </w:rPr>
              <w:t>life situation when making treatment decisions.</w:t>
            </w:r>
            <w:r>
              <w:rPr>
                <w:rFonts w:asciiTheme="minorHAnsi" w:hAnsiTheme="minorHAnsi" w:cstheme="minorHAnsi"/>
                <w:sz w:val="20"/>
                <w:szCs w:val="20"/>
              </w:rPr>
              <w:t xml:space="preserve"> </w:t>
            </w:r>
            <w:r w:rsidRPr="00066031">
              <w:rPr>
                <w:rFonts w:asciiTheme="minorHAnsi" w:hAnsiTheme="minorHAnsi" w:cstheme="minorHAnsi"/>
                <w:sz w:val="20"/>
                <w:szCs w:val="20"/>
              </w:rPr>
              <w:t xml:space="preserve">Pre-dates DOACs, comparing warfarin vs. aspirin for stroke prevention </w:t>
            </w:r>
          </w:p>
        </w:tc>
      </w:tr>
      <w:tr w:rsidR="00DA7737" w:rsidRPr="00066031" w14:paraId="04823716" w14:textId="77777777" w:rsidTr="00F73E3D">
        <w:tc>
          <w:tcPr>
            <w:tcW w:w="1589" w:type="dxa"/>
            <w:tcBorders>
              <w:top w:val="single" w:sz="4" w:space="0" w:color="auto"/>
              <w:left w:val="single" w:sz="4" w:space="0" w:color="auto"/>
              <w:bottom w:val="single" w:sz="4" w:space="0" w:color="auto"/>
              <w:right w:val="single" w:sz="4" w:space="0" w:color="auto"/>
            </w:tcBorders>
          </w:tcPr>
          <w:p w14:paraId="678E1F94" w14:textId="77777777" w:rsidR="00DA7737" w:rsidRDefault="00DA7737" w:rsidP="00F73E3D">
            <w:pPr>
              <w:rPr>
                <w:rFonts w:asciiTheme="minorHAnsi" w:hAnsiTheme="minorHAnsi" w:cstheme="minorHAnsi"/>
                <w:sz w:val="20"/>
                <w:szCs w:val="20"/>
              </w:rPr>
            </w:pPr>
          </w:p>
          <w:p w14:paraId="525E60C8"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Bajorek</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.,2007 </w:t>
            </w:r>
            <w:r>
              <w:rPr>
                <w:rFonts w:cstheme="minorHAnsi"/>
                <w:sz w:val="20"/>
                <w:szCs w:val="20"/>
              </w:rPr>
              <w:fldChar w:fldCharType="begin" w:fldLock="1"/>
            </w:r>
            <w:r>
              <w:rPr>
                <w:rFonts w:asciiTheme="minorHAnsi" w:hAnsiTheme="minorHAnsi" w:cstheme="minorHAnsi"/>
                <w:sz w:val="20"/>
                <w:szCs w:val="20"/>
              </w:rPr>
              <w:instrText>ADDIN CSL_CITATION {"citationItems":[{"id":"ITEM-1","itemData":{"ISSN":"0025-729X (Print)","PMID":"17309417","abstract":"OBJECTIVE: To identify the views of health professionals, patients and their carers on strategies to improve the use and management of warfarin in older patients with atrial fibrillation. DESIGN: Qualitative study based on analysis of group interviews. SETTING: A major metropolitan teaching hospital, from 1 March to 30 April 2003. PARTICIPANTS: 14 patients (&gt;/= 65 years) with established atrial fibrillation and taking warfarin, three carers, 12 specialists, eight general practitioners, six community pharmacists, nine hospital pharmacists, and 11 nurses volunteered in response to flyers promoting the study. RESULTS: Suggested strategies to improve warfarin management targeted support services for GPs and patients. Hospital-based clinicians felt that dissemination of trial evidence to GPs to support treatment recommendations is required, and that GPs need to enlist allied health professionals in the management of patients taking warfarin. GPs preferred access to practical advice from expert colleagues on the day-to-day management. Patients requested more information about warfarin therapy, as access to information is inadequate, particularly from primary sources (GPs, community pharmacists). Verbal and written information are equally important, but a single counselling session or supply of a booklet was viewed as inadequate. Participants identified various interventions for all levels of warfarin management; from the collective input, a framework for management strategies was developed. CONCLUSIONS: Health professionals and patients require more customised information to support warfarin use and management.","author":[{"dropping-particle":"V","family":"Bajorek","given":"Beata","non-dropping-particle":"","parse-names":false,"suffix":""},{"dropping-particle":"","family":"Ogle","given":"Susan J","non-dropping-particle":"","parse-names":false,"suffix":""},{"dropping-particle":"","family":"Duguid","given":"Margaret J","non-dropping-particle":"","parse-names":false,"suffix":""},{"dropping-particle":"","family":"Shenfield","given":"Gillian M","non-dropping-particle":"","parse-names":false,"suffix":""},{"dropping-particle":"","family":"Krass","given":"Ines","non-dropping-particle":"","parse-names":false,"suffix":""}],"container-title":"The Medical journal of Australia","id":"ITEM-1","issue":"4","issued":{"date-parts":[["2007"]]},"page":"175-180","title":"Management of warfarin in atrial fibrillation: views of health professionals, older patients and their carers.","type":"article-journal","volume":"186"},"uris":["http://www.mendeley.com/documents/?uuid=df5054b9-9fae-4954-b760-20888299cd5f"]}],"mendeley":{"formattedCitation":"(24)","plainTextFormattedCitation":"(24)","previouslyFormattedCitation":"(23)"},"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(24)</w:t>
            </w:r>
            <w:r>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9B3C7B4" w14:textId="77777777" w:rsidR="00DA7737" w:rsidRDefault="00DA7737" w:rsidP="00F73E3D">
            <w:pPr>
              <w:rPr>
                <w:rFonts w:cstheme="minorHAnsi"/>
                <w:sz w:val="20"/>
                <w:szCs w:val="20"/>
              </w:rPr>
            </w:pPr>
            <w:r>
              <w:rPr>
                <w:rFonts w:cstheme="minorHAnsi"/>
                <w:sz w:val="20"/>
                <w:szCs w:val="20"/>
              </w:rPr>
              <w:t>Qualitative</w:t>
            </w:r>
          </w:p>
        </w:tc>
        <w:tc>
          <w:tcPr>
            <w:tcW w:w="1444" w:type="dxa"/>
            <w:tcBorders>
              <w:top w:val="single" w:sz="4" w:space="0" w:color="auto"/>
              <w:left w:val="single" w:sz="4" w:space="0" w:color="auto"/>
              <w:bottom w:val="single" w:sz="4" w:space="0" w:color="auto"/>
              <w:right w:val="single" w:sz="4" w:space="0" w:color="auto"/>
            </w:tcBorders>
          </w:tcPr>
          <w:p w14:paraId="5100FF35"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63 patients and health professionals</w:t>
            </w:r>
          </w:p>
          <w:p w14:paraId="2E4B84A6" w14:textId="77777777" w:rsidR="00DA7737" w:rsidRDefault="00DA7737" w:rsidP="00F73E3D">
            <w:pPr>
              <w:rPr>
                <w:rFonts w:asciiTheme="minorHAnsi" w:hAnsiTheme="minorHAnsi" w:cstheme="minorHAnsi"/>
                <w:sz w:val="20"/>
                <w:szCs w:val="20"/>
              </w:rPr>
            </w:pPr>
          </w:p>
          <w:p w14:paraId="222C9977"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Australia</w:t>
            </w:r>
          </w:p>
          <w:p w14:paraId="240836CF"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6A2B6F19"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To explore the views and attitudes of healthcare professionals, patients and carers on warfarin management</w:t>
            </w:r>
          </w:p>
        </w:tc>
        <w:tc>
          <w:tcPr>
            <w:tcW w:w="3402" w:type="dxa"/>
            <w:tcBorders>
              <w:top w:val="single" w:sz="4" w:space="0" w:color="auto"/>
              <w:left w:val="single" w:sz="4" w:space="0" w:color="auto"/>
              <w:bottom w:val="single" w:sz="4" w:space="0" w:color="auto"/>
              <w:right w:val="single" w:sz="4" w:space="0" w:color="auto"/>
            </w:tcBorders>
          </w:tcPr>
          <w:p w14:paraId="1F52125D"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All participants groups reported a lack of information and targeted patient communication to support decisions and ongoing management. </w:t>
            </w:r>
          </w:p>
        </w:tc>
        <w:tc>
          <w:tcPr>
            <w:tcW w:w="2835" w:type="dxa"/>
            <w:tcBorders>
              <w:top w:val="single" w:sz="4" w:space="0" w:color="auto"/>
              <w:left w:val="single" w:sz="4" w:space="0" w:color="auto"/>
              <w:bottom w:val="single" w:sz="4" w:space="0" w:color="auto"/>
            </w:tcBorders>
          </w:tcPr>
          <w:p w14:paraId="2A972C10"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Good range of participants encompassing hospital doctors, GPs, nurses, patients and carers</w:t>
            </w:r>
          </w:p>
        </w:tc>
      </w:tr>
      <w:tr w:rsidR="00DA7737" w:rsidRPr="00066031" w14:paraId="262DE438" w14:textId="77777777" w:rsidTr="00F73E3D">
        <w:tc>
          <w:tcPr>
            <w:tcW w:w="1589" w:type="dxa"/>
            <w:tcBorders>
              <w:top w:val="single" w:sz="4" w:space="0" w:color="auto"/>
              <w:left w:val="single" w:sz="4" w:space="0" w:color="auto"/>
              <w:bottom w:val="single" w:sz="4" w:space="0" w:color="auto"/>
              <w:right w:val="single" w:sz="4" w:space="0" w:color="auto"/>
            </w:tcBorders>
          </w:tcPr>
          <w:p w14:paraId="1287EF3B" w14:textId="77777777" w:rsidR="00DA7737"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Bajorek</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2009 </w:t>
            </w:r>
            <w:r>
              <w:rPr>
                <w:rFonts w:cstheme="minorHAnsi"/>
                <w:sz w:val="20"/>
                <w:szCs w:val="20"/>
              </w:rPr>
              <w:fldChar w:fldCharType="begin" w:fldLock="1"/>
            </w:r>
            <w:r>
              <w:rPr>
                <w:rFonts w:asciiTheme="minorHAnsi" w:hAnsiTheme="minorHAnsi" w:cstheme="minorHAnsi"/>
                <w:sz w:val="20"/>
                <w:szCs w:val="20"/>
              </w:rPr>
              <w:instrText>ADDIN CSL_CITATION {"citationItems":[{"id":"ITEM-1","itemData":{"DOI":"10.4321/S1886-36552009000200008","ISBN":"1886365520","ISSN":"18863655","PMID":"25152787","abstract":"Warfarin theraphy is underused in the target at-risk elderly population. Clinicians perceive that older patients are reluctant to use this theraphy, however the perspective of patients or their carers has yet to be explored. Objective: To explore in-depth the perspectives of elderly patients and/ or their carers regarding the use of warfarin therapy. Method: A qualitative study, using semi-structured group interviews was undertaken. The audio-taped discussions were transcribed verbatim, then thematically analysed to identify emergent themes. Group discussions were conducted at a major Sydney teaching hospital, over a 2-month period. Individuals aged 65 years or older (and/or their carers) who were using long-term (6 months) warfarin therapy were recruited by voluntary response to study flyers. Results: 17 patients and carers (mean age 77.2 SD=7.5 years) participated in one of two focus groups. Five core themes emerged regarding warfarin therapy: inadequate knowledge and understanding about it, patients/carers variable experience of information provision, cycle of reactions to being on it, issues in its practical management, and the spectrum of experiences with it. Overall, participants were very accepting of the therapy, describing a high level of compliance, despite initial fears and anxieties, and a relative lack of knowledge. Patients felt somewhat abandoned in their management of warfarin due to the lack of ongoing support services in the community, and inadequate information provision. Conclusions: Elderly patients and their carers appear to be quite accepting of warfarin therapy, in contrast to the perceptions of health care professionals. More effort is needed, however, in terms of information provision, particularly in the form of community-based services, to assist patients in the long-term management of warfarin.","author":[{"dropping-particle":"V.","family":"Bajorek","given":"Beata","non-dropping-particle":"","parse-names":false,"suffix":""},{"dropping-particle":"","family":"Ogle","given":"Susan J.","non-dropping-particle":"","parse-names":false,"suffix":""},{"dropping-particle":"","family":"Duguid","given":"Margaret J.","non-dropping-particle":"","parse-names":false,"suffix":""},{"dropping-particle":"","family":"Shenfield","given":"Gillian M.","non-dropping-particle":"","parse-names":false,"suffix":""},{"dropping-particle":"","family":"Krass","given":"Ines","non-dropping-particle":"","parse-names":false,"suffix":""}],"container-title":"Pharmacy Practice","id":"ITEM-1","issue":"2","issued":{"date-parts":[["2009"]]},"page":"113-123","title":"Balancing risk versus benefit: The elderly patient's perspective on warfarin therapy","type":"article-journal","volume":"7"},"uris":["http://www.mendeley.com/documents/?uuid=6e51024d-6a31-44d9-b184-0d22a74fcbaa"]}],"mendeley":{"formattedCitation":"(25)","plainTextFormattedCitation":"(25)","previouslyFormattedCitation":"(24)"},"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(25)</w:t>
            </w:r>
            <w:r>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3F172AB" w14:textId="77777777" w:rsidR="00DA7737" w:rsidRDefault="00DA7737" w:rsidP="00F73E3D">
            <w:pPr>
              <w:rPr>
                <w:rFonts w:cstheme="minorHAnsi"/>
                <w:sz w:val="20"/>
                <w:szCs w:val="20"/>
              </w:rPr>
            </w:pPr>
            <w:r>
              <w:rPr>
                <w:rFonts w:cstheme="minorHAnsi"/>
                <w:sz w:val="20"/>
                <w:szCs w:val="20"/>
              </w:rPr>
              <w:t>Qualitative</w:t>
            </w:r>
          </w:p>
        </w:tc>
        <w:tc>
          <w:tcPr>
            <w:tcW w:w="1444" w:type="dxa"/>
            <w:tcBorders>
              <w:top w:val="single" w:sz="4" w:space="0" w:color="auto"/>
              <w:left w:val="single" w:sz="4" w:space="0" w:color="auto"/>
              <w:bottom w:val="single" w:sz="4" w:space="0" w:color="auto"/>
              <w:right w:val="single" w:sz="4" w:space="0" w:color="auto"/>
            </w:tcBorders>
          </w:tcPr>
          <w:p w14:paraId="60C8C17E"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17 patients and carers</w:t>
            </w:r>
          </w:p>
          <w:p w14:paraId="10B3E188" w14:textId="77777777" w:rsidR="00DA7737" w:rsidRDefault="00DA7737" w:rsidP="00F73E3D">
            <w:pPr>
              <w:rPr>
                <w:rFonts w:asciiTheme="minorHAnsi" w:hAnsiTheme="minorHAnsi" w:cstheme="minorHAnsi"/>
                <w:sz w:val="20"/>
                <w:szCs w:val="20"/>
              </w:rPr>
            </w:pPr>
          </w:p>
          <w:p w14:paraId="5FDFE151"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Australia</w:t>
            </w:r>
          </w:p>
        </w:tc>
        <w:tc>
          <w:tcPr>
            <w:tcW w:w="3114" w:type="dxa"/>
            <w:tcBorders>
              <w:top w:val="single" w:sz="4" w:space="0" w:color="auto"/>
              <w:left w:val="single" w:sz="4" w:space="0" w:color="auto"/>
              <w:bottom w:val="single" w:sz="4" w:space="0" w:color="auto"/>
              <w:right w:val="single" w:sz="4" w:space="0" w:color="auto"/>
            </w:tcBorders>
          </w:tcPr>
          <w:p w14:paraId="2AD3C222"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 xml:space="preserve">To explore the perspectives of elderly patients and/ or their carers </w:t>
            </w:r>
            <w:r>
              <w:rPr>
                <w:rFonts w:asciiTheme="minorHAnsi" w:hAnsiTheme="minorHAnsi" w:cstheme="minorHAnsi"/>
                <w:sz w:val="20"/>
                <w:szCs w:val="20"/>
              </w:rPr>
              <w:lastRenderedPageBreak/>
              <w:t>regarding the use of warfarin therapy</w:t>
            </w:r>
          </w:p>
        </w:tc>
        <w:tc>
          <w:tcPr>
            <w:tcW w:w="3402" w:type="dxa"/>
            <w:tcBorders>
              <w:top w:val="single" w:sz="4" w:space="0" w:color="auto"/>
              <w:left w:val="single" w:sz="4" w:space="0" w:color="auto"/>
              <w:bottom w:val="single" w:sz="4" w:space="0" w:color="auto"/>
              <w:right w:val="single" w:sz="4" w:space="0" w:color="auto"/>
            </w:tcBorders>
          </w:tcPr>
          <w:p w14:paraId="18CB66CC"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 xml:space="preserve">Participants expressed having poor understanding and information regarding warfarin therapy. Anxiety </w:t>
            </w:r>
            <w:r>
              <w:rPr>
                <w:rFonts w:asciiTheme="minorHAnsi" w:hAnsiTheme="minorHAnsi" w:cstheme="minorHAnsi"/>
                <w:sz w:val="20"/>
                <w:szCs w:val="20"/>
              </w:rPr>
              <w:lastRenderedPageBreak/>
              <w:t>and complexities of warfarin therapy were also a concern.</w:t>
            </w:r>
          </w:p>
        </w:tc>
        <w:tc>
          <w:tcPr>
            <w:tcW w:w="2835" w:type="dxa"/>
            <w:tcBorders>
              <w:top w:val="single" w:sz="4" w:space="0" w:color="auto"/>
              <w:left w:val="single" w:sz="4" w:space="0" w:color="auto"/>
              <w:bottom w:val="single" w:sz="4" w:space="0" w:color="auto"/>
            </w:tcBorders>
          </w:tcPr>
          <w:p w14:paraId="4E336EC9"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 xml:space="preserve">Elderly patients tend to be more accepting of warfarin therapy in contrast to the </w:t>
            </w:r>
            <w:r>
              <w:rPr>
                <w:rFonts w:asciiTheme="minorHAnsi" w:hAnsiTheme="minorHAnsi" w:cstheme="minorHAnsi"/>
                <w:sz w:val="20"/>
                <w:szCs w:val="20"/>
              </w:rPr>
              <w:lastRenderedPageBreak/>
              <w:t>perceptions of health care professionals.</w:t>
            </w:r>
          </w:p>
        </w:tc>
      </w:tr>
      <w:tr w:rsidR="00DA7737" w:rsidRPr="00066031" w14:paraId="02E8D901" w14:textId="77777777" w:rsidTr="00F73E3D">
        <w:tc>
          <w:tcPr>
            <w:tcW w:w="1589" w:type="dxa"/>
            <w:tcBorders>
              <w:top w:val="single" w:sz="4" w:space="0" w:color="auto"/>
              <w:left w:val="single" w:sz="4" w:space="0" w:color="auto"/>
              <w:bottom w:val="single" w:sz="4" w:space="0" w:color="auto"/>
              <w:right w:val="single" w:sz="4" w:space="0" w:color="auto"/>
            </w:tcBorders>
          </w:tcPr>
          <w:p w14:paraId="499911F5"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lastRenderedPageBreak/>
              <w:t xml:space="preserve">Arts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2013 </w:t>
            </w:r>
            <w:r>
              <w:rPr>
                <w:rFonts w:cstheme="minorHAnsi"/>
                <w:sz w:val="20"/>
                <w:szCs w:val="20"/>
              </w:rPr>
              <w:fldChar w:fldCharType="begin" w:fldLock="1"/>
            </w:r>
            <w:r>
              <w:rPr>
                <w:rFonts w:asciiTheme="minorHAnsi" w:hAnsiTheme="minorHAnsi" w:cstheme="minorHAnsi"/>
                <w:sz w:val="20"/>
                <w:szCs w:val="20"/>
              </w:rPr>
              <w:instrText>ADDIN CSL_CITATION {"citationItems":[{"id":"ITEM-1","itemData":{"DOI":"10.1371/journal.pone.0067806","author":[{"dropping-particle":"","family":"Arts","given":"D L","non-dropping-particle":"","parse-names":false,"suffix":""},{"dropping-particle":"","family":"Visscher","given":"S","non-dropping-particle":"","parse-names":false,"suffix":""},{"dropping-particle":"","family":"Opstelten","given":"W","non-dropping-particle":"","parse-names":false,"suffix":""},{"dropping-particle":"","family":"Korevaar","given":"J C","non-dropping-particle":"","parse-names":false,"suffix":""},{"dropping-particle":"","family":"Abu-Hanna","given":"A","non-dropping-particle":"","parse-names":false,"suffix":""},{"dropping-particle":"","family":"Weert","given":"H.C.P.M.","non-dropping-particle":"van","parse-names":false,"suffix":""}],"container-title":"PLoS ONE","id":"ITEM-1","issue":"7","issued":{"date-parts":[["2013"]]},"note":"Cited By :12\n\nExport Date: 6 February 2018","title":"Frequency and Risk Factors for Under- and Over-Treatment in Stroke Prevention for Patients with Non-Valvular Atrial Fibrillation in General Practice","type":"article-journal","volume":"8"},"uris":["http://www.mendeley.com/documents/?uuid=41e229d3-a845-4551-b673-d0990fb98e4a"]}],"mendeley":{"formattedCitation":"(26)","plainTextFormattedCitation":"(26)","previouslyFormattedCitation":"(25)"},"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(26)</w:t>
            </w:r>
            <w:r>
              <w:rPr>
                <w:rFonts w:cstheme="minorHAnsi"/>
                <w:sz w:val="20"/>
                <w:szCs w:val="20"/>
              </w:rPr>
              <w:fldChar w:fldCharType="end"/>
            </w:r>
          </w:p>
          <w:p w14:paraId="1052C723" w14:textId="77777777" w:rsidR="00DA7737" w:rsidRPr="00066031" w:rsidRDefault="00DA7737" w:rsidP="00F73E3D">
            <w:pPr>
              <w:jc w:val="center"/>
              <w:rPr>
                <w:rFonts w:asciiTheme="minorHAnsi" w:hAnsiTheme="minorHAnsi" w:cstheme="minorHAnsi"/>
                <w:sz w:val="20"/>
                <w:szCs w:val="20"/>
              </w:rPr>
            </w:pPr>
          </w:p>
        </w:tc>
        <w:tc>
          <w:tcPr>
            <w:tcW w:w="1503" w:type="dxa"/>
            <w:tcBorders>
              <w:top w:val="single" w:sz="4" w:space="0" w:color="auto"/>
              <w:left w:val="single" w:sz="4" w:space="0" w:color="auto"/>
              <w:bottom w:val="single" w:sz="4" w:space="0" w:color="auto"/>
              <w:right w:val="single" w:sz="4" w:space="0" w:color="auto"/>
            </w:tcBorders>
          </w:tcPr>
          <w:p w14:paraId="52AE491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03375DEA" w14:textId="77777777" w:rsidR="00DA7737" w:rsidRPr="00066031" w:rsidRDefault="00DA7737" w:rsidP="00F73E3D">
            <w:pPr>
              <w:rPr>
                <w:rFonts w:asciiTheme="minorHAnsi" w:hAnsiTheme="minorHAnsi" w:cstheme="minorHAnsi"/>
                <w:sz w:val="20"/>
                <w:szCs w:val="20"/>
              </w:rPr>
            </w:pPr>
          </w:p>
          <w:p w14:paraId="7E1A89F5" w14:textId="77777777" w:rsidR="00DA7737" w:rsidRPr="00066031" w:rsidRDefault="00DA7737" w:rsidP="00F73E3D">
            <w:pPr>
              <w:rPr>
                <w:rFonts w:asciiTheme="minorHAnsi" w:hAnsiTheme="minorHAnsi" w:cstheme="minorHAnsi"/>
                <w:sz w:val="20"/>
                <w:szCs w:val="20"/>
              </w:rPr>
            </w:pPr>
          </w:p>
          <w:p w14:paraId="5B2B85CC"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2FB8D560"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 xml:space="preserve">981 patients </w:t>
            </w:r>
          </w:p>
          <w:p w14:paraId="60DE9DCA"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36 general practitioners</w:t>
            </w:r>
          </w:p>
          <w:p w14:paraId="57582706" w14:textId="77777777" w:rsidR="00DA7737" w:rsidRPr="00066031" w:rsidRDefault="00DA7737" w:rsidP="00F73E3D">
            <w:pPr>
              <w:rPr>
                <w:rFonts w:asciiTheme="minorHAnsi" w:hAnsiTheme="minorHAnsi" w:cstheme="minorHAnsi"/>
                <w:sz w:val="20"/>
                <w:szCs w:val="20"/>
              </w:rPr>
            </w:pPr>
          </w:p>
          <w:p w14:paraId="6BDDE672" w14:textId="77777777" w:rsidR="00DA7737" w:rsidRPr="00066031" w:rsidRDefault="00DA7737" w:rsidP="00F73E3D">
            <w:pPr>
              <w:rPr>
                <w:rFonts w:asciiTheme="minorHAnsi" w:hAnsiTheme="minorHAnsi" w:cstheme="minorHAnsi"/>
                <w:sz w:val="20"/>
                <w:szCs w:val="20"/>
              </w:rPr>
            </w:pPr>
          </w:p>
          <w:p w14:paraId="3ADE9861" w14:textId="77777777" w:rsidR="00DA7737" w:rsidRPr="00066031" w:rsidRDefault="00DA7737" w:rsidP="00F73E3D">
            <w:pPr>
              <w:rPr>
                <w:rFonts w:asciiTheme="minorHAnsi" w:hAnsiTheme="minorHAnsi" w:cstheme="minorHAnsi"/>
                <w:sz w:val="20"/>
                <w:szCs w:val="20"/>
              </w:rPr>
            </w:pPr>
          </w:p>
          <w:p w14:paraId="0888898C"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Netherlands</w:t>
            </w:r>
          </w:p>
          <w:p w14:paraId="79117E32"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2F23492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determine adequacy of antithrombotic treatment in patients with non-valvular atrial fibrillation. To determine risk factors for under- and over-treatment. Design:</w:t>
            </w:r>
          </w:p>
        </w:tc>
        <w:tc>
          <w:tcPr>
            <w:tcW w:w="3402" w:type="dxa"/>
            <w:tcBorders>
              <w:top w:val="single" w:sz="4" w:space="0" w:color="auto"/>
              <w:left w:val="single" w:sz="4" w:space="0" w:color="auto"/>
              <w:bottom w:val="single" w:sz="4" w:space="0" w:color="auto"/>
              <w:right w:val="single" w:sz="4" w:space="0" w:color="auto"/>
            </w:tcBorders>
          </w:tcPr>
          <w:p w14:paraId="77BA939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﻿The majority (59%) had a CHADS2 score </w:t>
            </w:r>
            <w:r w:rsidRPr="00066031">
              <w:rPr>
                <w:rFonts w:asciiTheme="minorHAnsi" w:hAnsiTheme="minorHAnsi" w:cstheme="minorHAnsi"/>
                <w:sz w:val="20"/>
                <w:szCs w:val="20"/>
              </w:rPr>
              <w:sym w:font="Symbol" w:char="F0B3"/>
            </w:r>
            <w:r w:rsidRPr="00066031">
              <w:rPr>
                <w:rFonts w:asciiTheme="minorHAnsi" w:hAnsiTheme="minorHAnsi" w:cstheme="minorHAnsi"/>
                <w:sz w:val="20"/>
                <w:szCs w:val="20"/>
              </w:rPr>
              <w:t xml:space="preserve">2 and 69% were treated with </w:t>
            </w:r>
            <w:proofErr w:type="gramStart"/>
            <w:r w:rsidRPr="00066031">
              <w:rPr>
                <w:rFonts w:asciiTheme="minorHAnsi" w:hAnsiTheme="minorHAnsi" w:cstheme="minorHAnsi"/>
                <w:sz w:val="20"/>
                <w:szCs w:val="20"/>
              </w:rPr>
              <w:t>OAC .</w:t>
            </w:r>
            <w:proofErr w:type="gramEnd"/>
            <w:r w:rsidRPr="00066031">
              <w:rPr>
                <w:rFonts w:asciiTheme="minorHAnsi" w:hAnsiTheme="minorHAnsi" w:cstheme="minorHAnsi"/>
                <w:sz w:val="20"/>
                <w:szCs w:val="20"/>
              </w:rPr>
              <w:t xml:space="preserve"> More than 16% of all included patients had one or more contraindications for OAC use. One or more comorbidities were present in 81% of patients, with hypertension being the most prevalent (57%</w:t>
            </w:r>
            <w:proofErr w:type="gramStart"/>
            <w:r w:rsidRPr="00066031">
              <w:rPr>
                <w:rFonts w:asciiTheme="minorHAnsi" w:hAnsiTheme="minorHAnsi" w:cstheme="minorHAnsi"/>
                <w:sz w:val="20"/>
                <w:szCs w:val="20"/>
              </w:rPr>
              <w:t>) .</w:t>
            </w:r>
            <w:proofErr w:type="gramEnd"/>
          </w:p>
        </w:tc>
        <w:tc>
          <w:tcPr>
            <w:tcW w:w="2835" w:type="dxa"/>
            <w:tcBorders>
              <w:top w:val="single" w:sz="4" w:space="0" w:color="auto"/>
              <w:left w:val="single" w:sz="4" w:space="0" w:color="auto"/>
              <w:bottom w:val="single" w:sz="4" w:space="0" w:color="auto"/>
            </w:tcBorders>
          </w:tcPr>
          <w:p w14:paraId="4BBDF98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The study was done in 2008 when CHADS</w:t>
            </w:r>
            <w:r w:rsidRPr="00066031">
              <w:rPr>
                <w:rFonts w:asciiTheme="minorHAnsi" w:hAnsiTheme="minorHAnsi" w:cstheme="minorHAnsi"/>
                <w:sz w:val="20"/>
                <w:szCs w:val="20"/>
                <w:vertAlign w:val="subscript"/>
              </w:rPr>
              <w:t>2</w:t>
            </w:r>
            <w:r w:rsidRPr="00066031">
              <w:rPr>
                <w:rFonts w:asciiTheme="minorHAnsi" w:hAnsiTheme="minorHAnsi" w:cstheme="minorHAnsi"/>
                <w:sz w:val="20"/>
                <w:szCs w:val="20"/>
              </w:rPr>
              <w:t xml:space="preserve"> was used to assess stroke risk. It is likely that more patients may have been classified as undertreated if the current CHAD</w:t>
            </w:r>
            <w:r w:rsidRPr="00066031">
              <w:rPr>
                <w:rFonts w:asciiTheme="minorHAnsi" w:hAnsiTheme="minorHAnsi" w:cstheme="minorHAnsi"/>
                <w:sz w:val="20"/>
                <w:szCs w:val="20"/>
                <w:vertAlign w:val="subscript"/>
              </w:rPr>
              <w:t>2</w:t>
            </w:r>
            <w:r w:rsidRPr="00066031">
              <w:rPr>
                <w:rFonts w:asciiTheme="minorHAnsi" w:hAnsiTheme="minorHAnsi" w:cstheme="minorHAnsi"/>
                <w:sz w:val="20"/>
                <w:szCs w:val="20"/>
              </w:rPr>
              <w:t>VAS</w:t>
            </w:r>
            <w:r w:rsidRPr="00066031">
              <w:rPr>
                <w:rFonts w:asciiTheme="minorHAnsi" w:hAnsiTheme="minorHAnsi" w:cstheme="minorHAnsi"/>
                <w:sz w:val="20"/>
                <w:szCs w:val="20"/>
                <w:vertAlign w:val="subscript"/>
              </w:rPr>
              <w:t>2</w:t>
            </w:r>
            <w:r w:rsidRPr="00066031">
              <w:rPr>
                <w:rFonts w:asciiTheme="minorHAnsi" w:hAnsiTheme="minorHAnsi" w:cstheme="minorHAnsi"/>
                <w:sz w:val="20"/>
                <w:szCs w:val="20"/>
              </w:rPr>
              <w:t>C stroke risk calculator was used in assessment.</w:t>
            </w:r>
          </w:p>
          <w:p w14:paraId="521B7874"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Retrospective nature of the study introduces bias and difficulty in assessing the rationale behind the clinical judgement at the time</w:t>
            </w:r>
          </w:p>
        </w:tc>
      </w:tr>
      <w:tr w:rsidR="00DA7737" w:rsidRPr="00066031" w14:paraId="1560BFF8" w14:textId="77777777" w:rsidTr="00F73E3D">
        <w:tc>
          <w:tcPr>
            <w:tcW w:w="1589" w:type="dxa"/>
            <w:tcBorders>
              <w:top w:val="single" w:sz="4" w:space="0" w:color="auto"/>
              <w:left w:val="single" w:sz="4" w:space="0" w:color="auto"/>
              <w:bottom w:val="single" w:sz="4" w:space="0" w:color="auto"/>
              <w:right w:val="single" w:sz="4" w:space="0" w:color="auto"/>
            </w:tcBorders>
          </w:tcPr>
          <w:p w14:paraId="39D9AD31" w14:textId="77777777" w:rsidR="00DA7737" w:rsidRDefault="00DA7737" w:rsidP="00F73E3D">
            <w:pPr>
              <w:rPr>
                <w:rFonts w:asciiTheme="minorHAnsi" w:hAnsiTheme="minorHAnsi" w:cstheme="minorHAnsi"/>
                <w:sz w:val="20"/>
                <w:szCs w:val="20"/>
              </w:rPr>
            </w:pPr>
          </w:p>
          <w:p w14:paraId="6ED6029F"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Armbruster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2014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{"citationItems":[{"id":"ITEM-1","itemData":{"author":[{"dropping-particle":"","family":"Armbruster","given":"A L","non-dropping-particle":"","parse-names":false,"suffix":""},{"dropping-particle":"","family":"Buehler","given":"K S","non-dropping-particle":"","parse-names":false,"suffix":""},{"dropping-particle":"","family":"Min","given":"S H","non-dropping-particle":"","parse-names":false,"suffix":""},{"dropping-particle":"","family":"Riley","given":"M","non-dropping-particle":"","parse-names":false,"suffix":""},{"dropping-particle":"","family":"Daly","given":"M W","non-dropping-particle":"","parse-names":false,"suffix":""}],"container-title":"American Health and Drug Benefits","id":"ITEM-1","issue":"7","issued":{"date-parts":[["2014"]]},"note":"Cited By :7\n\nExport Date: 6 February 2018","page":"376-384","title":"Evaluation of dabigatran for appropriateness of use and bleeding events in a community hospital setting","type":"article-journal","volume":"7"},"uris":["http://www.mendeley.com/documents/?uuid=2153cebd-dd69-49cd-b158-78bb2ce2e393"]}],"mendeley":{"formattedCitation":"(27)","plainTextFormattedCitation":"(27)","previouslyFormattedCitation":"(26)"},"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(27)</w:t>
            </w:r>
            <w:r w:rsidRPr="00066031">
              <w:rPr>
                <w:rFonts w:cstheme="minorHAnsi"/>
                <w:sz w:val="20"/>
                <w:szCs w:val="20"/>
              </w:rPr>
              <w:fldChar w:fldCharType="end"/>
            </w:r>
          </w:p>
          <w:p w14:paraId="232F8C1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w:t>
            </w:r>
          </w:p>
        </w:tc>
        <w:tc>
          <w:tcPr>
            <w:tcW w:w="1503" w:type="dxa"/>
            <w:tcBorders>
              <w:top w:val="single" w:sz="4" w:space="0" w:color="auto"/>
              <w:left w:val="single" w:sz="4" w:space="0" w:color="auto"/>
              <w:bottom w:val="single" w:sz="4" w:space="0" w:color="auto"/>
              <w:right w:val="single" w:sz="4" w:space="0" w:color="auto"/>
            </w:tcBorders>
          </w:tcPr>
          <w:p w14:paraId="721E31C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0B68C749" w14:textId="77777777" w:rsidR="00DA7737" w:rsidRPr="00066031" w:rsidRDefault="00DA7737" w:rsidP="00F73E3D">
            <w:pPr>
              <w:rPr>
                <w:rFonts w:asciiTheme="minorHAnsi" w:hAnsiTheme="minorHAnsi" w:cstheme="minorHAnsi"/>
                <w:sz w:val="20"/>
                <w:szCs w:val="20"/>
              </w:rPr>
            </w:pPr>
          </w:p>
          <w:p w14:paraId="4DB1F849" w14:textId="77777777" w:rsidR="00DA7737" w:rsidRPr="00066031" w:rsidRDefault="00DA7737" w:rsidP="00F73E3D">
            <w:pPr>
              <w:rPr>
                <w:rFonts w:asciiTheme="minorHAnsi" w:hAnsiTheme="minorHAnsi" w:cstheme="minorHAnsi"/>
                <w:sz w:val="20"/>
                <w:szCs w:val="20"/>
              </w:rPr>
            </w:pPr>
          </w:p>
          <w:p w14:paraId="3F8EEE46"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6957C08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458 Patients</w:t>
            </w:r>
          </w:p>
          <w:p w14:paraId="6681F7B9" w14:textId="77777777" w:rsidR="00DA7737" w:rsidRPr="00066031" w:rsidRDefault="00DA7737" w:rsidP="00F73E3D">
            <w:pPr>
              <w:rPr>
                <w:rFonts w:asciiTheme="minorHAnsi" w:hAnsiTheme="minorHAnsi" w:cstheme="minorHAnsi"/>
                <w:sz w:val="20"/>
                <w:szCs w:val="20"/>
              </w:rPr>
            </w:pPr>
          </w:p>
          <w:p w14:paraId="230957A4" w14:textId="77777777" w:rsidR="00DA7737" w:rsidRPr="00066031" w:rsidRDefault="00DA7737" w:rsidP="00F73E3D">
            <w:pPr>
              <w:rPr>
                <w:rFonts w:asciiTheme="minorHAnsi" w:hAnsiTheme="minorHAnsi" w:cstheme="minorHAnsi"/>
                <w:sz w:val="20"/>
                <w:szCs w:val="20"/>
              </w:rPr>
            </w:pPr>
          </w:p>
          <w:p w14:paraId="3873E37A" w14:textId="77777777" w:rsidR="00DA7737" w:rsidRPr="00066031" w:rsidRDefault="00DA7737" w:rsidP="00F73E3D">
            <w:pPr>
              <w:rPr>
                <w:rFonts w:asciiTheme="minorHAnsi" w:hAnsiTheme="minorHAnsi" w:cstheme="minorHAnsi"/>
                <w:sz w:val="20"/>
                <w:szCs w:val="20"/>
              </w:rPr>
            </w:pPr>
          </w:p>
          <w:p w14:paraId="50EAA24D" w14:textId="77777777" w:rsidR="00DA7737" w:rsidRPr="00066031" w:rsidRDefault="00DA7737" w:rsidP="00F73E3D">
            <w:pPr>
              <w:rPr>
                <w:rFonts w:asciiTheme="minorHAnsi" w:hAnsiTheme="minorHAnsi" w:cstheme="minorHAnsi"/>
                <w:sz w:val="20"/>
                <w:szCs w:val="20"/>
              </w:rPr>
            </w:pPr>
          </w:p>
          <w:p w14:paraId="54613BC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 U.S.A</w:t>
            </w:r>
          </w:p>
          <w:p w14:paraId="313F89BA"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6D937A2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evaluate the use of dabigatran at a community hospital and identify prescribing areas that can be improved to ensure appropriate use and patient outcomes</w:t>
            </w:r>
          </w:p>
        </w:tc>
        <w:tc>
          <w:tcPr>
            <w:tcW w:w="3402" w:type="dxa"/>
            <w:tcBorders>
              <w:top w:val="single" w:sz="4" w:space="0" w:color="auto"/>
              <w:left w:val="single" w:sz="4" w:space="0" w:color="auto"/>
              <w:bottom w:val="single" w:sz="4" w:space="0" w:color="auto"/>
              <w:right w:val="single" w:sz="4" w:space="0" w:color="auto"/>
            </w:tcBorders>
          </w:tcPr>
          <w:p w14:paraId="4DC17B3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14% of participants were excluded due to incomplete documentation and inability to assess renal function. Of the included patients, 16.6% were treated with inappropriate regimens including receiving too high a dose based on renal function, once daily dosing, concomitantly taking an interacting drug and continuing with an inappropriate regimen at home.</w:t>
            </w:r>
          </w:p>
        </w:tc>
        <w:tc>
          <w:tcPr>
            <w:tcW w:w="2835" w:type="dxa"/>
            <w:tcBorders>
              <w:top w:val="single" w:sz="4" w:space="0" w:color="auto"/>
              <w:left w:val="single" w:sz="4" w:space="0" w:color="auto"/>
              <w:bottom w:val="single" w:sz="4" w:space="0" w:color="auto"/>
            </w:tcBorders>
          </w:tcPr>
          <w:p w14:paraId="129FBEA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This retrospective chart review only focused on the use of dabigatran at a single community hospital. The retrospective nature could introduce bias as patients were not being directly observed resulting in heavy dependence on documentation by nurses and doctors.</w:t>
            </w:r>
          </w:p>
        </w:tc>
      </w:tr>
      <w:tr w:rsidR="00DA7737" w:rsidRPr="00066031" w14:paraId="0586CE82" w14:textId="77777777" w:rsidTr="00F73E3D">
        <w:tc>
          <w:tcPr>
            <w:tcW w:w="1589" w:type="dxa"/>
            <w:tcBorders>
              <w:top w:val="single" w:sz="4" w:space="0" w:color="auto"/>
              <w:left w:val="single" w:sz="4" w:space="0" w:color="auto"/>
              <w:bottom w:val="single" w:sz="4" w:space="0" w:color="auto"/>
              <w:right w:val="single" w:sz="4" w:space="0" w:color="auto"/>
            </w:tcBorders>
          </w:tcPr>
          <w:p w14:paraId="3BB13747" w14:textId="77777777" w:rsidR="00DA7737" w:rsidRDefault="00DA7737" w:rsidP="00F73E3D">
            <w:pPr>
              <w:rPr>
                <w:rFonts w:asciiTheme="minorHAnsi" w:hAnsiTheme="minorHAnsi" w:cstheme="minorHAnsi"/>
                <w:sz w:val="20"/>
                <w:szCs w:val="20"/>
              </w:rPr>
            </w:pPr>
          </w:p>
          <w:p w14:paraId="18A282C0"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Larock</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2014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10.1177/1060028014540868","author":[{"dropping-particle":"","family":"Larock","given":"A.-S.","non-dropping-particle":"","parse-names":false,"suffix":""},{"dropping-particle":"","family":"Mullier","given":"F","non-dropping-particle":"","parse-names":false,"suffix":""},{"dropping-particle":"","family":"Sennesael","given":"A.-L.","non-dropping-particle":"","parse-names":false,"suffix":""},{"dropping-particle":"","family":"Douxfils","given":"J","non-dropping-particle":"","parse-names":false,"suffix":""},{"dropping-particle":"","family":"Devalet","given":"B","non-dropping-particle":"","parse-names":false,"suffix":""},{"dropping-particle":"","family":"Chatelain","given":"C","non-dropping-particle":"","parse-names":false,"suffix":""},{"dropping-particle":"","family":"Dogné","given":"J.-M.","non-dropping-particle":"","parse-names":false,"suffix":""},{"dropping-particle":"","family":"Spinewine","given":"A","non-dropping-particle":"","parse-names":false,"suffix":""}],"container-title":"Annals of Pharmacotherapy","id":"ITEM-1","issue":"10","issued":{"date-parts":[["2014"]]},"note":"Cited By :23\n\nExport Date: 6 February 2018","page":"1258-1268","title":"Appropriateness of Prescribing Dabigatran Etexilate and Rivaroxaban in Patients With Nonvalvular Atrial Fibrillation: A Prospective Study","type":"article-journal","volume":"48"},"uris":["http://www.mendeley.com/documents/?uuid=55dd4d1c-b86c-424a-baeb-3c99dd35141d"]}],"mendeley":{"formattedCitation":"(28)","plainTextFormattedCitation":"(28)","previouslyFormattedCitation":"(27)"},"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(28)</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D7EBF11"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7274B54E" w14:textId="77777777" w:rsidR="00DA7737" w:rsidRPr="00066031" w:rsidRDefault="00DA7737" w:rsidP="00F73E3D">
            <w:pPr>
              <w:jc w:val="center"/>
              <w:rPr>
                <w:rFonts w:asciiTheme="minorHAnsi" w:hAnsiTheme="minorHAnsi" w:cstheme="minorHAnsi"/>
                <w:sz w:val="20"/>
                <w:szCs w:val="20"/>
              </w:rPr>
            </w:pPr>
          </w:p>
          <w:p w14:paraId="025C7224"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2F938BD9"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69 patients </w:t>
            </w:r>
          </w:p>
          <w:p w14:paraId="4A68C339" w14:textId="77777777" w:rsidR="00DA7737" w:rsidRPr="00066031" w:rsidRDefault="00DA7737" w:rsidP="00F73E3D">
            <w:pPr>
              <w:rPr>
                <w:rFonts w:asciiTheme="minorHAnsi" w:hAnsiTheme="minorHAnsi" w:cstheme="minorHAnsi"/>
                <w:sz w:val="20"/>
                <w:szCs w:val="20"/>
              </w:rPr>
            </w:pPr>
          </w:p>
          <w:p w14:paraId="301645D0" w14:textId="77777777" w:rsidR="00DA7737" w:rsidRPr="00066031" w:rsidRDefault="00DA7737" w:rsidP="00F73E3D">
            <w:pPr>
              <w:rPr>
                <w:rFonts w:asciiTheme="minorHAnsi" w:hAnsiTheme="minorHAnsi" w:cstheme="minorHAnsi"/>
                <w:sz w:val="20"/>
                <w:szCs w:val="20"/>
              </w:rPr>
            </w:pPr>
          </w:p>
          <w:p w14:paraId="618109D0" w14:textId="77777777" w:rsidR="00DA7737" w:rsidRPr="00066031" w:rsidRDefault="00DA7737" w:rsidP="00F73E3D">
            <w:pPr>
              <w:rPr>
                <w:rFonts w:asciiTheme="minorHAnsi" w:hAnsiTheme="minorHAnsi" w:cstheme="minorHAnsi"/>
                <w:sz w:val="20"/>
                <w:szCs w:val="20"/>
              </w:rPr>
            </w:pPr>
          </w:p>
          <w:p w14:paraId="2E6254D1"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Belgium</w:t>
            </w:r>
          </w:p>
          <w:p w14:paraId="0D5CB11E"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3803818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prospectively evaluate the appropriate prescribing of dabigatran and rivaroxaban in patients with NVAF</w:t>
            </w:r>
          </w:p>
        </w:tc>
        <w:tc>
          <w:tcPr>
            <w:tcW w:w="3402" w:type="dxa"/>
            <w:tcBorders>
              <w:top w:val="single" w:sz="4" w:space="0" w:color="auto"/>
              <w:left w:val="single" w:sz="4" w:space="0" w:color="auto"/>
              <w:bottom w:val="single" w:sz="4" w:space="0" w:color="auto"/>
              <w:right w:val="single" w:sz="4" w:space="0" w:color="auto"/>
            </w:tcBorders>
          </w:tcPr>
          <w:p w14:paraId="798DB3C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Inappropriate prescribing of DOACs was recorded in about half of the patients, and about the same number experience adverse events. Poor compliance in 16% of patients.</w:t>
            </w:r>
          </w:p>
        </w:tc>
        <w:tc>
          <w:tcPr>
            <w:tcW w:w="2835" w:type="dxa"/>
            <w:tcBorders>
              <w:top w:val="single" w:sz="4" w:space="0" w:color="auto"/>
              <w:left w:val="single" w:sz="4" w:space="0" w:color="auto"/>
              <w:bottom w:val="single" w:sz="4" w:space="0" w:color="auto"/>
            </w:tcBorders>
          </w:tcPr>
          <w:p w14:paraId="4C376E14"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This study was done in 2013 when rivaroxaban and dabigatran were still novel, this may explain the inappropriate prescribing. The normalisation of DOACs in routine practice may have improved practitioner confidence and prescribing. </w:t>
            </w:r>
          </w:p>
        </w:tc>
      </w:tr>
      <w:tr w:rsidR="00DA7737" w:rsidRPr="00066031" w14:paraId="21C9DD38" w14:textId="77777777" w:rsidTr="00F73E3D">
        <w:tc>
          <w:tcPr>
            <w:tcW w:w="1589" w:type="dxa"/>
            <w:tcBorders>
              <w:top w:val="single" w:sz="4" w:space="0" w:color="auto"/>
              <w:left w:val="single" w:sz="4" w:space="0" w:color="auto"/>
              <w:bottom w:val="single" w:sz="4" w:space="0" w:color="auto"/>
              <w:right w:val="single" w:sz="4" w:space="0" w:color="auto"/>
            </w:tcBorders>
          </w:tcPr>
          <w:p w14:paraId="1FAD1184" w14:textId="77777777" w:rsidR="00DA7737" w:rsidRDefault="00DA7737" w:rsidP="00F73E3D">
            <w:pPr>
              <w:rPr>
                <w:rFonts w:asciiTheme="minorHAnsi" w:hAnsiTheme="minorHAnsi" w:cstheme="minorHAnsi"/>
                <w:sz w:val="20"/>
                <w:szCs w:val="20"/>
              </w:rPr>
            </w:pPr>
          </w:p>
          <w:p w14:paraId="4D85C8F2"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Alonso-</w:t>
            </w:r>
            <w:proofErr w:type="spellStart"/>
            <w:r>
              <w:rPr>
                <w:rFonts w:asciiTheme="minorHAnsi" w:hAnsiTheme="minorHAnsi" w:cstheme="minorHAnsi"/>
                <w:sz w:val="20"/>
                <w:szCs w:val="20"/>
              </w:rPr>
              <w:t>Coello</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2015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{"citationItems":[{"id":"ITEM-1","itemData":{"DOI":"10.1111/hex.12201","ISSN":"13697625","PMID":"24813058","abstract":"BACKGROUND Exploration of values and preferences in the context of anticoagulation therapy for atrial fibrillation (AF) remains limited. To better characterize the distribution of patient and physician values and preferences relevant to decisions regarding anticoagulation in patients with AF, we conducted interviews with patients at risk of developing AF and physicians who manage patients with AF. METHODS We interviewed 96 outpatients and 96 physicians in a multicenter study and elicited the maximal increased risk of bleeding (threshold risk) that respondents would tolerate with warfarin vs. aspirin to achieve a reduction in three strokes in 100 patients over a 2-year period. We used the probabilistic version of the threshold technique. RESULTS The median threshold risk for both patients and physicians was 10 additional bleeds (10 P = 0.7). In both groups, we observed large variability in the threshold number of bleeds, with wider variability in patients than clinicians [patient range: 0-100, physician range: 0-50]. We observed one cluster of patients and physicians who would tolerate &lt;10 bleeds and another cluster of patients, but not physicians, who would accept more than 35. CONCLUSIONS Our findings suggest wide variability in patient and physician values and preferences regarding the trade-off between strokes and bleeds. Results suggest that in individual decision making, physician and patient values and preferences will often be discordant; this mandates tailoring treatment to the individual patient's preferences.","author":[{"dropping-particle":"","family":"Alonso-Coello","given":"Pablo","non-dropping-particle":"","parse-names":false,"suffix":""},{"dropping-particle":"","family":"Montori","given":"Victor M.","non-dropping-particle":"","parse-names":false,"suffix":""},{"dropping-particle":"","family":"Diaz","given":"M. Gloria","non-dropping-particle":"","parse-names":false,"suffix":""},{"dropping-particle":"","family":"Devereaux","given":"Philip J.","non-dropping-particle":"","parse-names":false,"suffix":""},{"dropping-particle":"","family":"Mas","given":"Gemma","non-dropping-particle":"","parse-names":false,"suffix":""},{"dropping-particle":"","family":"Diez","given":"Ana I.","non-dropping-particle":"","parse-names":false,"suffix":""},{"dropping-particle":"","family":"Sola","given":"Ivan","non-dropping-particle":"","parse-names":false,"suffix":""},{"dropping-particle":"","family":"Roura","given":"Merce","non-dropping-particle":"","parse-names":false,"suffix":""},{"dropping-particle":"","family":"Souto","given":"Juan C.","non-dropping-particle":"","parse-names":false,"suffix":""},{"dropping-particle":"","family":"Oliver","given":"Sven","non-dropping-particle":"","parse-names":false,"suffix":""},{"dropping-particle":"","family":"Ruiz","given":"Rafael","non-dropping-particle":"","parse-names":false,"suffix":""},{"dropping-particle":"","family":"Coll-Vinent","given":"Blanca","non-dropping-particle":"","parse-names":false,"suffix":""},{"dropping-particle":"","family":"Gich","given":"Ignasi","non-dropping-particle":"","parse-names":false,"suffix":""},{"dropping-particle":"","family":"Schuenemann","given":"Holger J.","non-dropping-particle":"","parse-names":false,"suffix":""},{"dropping-particle":"","family":"Guyatt","given":"Gordon","non-dropping-particle":"","parse-names":false,"suffix":""}],"container-title":"Health Expectations","id":"ITEM-1","issue":"6","issued":{"date-parts":[["2015"]]},"page":"2318-2327","title":"Values and preferences for oral antithrombotic therapy in patients with atrial fibrillation: Physician and patient perspectives","type":"article-journal","volume":"18"},"uris":["http://www.mendeley.com/documents/?uuid=0a7b5a30-d40c-429b-86ea-2f71af210281"]}],"mendeley":{"formattedCitation":"(29)","plainTextFormattedCitation":"(29)","previouslyFormattedCitation":"(28)"},"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(29)</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07ADD82"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249085CA" w14:textId="77777777" w:rsidR="00DA7737" w:rsidRPr="00066031" w:rsidRDefault="00DA7737" w:rsidP="00F73E3D">
            <w:pPr>
              <w:rPr>
                <w:rFonts w:asciiTheme="minorHAnsi" w:hAnsiTheme="minorHAnsi" w:cstheme="minorHAnsi"/>
                <w:sz w:val="20"/>
                <w:szCs w:val="20"/>
              </w:rPr>
            </w:pPr>
          </w:p>
          <w:p w14:paraId="57696DC0" w14:textId="77777777" w:rsidR="00DA7737" w:rsidRPr="00066031" w:rsidRDefault="00DA7737" w:rsidP="00F73E3D">
            <w:pPr>
              <w:rPr>
                <w:rFonts w:asciiTheme="minorHAnsi" w:hAnsiTheme="minorHAnsi" w:cstheme="minorHAnsi"/>
                <w:sz w:val="20"/>
                <w:szCs w:val="20"/>
              </w:rPr>
            </w:pPr>
          </w:p>
          <w:p w14:paraId="02A430A7" w14:textId="77777777" w:rsidR="00DA7737" w:rsidRPr="00066031" w:rsidRDefault="00DA7737" w:rsidP="00F73E3D">
            <w:pPr>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6FEB183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96 patients </w:t>
            </w:r>
          </w:p>
          <w:p w14:paraId="290D9E07" w14:textId="77777777" w:rsidR="00DA7737" w:rsidRPr="00066031" w:rsidRDefault="00DA7737" w:rsidP="00F73E3D">
            <w:pPr>
              <w:rPr>
                <w:rFonts w:asciiTheme="minorHAnsi" w:hAnsiTheme="minorHAnsi" w:cstheme="minorHAnsi"/>
                <w:sz w:val="20"/>
                <w:szCs w:val="20"/>
              </w:rPr>
            </w:pPr>
          </w:p>
          <w:p w14:paraId="0A74301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96 physicians</w:t>
            </w:r>
          </w:p>
          <w:p w14:paraId="26648E29" w14:textId="77777777" w:rsidR="00DA7737" w:rsidRPr="00066031" w:rsidRDefault="00DA7737" w:rsidP="00F73E3D">
            <w:pPr>
              <w:rPr>
                <w:rFonts w:asciiTheme="minorHAnsi" w:hAnsiTheme="minorHAnsi" w:cstheme="minorHAnsi"/>
                <w:sz w:val="20"/>
                <w:szCs w:val="20"/>
              </w:rPr>
            </w:pPr>
          </w:p>
          <w:p w14:paraId="7AAE8525" w14:textId="77777777" w:rsidR="00DA7737" w:rsidRPr="00066031" w:rsidRDefault="00DA7737" w:rsidP="00F73E3D">
            <w:pPr>
              <w:rPr>
                <w:rFonts w:asciiTheme="minorHAnsi" w:hAnsiTheme="minorHAnsi" w:cstheme="minorHAnsi"/>
                <w:sz w:val="20"/>
                <w:szCs w:val="20"/>
              </w:rPr>
            </w:pPr>
          </w:p>
          <w:p w14:paraId="1436DCD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Spain</w:t>
            </w:r>
          </w:p>
          <w:p w14:paraId="17C41761"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58C198D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To characterize the ﻿distribution of patient and physician values and preferences in the decision making in starting anticoagulation prophylaxis </w:t>
            </w:r>
          </w:p>
        </w:tc>
        <w:tc>
          <w:tcPr>
            <w:tcW w:w="3402" w:type="dxa"/>
            <w:tcBorders>
              <w:top w:val="single" w:sz="4" w:space="0" w:color="auto"/>
              <w:left w:val="single" w:sz="4" w:space="0" w:color="auto"/>
              <w:bottom w:val="single" w:sz="4" w:space="0" w:color="auto"/>
              <w:right w:val="single" w:sz="4" w:space="0" w:color="auto"/>
            </w:tcBorders>
          </w:tcPr>
          <w:p w14:paraId="1611373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﻿Wide variability in patient and physician values and preferences regarding the trade-off between strokes and bleeds. Patients were more stroke averse than physicians</w:t>
            </w:r>
          </w:p>
        </w:tc>
        <w:tc>
          <w:tcPr>
            <w:tcW w:w="2835" w:type="dxa"/>
            <w:tcBorders>
              <w:top w:val="single" w:sz="4" w:space="0" w:color="auto"/>
              <w:left w:val="single" w:sz="4" w:space="0" w:color="auto"/>
              <w:bottom w:val="single" w:sz="4" w:space="0" w:color="auto"/>
            </w:tcBorders>
          </w:tcPr>
          <w:p w14:paraId="2D7FFAE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86% of the patient participants had only elementary or no formal education and this study included patients who were at risk of developing AF, rather than patients who actually had the condition.</w:t>
            </w:r>
          </w:p>
        </w:tc>
      </w:tr>
      <w:tr w:rsidR="00DA7737" w:rsidRPr="00066031" w14:paraId="38FC4825" w14:textId="77777777" w:rsidTr="00F73E3D">
        <w:tc>
          <w:tcPr>
            <w:tcW w:w="1589" w:type="dxa"/>
            <w:tcBorders>
              <w:top w:val="single" w:sz="4" w:space="0" w:color="auto"/>
              <w:left w:val="single" w:sz="4" w:space="0" w:color="auto"/>
              <w:bottom w:val="single" w:sz="4" w:space="0" w:color="auto"/>
              <w:right w:val="single" w:sz="4" w:space="0" w:color="auto"/>
            </w:tcBorders>
          </w:tcPr>
          <w:p w14:paraId="58386AA2"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Frankel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2015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{"citationItems":[{"id":"ITEM-1","itemData":{"DOI":"10.1016/j.jstrokecerebrovasdis.2015.06.026","ISSN":"1052-3057","author":[{"dropping-particle":"","family":"Frankel","given":"David S","non-dropping-particle":"","parse-names":false,"suffix":""},{"dropping-particle":"","family":"Parker","given":"Sarah E","non-dropping-particle":"","parse-names":false,"suffix":""},{"dropping-particle":"","family":"Rosenfeld","given":"Lynda E","non-dropping-particle":"","parse-names":false,"suffix":""},{"dropping-particle":"","family":"Gorelick","given":"Philip B","non-dropping-particle":"","parse-names":false,"suffix":""}],"container-title":"Journal of Stroke &amp; Cerebrovascular Diseases","id":"ITEM-1","issue":"8","issued":{"date-parts":[["2015"]]},"note":"0","page":"1691-1700","title":"HRS/NSA 2014 Survey of Atrial Fibrillation and Stroke: Gaps in Knowledge and Perspective, Opportunities for Improvement","type":"article-journal","volume":"24"},"uris":["http://www.mendeley.com/documents/?uuid=1d71a423-2a20-4ba2-9526-1e3e8d9d59a8"]}],"mendeley":{"formattedCitation":"(30)","plainTextFormattedCitation":"(30)","previouslyFormattedCitation":"(29)"},"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(30)</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75FB90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7E49CB6E" w14:textId="77777777" w:rsidR="00DA7737" w:rsidRPr="00066031" w:rsidRDefault="00DA7737" w:rsidP="00F73E3D">
            <w:pPr>
              <w:rPr>
                <w:rFonts w:asciiTheme="minorHAnsi" w:hAnsiTheme="minorHAnsi" w:cstheme="minorHAnsi"/>
                <w:sz w:val="20"/>
                <w:szCs w:val="20"/>
              </w:rPr>
            </w:pPr>
          </w:p>
          <w:p w14:paraId="700E3A43" w14:textId="77777777" w:rsidR="00DA7737" w:rsidRPr="00066031" w:rsidRDefault="00DA7737" w:rsidP="00F73E3D">
            <w:pPr>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6CDE0D8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499 patients</w:t>
            </w:r>
          </w:p>
          <w:p w14:paraId="1DBAEC1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203 Carers</w:t>
            </w:r>
          </w:p>
          <w:p w14:paraId="2700BAD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507 Doctors</w:t>
            </w:r>
          </w:p>
          <w:p w14:paraId="620C0385" w14:textId="77777777" w:rsidR="00DA7737" w:rsidRPr="00066031" w:rsidRDefault="00DA7737" w:rsidP="00F73E3D">
            <w:pPr>
              <w:rPr>
                <w:rFonts w:asciiTheme="minorHAnsi" w:hAnsiTheme="minorHAnsi" w:cstheme="minorHAnsi"/>
                <w:sz w:val="20"/>
                <w:szCs w:val="20"/>
              </w:rPr>
            </w:pPr>
          </w:p>
          <w:p w14:paraId="01F0017A" w14:textId="77777777" w:rsidR="00DA7737" w:rsidRPr="00066031" w:rsidRDefault="00DA7737" w:rsidP="00F73E3D">
            <w:pPr>
              <w:rPr>
                <w:rFonts w:asciiTheme="minorHAnsi" w:hAnsiTheme="minorHAnsi" w:cstheme="minorHAnsi"/>
                <w:sz w:val="20"/>
                <w:szCs w:val="20"/>
              </w:rPr>
            </w:pPr>
          </w:p>
          <w:p w14:paraId="6F7557F8"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U.S.A</w:t>
            </w:r>
          </w:p>
          <w:p w14:paraId="03BCBD36"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7AB36B4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To understand perspectives on effective communication and barriers to optimal anticoagulation </w:t>
            </w:r>
          </w:p>
        </w:tc>
        <w:tc>
          <w:tcPr>
            <w:tcW w:w="3402" w:type="dxa"/>
            <w:tcBorders>
              <w:top w:val="single" w:sz="4" w:space="0" w:color="auto"/>
              <w:left w:val="single" w:sz="4" w:space="0" w:color="auto"/>
              <w:bottom w:val="single" w:sz="4" w:space="0" w:color="auto"/>
              <w:right w:val="single" w:sz="4" w:space="0" w:color="auto"/>
            </w:tcBorders>
          </w:tcPr>
          <w:p w14:paraId="50265DA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Conflicting perspectives between physicians and patients. Improved communication and education </w:t>
            </w:r>
            <w:proofErr w:type="gramStart"/>
            <w:r w:rsidRPr="00066031">
              <w:rPr>
                <w:rFonts w:asciiTheme="minorHAnsi" w:hAnsiTheme="minorHAnsi" w:cstheme="minorHAnsi"/>
                <w:sz w:val="20"/>
                <w:szCs w:val="20"/>
              </w:rPr>
              <w:t>is</w:t>
            </w:r>
            <w:proofErr w:type="gramEnd"/>
            <w:r w:rsidRPr="00066031">
              <w:rPr>
                <w:rFonts w:asciiTheme="minorHAnsi" w:hAnsiTheme="minorHAnsi" w:cstheme="minorHAnsi"/>
                <w:sz w:val="20"/>
                <w:szCs w:val="20"/>
              </w:rPr>
              <w:t xml:space="preserve"> needed to optimise management of AF and stroke prevention</w:t>
            </w:r>
          </w:p>
        </w:tc>
        <w:tc>
          <w:tcPr>
            <w:tcW w:w="2835" w:type="dxa"/>
            <w:tcBorders>
              <w:top w:val="single" w:sz="4" w:space="0" w:color="auto"/>
              <w:left w:val="single" w:sz="4" w:space="0" w:color="auto"/>
              <w:bottom w:val="single" w:sz="4" w:space="0" w:color="auto"/>
            </w:tcBorders>
          </w:tcPr>
          <w:p w14:paraId="6AE39C9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Highlights the educational needs of patients and included a variety of stakeholders. The survey instrument limits the descriptions, explanations and nuances which can be explored through qualitative research.</w:t>
            </w:r>
          </w:p>
        </w:tc>
      </w:tr>
      <w:tr w:rsidR="00DA7737" w:rsidRPr="00066031" w14:paraId="091196C7" w14:textId="77777777" w:rsidTr="00F73E3D">
        <w:tc>
          <w:tcPr>
            <w:tcW w:w="1589" w:type="dxa"/>
            <w:tcBorders>
              <w:top w:val="single" w:sz="4" w:space="0" w:color="auto"/>
              <w:left w:val="single" w:sz="4" w:space="0" w:color="auto"/>
              <w:bottom w:val="single" w:sz="4" w:space="0" w:color="auto"/>
              <w:right w:val="single" w:sz="4" w:space="0" w:color="auto"/>
            </w:tcBorders>
          </w:tcPr>
          <w:p w14:paraId="416878E6" w14:textId="77777777" w:rsidR="00DA7737" w:rsidRPr="00066031" w:rsidRDefault="00DA7737" w:rsidP="00F73E3D">
            <w:pPr>
              <w:jc w:val="center"/>
              <w:rPr>
                <w:rFonts w:asciiTheme="minorHAnsi" w:hAnsiTheme="minorHAnsi" w:cstheme="minorHAnsi"/>
                <w:sz w:val="20"/>
                <w:szCs w:val="20"/>
              </w:rPr>
            </w:pPr>
          </w:p>
          <w:p w14:paraId="5FF2F801"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Rouaud</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2015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10.1371/journal.pone.0119043","author":[{"dropping-particle":"","family":"Rouaud","given":"A","non-dropping-particle":"","parse-names":false,"suffix":""},{"dropping-particle":"","family":"Hanon","given":"O","non-dropping-particle":"","parse-names":false,"suffix":""},{"dropping-particle":"","family":"Boureau","given":"A.-S.","non-dropping-particle":"","parse-names":false,"suffix":""},{"dropping-particle":"","family":"Chapelet","given":"G G","non-dropping-particle":"","parse-names":false,"suffix":""},{"dropping-particle":"","family":"DeDecker","given":"L","non-dropping-particle":"","parse-names":false,"suffix":""}],"container-title":"PLoS ONE","id":"ITEM-1","issue":"3","issued":{"date-parts":[["2015"]]},"note":"Cited By :6\n\nExport Date: 6 February 2018","title":"Comorbidities against quality control of VKA therapy in non-valvular atrial fibrillation: A French national cross-sectional study","type":"article-journal","volume":"10"},"uris":["http://www.mendeley.com/documents/?uuid=8987e952-a902-44a2-8af8-3e4c8910f9c2"]}],"mendeley":{"formattedCitation":"(31)","plainTextFormattedCitation":"(31)","previouslyFormattedCitation":"(30)"},"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(31)</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7212026"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1CDB06DB" w14:textId="77777777" w:rsidR="00DA7737" w:rsidRPr="00066031" w:rsidRDefault="00DA7737" w:rsidP="00F73E3D">
            <w:pPr>
              <w:jc w:val="center"/>
              <w:rPr>
                <w:rFonts w:asciiTheme="minorHAnsi" w:hAnsiTheme="minorHAnsi" w:cstheme="minorHAnsi"/>
                <w:sz w:val="20"/>
                <w:szCs w:val="20"/>
              </w:rPr>
            </w:pPr>
          </w:p>
          <w:p w14:paraId="19A2CA1D" w14:textId="77777777" w:rsidR="00DA7737" w:rsidRPr="00066031" w:rsidRDefault="00DA7737" w:rsidP="00F73E3D">
            <w:pPr>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15308A1D"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 xml:space="preserve">2164 patients </w:t>
            </w:r>
          </w:p>
          <w:p w14:paraId="022F2A45" w14:textId="77777777" w:rsidR="00DA7737" w:rsidRPr="00066031" w:rsidRDefault="00DA7737" w:rsidP="00F73E3D">
            <w:pPr>
              <w:jc w:val="center"/>
              <w:rPr>
                <w:rFonts w:asciiTheme="minorHAnsi" w:hAnsiTheme="minorHAnsi" w:cstheme="minorHAnsi"/>
                <w:sz w:val="20"/>
                <w:szCs w:val="20"/>
              </w:rPr>
            </w:pPr>
          </w:p>
          <w:p w14:paraId="6675413A" w14:textId="77777777" w:rsidR="00DA7737" w:rsidRPr="00066031" w:rsidRDefault="00DA7737" w:rsidP="00F73E3D">
            <w:pPr>
              <w:jc w:val="center"/>
              <w:rPr>
                <w:rFonts w:asciiTheme="minorHAnsi" w:hAnsiTheme="minorHAnsi" w:cstheme="minorHAnsi"/>
                <w:sz w:val="20"/>
                <w:szCs w:val="20"/>
              </w:rPr>
            </w:pPr>
          </w:p>
          <w:p w14:paraId="3B5435B3" w14:textId="77777777" w:rsidR="00DA7737" w:rsidRPr="00066031" w:rsidRDefault="00DA7737" w:rsidP="00F73E3D">
            <w:pPr>
              <w:jc w:val="center"/>
              <w:rPr>
                <w:rFonts w:asciiTheme="minorHAnsi" w:hAnsiTheme="minorHAnsi" w:cstheme="minorHAnsi"/>
                <w:sz w:val="20"/>
                <w:szCs w:val="20"/>
              </w:rPr>
            </w:pPr>
          </w:p>
          <w:p w14:paraId="289CE686"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France</w:t>
            </w:r>
          </w:p>
          <w:p w14:paraId="26447BFF" w14:textId="77777777" w:rsidR="00DA7737" w:rsidRPr="00066031" w:rsidRDefault="00DA7737" w:rsidP="00F73E3D">
            <w:pPr>
              <w:jc w:val="cente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2C55ACE5"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assess the impact of co-morbidities on INR control</w:t>
            </w:r>
          </w:p>
        </w:tc>
        <w:tc>
          <w:tcPr>
            <w:tcW w:w="3402" w:type="dxa"/>
            <w:tcBorders>
              <w:top w:val="single" w:sz="4" w:space="0" w:color="auto"/>
              <w:left w:val="single" w:sz="4" w:space="0" w:color="auto"/>
              <w:bottom w:val="single" w:sz="4" w:space="0" w:color="auto"/>
              <w:right w:val="single" w:sz="4" w:space="0" w:color="auto"/>
            </w:tcBorders>
          </w:tcPr>
          <w:p w14:paraId="6DD69D1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Co-morbidities, haemorrhagic events and hospitalization were associated with poor INR control and quality of anticoagulation </w:t>
            </w:r>
          </w:p>
        </w:tc>
        <w:tc>
          <w:tcPr>
            <w:tcW w:w="2835" w:type="dxa"/>
            <w:tcBorders>
              <w:top w:val="single" w:sz="4" w:space="0" w:color="auto"/>
              <w:left w:val="single" w:sz="4" w:space="0" w:color="auto"/>
              <w:bottom w:val="single" w:sz="4" w:space="0" w:color="auto"/>
            </w:tcBorders>
          </w:tcPr>
          <w:p w14:paraId="5D5460C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Patients in this study were aged 80 years and over. This may introduce selection bias. Further research with patients aged 65-79 with co-morbidities will help reduce confounding factors.</w:t>
            </w:r>
          </w:p>
        </w:tc>
      </w:tr>
      <w:tr w:rsidR="00DA7737" w:rsidRPr="00066031" w14:paraId="75FB91D3" w14:textId="77777777" w:rsidTr="00F73E3D">
        <w:tc>
          <w:tcPr>
            <w:tcW w:w="1589" w:type="dxa"/>
            <w:tcBorders>
              <w:top w:val="single" w:sz="4" w:space="0" w:color="auto"/>
              <w:left w:val="single" w:sz="4" w:space="0" w:color="auto"/>
              <w:bottom w:val="single" w:sz="4" w:space="0" w:color="auto"/>
              <w:right w:val="single" w:sz="4" w:space="0" w:color="auto"/>
            </w:tcBorders>
          </w:tcPr>
          <w:p w14:paraId="02D1F3AA" w14:textId="77777777" w:rsidR="00DA7737" w:rsidRDefault="00DA7737" w:rsidP="00F73E3D">
            <w:pPr>
              <w:rPr>
                <w:rFonts w:asciiTheme="minorHAnsi" w:hAnsiTheme="minorHAnsi" w:cstheme="minorHAnsi"/>
                <w:sz w:val="20"/>
                <w:szCs w:val="20"/>
              </w:rPr>
            </w:pPr>
          </w:p>
          <w:p w14:paraId="4B7D6A0B"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Bajorek</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2015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{"citationItems":[{"id":"ITEM-1","itemData":{"DOI":"10.4066/AMJ.2015.2526","ISSN":"1836-1935 (Linking)","PMID":"26688698","abstract":"BACKGROUND: Recent attention to the management of atrial fibrillation (AF) and stroke prevention has emphasised the need to support the use of existing pharmacotherapy through available services and resources, in preference to using the new, more expensive, novel oral anticoagulants. In this regard, general practitioners (GPs) are at the core of care. AIMS: To survey Australian GPs regarding their approach to managing AF, particularly in relation to stroke prevention therapy, and to identify the range of services to support patient care. METHODS: A structured questionnaire, comprising quantitative and qualitative responses, was administered to participating GPs within four geographical regions of NSW (metropolitan, regional, rural areas). RESULTS: Fifty GPs (mean age 53.74+/-9.94 years) participated. Most (98 per cent) GPs regarded themselves as primarily responsible for the management of AF, only referring patients to specialists when needed. However, only 10 per cent of GPs specialised in \"heart/vascular health\". Most (76 per cent) GPs offered point-of-care international normalised ratio (INR) testing, with 90 per cent also offering patient support via practice nurses and home visits. Overall, key determinants influencing GPs' initiation of antithrombotic therapy were: \"stroke risk\"/\"CHADS2 score\", followed by \"patients' adherence/compliance\". GPs focused more on medication safety considerations and the day-to-day management of therapy than on the risk of bleeding. CONCLUSION: Australian GPs are actively engaged in managing AF, and appear to be well resourced. Importantly, there is a greater focus on the benefits of therapy during decision-making, rather than on the risks. However, medication safety considerations affecting routine management of therapy remain key concerns, with patients' adherence to therapy a major determinant in decision-making.","author":[{"dropping-particle":"","family":"Bajorek","given":"B","non-dropping-particle":"","parse-names":false,"suffix":""},{"dropping-particle":"","family":"Magin","given":"P","non-dropping-particle":"","parse-names":false,"suffix":""},{"dropping-particle":"","family":"Hilmer","given":"S","non-dropping-particle":"","parse-names":false,"suffix":""},{"dropping-particle":"","family":"Krass","given":"I","non-dropping-particle":"","parse-names":false,"suffix":""}],"container-title":"The Australasian Medical Journal","id":"ITEM-1","issue":"11","issued":{"date-parts":[["2015"]]},"page":"357-367","title":"Contemporary approaches to managing atrial fibrillation: A survey of Australian general practitioners","type":"article-journal","volume":"8"},"uris":["http://www.mendeley.com/documents/?uuid=81e86350-cdad-43d7-9a58-a59fa8977588"]}],"mendeley":{"formattedCitation":"(32)","plainTextFormattedCitation":"(32)","previouslyFormattedCitation":"(31)"},"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(32)</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55A051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0980F1DC" w14:textId="77777777" w:rsidR="00DA7737" w:rsidRPr="00066031" w:rsidRDefault="00DA7737" w:rsidP="00F73E3D">
            <w:pPr>
              <w:rPr>
                <w:rFonts w:asciiTheme="minorHAnsi" w:hAnsiTheme="minorHAnsi" w:cstheme="minorHAnsi"/>
                <w:sz w:val="20"/>
                <w:szCs w:val="20"/>
              </w:rPr>
            </w:pPr>
          </w:p>
          <w:p w14:paraId="32CB3D7E" w14:textId="77777777" w:rsidR="00DA7737" w:rsidRPr="00066031" w:rsidRDefault="00DA7737" w:rsidP="00F73E3D">
            <w:pPr>
              <w:rPr>
                <w:rFonts w:asciiTheme="minorHAnsi" w:hAnsiTheme="minorHAnsi" w:cstheme="minorHAnsi"/>
                <w:sz w:val="20"/>
                <w:szCs w:val="20"/>
              </w:rPr>
            </w:pPr>
          </w:p>
          <w:p w14:paraId="3A02E9EF"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1CD5438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50 general practitioners</w:t>
            </w:r>
          </w:p>
          <w:p w14:paraId="3C8C5362" w14:textId="77777777" w:rsidR="00DA7737" w:rsidRPr="00066031" w:rsidRDefault="00DA7737" w:rsidP="00F73E3D">
            <w:pPr>
              <w:rPr>
                <w:rFonts w:asciiTheme="minorHAnsi" w:hAnsiTheme="minorHAnsi" w:cstheme="minorHAnsi"/>
                <w:sz w:val="20"/>
                <w:szCs w:val="20"/>
              </w:rPr>
            </w:pPr>
          </w:p>
          <w:p w14:paraId="6E67990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Australia</w:t>
            </w:r>
          </w:p>
          <w:p w14:paraId="1767D913"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05FF74D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survey GPs regarding their approach to managing AF, particularly in relation to stroke prevention therapy, and to identify the range of services to support patient care.</w:t>
            </w:r>
          </w:p>
          <w:p w14:paraId="3432F649"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Methods</w:t>
            </w:r>
          </w:p>
        </w:tc>
        <w:tc>
          <w:tcPr>
            <w:tcW w:w="3402" w:type="dxa"/>
            <w:tcBorders>
              <w:top w:val="single" w:sz="4" w:space="0" w:color="auto"/>
              <w:left w:val="single" w:sz="4" w:space="0" w:color="auto"/>
              <w:bottom w:val="single" w:sz="4" w:space="0" w:color="auto"/>
              <w:right w:val="single" w:sz="4" w:space="0" w:color="auto"/>
            </w:tcBorders>
          </w:tcPr>
          <w:p w14:paraId="221F2A9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When making decisions to initiate anticoagulant therapy for stroke prevention, GPs considered the stroke risk, adherence and management. The perceived benefit of therapy, associated risks and issues about medication safety.</w:t>
            </w:r>
          </w:p>
        </w:tc>
        <w:tc>
          <w:tcPr>
            <w:tcW w:w="2835" w:type="dxa"/>
            <w:tcBorders>
              <w:top w:val="single" w:sz="4" w:space="0" w:color="auto"/>
              <w:left w:val="single" w:sz="4" w:space="0" w:color="auto"/>
              <w:bottom w:val="single" w:sz="4" w:space="0" w:color="auto"/>
            </w:tcBorders>
          </w:tcPr>
          <w:p w14:paraId="20B25F3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The findings of this study are based on the management of AF patients where warfarin has been the mainstay but the approach to management, monitoring and decision making are likely to evolve with DOACs.</w:t>
            </w:r>
          </w:p>
        </w:tc>
      </w:tr>
      <w:tr w:rsidR="00DA7737" w:rsidRPr="00066031" w14:paraId="1DB52B4B" w14:textId="77777777" w:rsidTr="00F73E3D">
        <w:tc>
          <w:tcPr>
            <w:tcW w:w="1589" w:type="dxa"/>
            <w:tcBorders>
              <w:top w:val="single" w:sz="4" w:space="0" w:color="auto"/>
              <w:left w:val="single" w:sz="4" w:space="0" w:color="auto"/>
              <w:bottom w:val="single" w:sz="4" w:space="0" w:color="auto"/>
              <w:right w:val="single" w:sz="4" w:space="0" w:color="auto"/>
            </w:tcBorders>
          </w:tcPr>
          <w:p w14:paraId="4F164B7B" w14:textId="77777777" w:rsidR="00DA7737" w:rsidRDefault="00DA7737" w:rsidP="00F73E3D">
            <w:pPr>
              <w:rPr>
                <w:rFonts w:asciiTheme="minorHAnsi" w:hAnsiTheme="minorHAnsi" w:cstheme="minorHAnsi"/>
                <w:sz w:val="20"/>
                <w:szCs w:val="20"/>
              </w:rPr>
            </w:pPr>
          </w:p>
          <w:p w14:paraId="255A8307"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Granziera</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2015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10.1007/s11739-015-1236-2","author":[{"dropping-particle":"","family":"Granziera","given":"S","non-dropping-particle":"","parse-names":false,"suffix":""},{"dropping-particle":"","family":"Bertozzo","given":"G","non-dropping-particle":"","parse-names":false,"suffix":""},{"dropping-particle":"","family":"Pengo","given":"V","non-dropping-particle":"","parse-names":false,"suffix":""},{"dropping-particle":"","family":"Marigo","given":"L","non-dropping-particle":"","parse-names":false,"suffix":""},{"dropping-particle":"","family":"Denas","given":"G","non-dropping-particle":"","parse-names":false,"suffix":""},{"dropping-particle":"","family":"Petruzzellis","given":"F","non-dropping-particle":"","parse-names":false,"suffix":""},{"dropping-particle":"","family":"Rossi","given":"K","non-dropping-particle":"","parse-names":false,"suffix":""},{"dropping-particle":"","family":"Infante","given":"T","non-dropping-particle":"","parse-names":false,"suffix":""},{"dropping-particle":"","family":"Padayattil","given":"S J","non-dropping-particle":"","parse-names":false,"suffix":""},{"dropping-particle":"","family":"Perissinotto","given":"E","non-dropping-particle":"","parse-names":false,"suffix":""},{"dropping-particle":"","family":"Manzato","given":"E","non-dropping-particle":"","parse-names":false,"suffix":""},{"dropping-particle":"","family":"Nante","given":"G","non-dropping-particle":"","parse-names":false,"suffix":""}],"container-title":"Internal and Emergency Medicine","id":"ITEM-1","issue":"7","issued":{"date-parts":[["2015"]]},"note":"Cited By :10\n\nExport Date: 6 February 2018","page":"795-804","title":"To treat or not to treat very elderly naïve patients with atrial fibrillation with vitamin K antagonists (VKA): results from the VENPAF cohort","type":"article-journal","volume":"10"},"uris":["http://www.mendeley.com/documents/?uuid=eb45e1e3-a540-4570-9006-0590ee2610c3"]}],"mendeley":{"formattedCitation":"(33)","plainTextFormattedCitation":"(33)","previouslyFormattedCitation":"(32)"},"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(33)</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1C61791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627011A5" w14:textId="77777777" w:rsidR="00DA7737" w:rsidRPr="00066031" w:rsidRDefault="00DA7737" w:rsidP="00F73E3D">
            <w:pPr>
              <w:rPr>
                <w:rFonts w:asciiTheme="minorHAnsi" w:hAnsiTheme="minorHAnsi" w:cstheme="minorHAnsi"/>
                <w:sz w:val="20"/>
                <w:szCs w:val="20"/>
              </w:rPr>
            </w:pPr>
          </w:p>
          <w:p w14:paraId="0061C50E"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41D162F5"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798 patients </w:t>
            </w:r>
          </w:p>
          <w:p w14:paraId="18CE25AD" w14:textId="77777777" w:rsidR="00DA7737" w:rsidRPr="00066031" w:rsidRDefault="00DA7737" w:rsidP="00F73E3D">
            <w:pPr>
              <w:rPr>
                <w:rFonts w:asciiTheme="minorHAnsi" w:hAnsiTheme="minorHAnsi" w:cstheme="minorHAnsi"/>
                <w:sz w:val="20"/>
                <w:szCs w:val="20"/>
              </w:rPr>
            </w:pPr>
          </w:p>
          <w:p w14:paraId="37882973" w14:textId="77777777" w:rsidR="00DA7737" w:rsidRPr="00066031" w:rsidRDefault="00DA7737" w:rsidP="00F73E3D">
            <w:pPr>
              <w:rPr>
                <w:rFonts w:asciiTheme="minorHAnsi" w:hAnsiTheme="minorHAnsi" w:cstheme="minorHAnsi"/>
                <w:sz w:val="20"/>
                <w:szCs w:val="20"/>
              </w:rPr>
            </w:pPr>
          </w:p>
          <w:p w14:paraId="7DAB052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Italy</w:t>
            </w:r>
          </w:p>
          <w:p w14:paraId="24F29ED6"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0AC44B9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retrospectively assess the incidence of major bleeding in NVAF patients who are over 80years old</w:t>
            </w:r>
          </w:p>
        </w:tc>
        <w:tc>
          <w:tcPr>
            <w:tcW w:w="3402" w:type="dxa"/>
            <w:tcBorders>
              <w:top w:val="single" w:sz="4" w:space="0" w:color="auto"/>
              <w:left w:val="single" w:sz="4" w:space="0" w:color="auto"/>
              <w:bottom w:val="single" w:sz="4" w:space="0" w:color="auto"/>
              <w:right w:val="single" w:sz="4" w:space="0" w:color="auto"/>
            </w:tcBorders>
          </w:tcPr>
          <w:p w14:paraId="27949D2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Very elderly patients aged over 85 years were at higher risk of suffering major and fatal bleeding events than patients who were 80-84 years of age.</w:t>
            </w:r>
          </w:p>
        </w:tc>
        <w:tc>
          <w:tcPr>
            <w:tcW w:w="2835" w:type="dxa"/>
            <w:tcBorders>
              <w:top w:val="single" w:sz="4" w:space="0" w:color="auto"/>
              <w:left w:val="single" w:sz="4" w:space="0" w:color="auto"/>
              <w:bottom w:val="single" w:sz="4" w:space="0" w:color="auto"/>
            </w:tcBorders>
          </w:tcPr>
          <w:p w14:paraId="0B5D849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Retrospective cohort stud and patients were on warfarin. Patient and practitioner views were not sought. There is also an association between age and </w:t>
            </w:r>
            <w:r w:rsidRPr="00066031">
              <w:rPr>
                <w:rFonts w:asciiTheme="minorHAnsi" w:hAnsiTheme="minorHAnsi" w:cstheme="minorHAnsi"/>
                <w:sz w:val="20"/>
                <w:szCs w:val="20"/>
              </w:rPr>
              <w:lastRenderedPageBreak/>
              <w:t xml:space="preserve">bleeding in elderly patients with DOACs </w:t>
            </w:r>
          </w:p>
        </w:tc>
      </w:tr>
      <w:tr w:rsidR="00DA7737" w:rsidRPr="00066031" w14:paraId="7B6AA8B5" w14:textId="77777777" w:rsidTr="00F73E3D">
        <w:tc>
          <w:tcPr>
            <w:tcW w:w="1589" w:type="dxa"/>
            <w:tcBorders>
              <w:top w:val="single" w:sz="4" w:space="0" w:color="auto"/>
              <w:left w:val="single" w:sz="4" w:space="0" w:color="auto"/>
              <w:bottom w:val="single" w:sz="4" w:space="0" w:color="auto"/>
              <w:right w:val="single" w:sz="4" w:space="0" w:color="auto"/>
            </w:tcBorders>
          </w:tcPr>
          <w:p w14:paraId="4A4A8ED3" w14:textId="77777777" w:rsidR="00DA7737" w:rsidRDefault="00DA7737" w:rsidP="00F73E3D">
            <w:pPr>
              <w:rPr>
                <w:rFonts w:asciiTheme="minorHAnsi" w:hAnsiTheme="minorHAnsi" w:cstheme="minorHAnsi"/>
                <w:sz w:val="20"/>
                <w:szCs w:val="20"/>
              </w:rPr>
            </w:pPr>
          </w:p>
          <w:p w14:paraId="2955FF6F"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Bertozzo</w:t>
            </w:r>
            <w:proofErr w:type="spellEnd"/>
            <w:r>
              <w:rPr>
                <w:rFonts w:asciiTheme="minorHAnsi" w:hAnsiTheme="minorHAnsi" w:cstheme="minorHAnsi"/>
                <w:sz w:val="20"/>
                <w:szCs w:val="20"/>
              </w:rPr>
              <w:t xml:space="preserve"> </w:t>
            </w:r>
            <w:r w:rsidRPr="003631C8">
              <w:rPr>
                <w:rFonts w:asciiTheme="minorHAnsi" w:hAnsiTheme="minorHAnsi" w:cstheme="minorHAnsi"/>
                <w:i/>
                <w:iCs/>
                <w:sz w:val="20"/>
                <w:szCs w:val="20"/>
              </w:rPr>
              <w:t>et al.,</w:t>
            </w:r>
            <w:r>
              <w:rPr>
                <w:rFonts w:asciiTheme="minorHAnsi" w:hAnsiTheme="minorHAnsi" w:cstheme="minorHAnsi"/>
                <w:sz w:val="20"/>
                <w:szCs w:val="20"/>
              </w:rPr>
              <w:t xml:space="preserve"> 2016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10.1111/jth.13427","author":[{"dropping-particle":"","family":"Bertozzo","given":"G","non-dropping-particle":"","parse-names":false,"suffix":""},{"dropping-particle":"","family":"Zoppellaro","given":"G","non-dropping-particle":"","parse-names":false,"suffix":""},{"dropping-particle":"","family":"Granziera","given":"S","non-dropping-particle":"","parse-names":false,"suffix":""},{"dropping-particle":"","family":"Marigo","given":"L","non-dropping-particle":"","parse-names":false,"suffix":""},{"dropping-particle":"","family":"Rossi","given":"K","non-dropping-particle":"","parse-names":false,"suffix":""},{"dropping-particle":"","family":"Petruzzellis","given":"F","non-dropping-particle":"","parse-names":false,"suffix":""},{"dropping-particle":"","family":"Perissinotto","given":"E","non-dropping-particle":"","parse-names":false,"suffix":""},{"dropping-particle":"","family":"Manzato","given":"E","non-dropping-particle":"","parse-names":false,"suffix":""},{"dropping-particle":"","family":"Nante","given":"G","non-dropping-particle":"","parse-names":false,"suffix":""},{"dropping-particle":"","family":"Pengo","given":"V","non-dropping-particle":"","parse-names":false,"suffix":""}],"container-title":"Journal of Thrombosis and Haemostasis","id":"ITEM-1","issue":"11","issued":{"date-parts":[["2016"]]},"note":"Cited By :5\n\nExport Date: 6 February 2018","page":"2124-2131","title":"Reasons for and consequences of vitamin K antagonist discontinuation in very elderly patients with non-valvular atrial fibrillation","type":"article-journal","volume":"14"},"uris":["http://www.mendeley.com/documents/?uuid=10ad9b40-fd12-43c0-9ea2-dcc4a48338c6"]}],"mendeley":{"formattedCitation":"(34)","plainTextFormattedCitation":"(34)","previouslyFormattedCitation":"(33)"},"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(34)</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6335037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03D1CFC9"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231CFB4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﻿798 patients </w:t>
            </w:r>
          </w:p>
          <w:p w14:paraId="29E1BC66" w14:textId="77777777" w:rsidR="00DA7737" w:rsidRPr="00066031" w:rsidRDefault="00DA7737" w:rsidP="00F73E3D">
            <w:pPr>
              <w:rPr>
                <w:rFonts w:asciiTheme="minorHAnsi" w:hAnsiTheme="minorHAnsi" w:cstheme="minorHAnsi"/>
                <w:sz w:val="20"/>
                <w:szCs w:val="20"/>
              </w:rPr>
            </w:pPr>
          </w:p>
          <w:p w14:paraId="54055F75" w14:textId="77777777" w:rsidR="00DA7737" w:rsidRPr="00066031" w:rsidRDefault="00DA7737" w:rsidP="00F73E3D">
            <w:pPr>
              <w:rPr>
                <w:rFonts w:asciiTheme="minorHAnsi" w:hAnsiTheme="minorHAnsi" w:cstheme="minorHAnsi"/>
                <w:sz w:val="20"/>
                <w:szCs w:val="20"/>
              </w:rPr>
            </w:pPr>
          </w:p>
          <w:p w14:paraId="6D2BF380" w14:textId="77777777" w:rsidR="00DA7737" w:rsidRPr="00066031" w:rsidRDefault="00DA7737" w:rsidP="00F73E3D">
            <w:pPr>
              <w:rPr>
                <w:rFonts w:asciiTheme="minorHAnsi" w:hAnsiTheme="minorHAnsi" w:cstheme="minorHAnsi"/>
                <w:sz w:val="20"/>
                <w:szCs w:val="20"/>
              </w:rPr>
            </w:pPr>
          </w:p>
          <w:p w14:paraId="4A297A33" w14:textId="77777777" w:rsidR="00DA7737" w:rsidRPr="00066031" w:rsidRDefault="00DA7737" w:rsidP="00F73E3D">
            <w:pPr>
              <w:rPr>
                <w:rFonts w:asciiTheme="minorHAnsi" w:hAnsiTheme="minorHAnsi" w:cstheme="minorHAnsi"/>
                <w:sz w:val="20"/>
                <w:szCs w:val="20"/>
              </w:rPr>
            </w:pPr>
          </w:p>
          <w:p w14:paraId="3441C461"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Italy</w:t>
            </w:r>
          </w:p>
          <w:p w14:paraId="5A178C83"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54765E2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analyse the reasons for warfarin discontinuation in a real-world population</w:t>
            </w:r>
          </w:p>
          <w:p w14:paraId="5C079CFE" w14:textId="77777777" w:rsidR="00DA7737" w:rsidRPr="00066031" w:rsidRDefault="00DA7737" w:rsidP="00F73E3D">
            <w:pPr>
              <w:rPr>
                <w:rFonts w:asciiTheme="minorHAnsi" w:hAnsiTheme="minorHAnsi"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B1EA26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Patients with vascular disease, age </w:t>
            </w:r>
            <w:r w:rsidRPr="00066031">
              <w:rPr>
                <w:rFonts w:asciiTheme="minorHAnsi" w:hAnsiTheme="minorHAnsi" w:cstheme="minorHAnsi"/>
                <w:sz w:val="20"/>
                <w:szCs w:val="20"/>
              </w:rPr>
              <w:sym w:font="Symbol" w:char="F0B3"/>
            </w:r>
            <w:r w:rsidRPr="00066031">
              <w:rPr>
                <w:rFonts w:asciiTheme="minorHAnsi" w:hAnsiTheme="minorHAnsi" w:cstheme="minorHAnsi"/>
                <w:sz w:val="20"/>
                <w:szCs w:val="20"/>
              </w:rPr>
              <w:t>80</w:t>
            </w:r>
            <w:proofErr w:type="gramStart"/>
            <w:r w:rsidRPr="00066031">
              <w:rPr>
                <w:rFonts w:asciiTheme="minorHAnsi" w:hAnsiTheme="minorHAnsi" w:cstheme="minorHAnsi"/>
                <w:sz w:val="20"/>
                <w:szCs w:val="20"/>
              </w:rPr>
              <w:t>years,labile</w:t>
            </w:r>
            <w:proofErr w:type="gramEnd"/>
            <w:r w:rsidRPr="00066031">
              <w:rPr>
                <w:rFonts w:asciiTheme="minorHAnsi" w:hAnsiTheme="minorHAnsi" w:cstheme="minorHAnsi"/>
                <w:sz w:val="20"/>
                <w:szCs w:val="20"/>
              </w:rPr>
              <w:t xml:space="preserve"> INR  and those with increased bleeding risk were more likely to discontinue treatment. Ninety-two percent of decision to discontinue were made </w:t>
            </w:r>
            <w:proofErr w:type="gramStart"/>
            <w:r w:rsidRPr="00066031">
              <w:rPr>
                <w:rFonts w:asciiTheme="minorHAnsi" w:hAnsiTheme="minorHAnsi" w:cstheme="minorHAnsi"/>
                <w:sz w:val="20"/>
                <w:szCs w:val="20"/>
              </w:rPr>
              <w:t>by  made</w:t>
            </w:r>
            <w:proofErr w:type="gramEnd"/>
            <w:r w:rsidRPr="00066031">
              <w:rPr>
                <w:rFonts w:asciiTheme="minorHAnsi" w:hAnsiTheme="minorHAnsi" w:cstheme="minorHAnsi"/>
                <w:sz w:val="20"/>
                <w:szCs w:val="20"/>
              </w:rPr>
              <w:t xml:space="preserve"> by healthcare professionals- main reasons were low life expectancy, frailty and bleeding side effects. Other reasons were monitoring difficulties and poor compliance</w:t>
            </w:r>
          </w:p>
        </w:tc>
        <w:tc>
          <w:tcPr>
            <w:tcW w:w="2835" w:type="dxa"/>
            <w:tcBorders>
              <w:top w:val="single" w:sz="4" w:space="0" w:color="auto"/>
              <w:left w:val="single" w:sz="4" w:space="0" w:color="auto"/>
              <w:bottom w:val="single" w:sz="4" w:space="0" w:color="auto"/>
            </w:tcBorders>
          </w:tcPr>
          <w:p w14:paraId="514912F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This study shows that anticoagulation in the very elderly still presents a challenge. This study was based on warfarin alone. Further research is needed to explore if the introduction of DOACs improve the quality, and thus the persistence of anticoagulant treatment to achieve improved patient outcomes.</w:t>
            </w:r>
          </w:p>
        </w:tc>
      </w:tr>
      <w:tr w:rsidR="00DA7737" w:rsidRPr="00066031" w14:paraId="5806DB84" w14:textId="77777777" w:rsidTr="00F73E3D">
        <w:tc>
          <w:tcPr>
            <w:tcW w:w="1589" w:type="dxa"/>
            <w:tcBorders>
              <w:top w:val="single" w:sz="4" w:space="0" w:color="auto"/>
              <w:left w:val="single" w:sz="4" w:space="0" w:color="auto"/>
              <w:bottom w:val="single" w:sz="4" w:space="0" w:color="auto"/>
              <w:right w:val="single" w:sz="4" w:space="0" w:color="auto"/>
            </w:tcBorders>
          </w:tcPr>
          <w:p w14:paraId="45D7336C" w14:textId="77777777" w:rsidR="00DA7737" w:rsidRDefault="00DA7737" w:rsidP="00F73E3D">
            <w:pPr>
              <w:rPr>
                <w:rFonts w:asciiTheme="minorHAnsi" w:hAnsiTheme="minorHAnsi" w:cstheme="minorHAnsi"/>
                <w:sz w:val="20"/>
                <w:szCs w:val="20"/>
              </w:rPr>
            </w:pPr>
          </w:p>
          <w:p w14:paraId="6BDC7FE3"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Glauser</w:t>
            </w:r>
            <w:proofErr w:type="spellEnd"/>
            <w:r>
              <w:rPr>
                <w:rFonts w:asciiTheme="minorHAnsi" w:hAnsiTheme="minorHAnsi" w:cstheme="minorHAnsi"/>
                <w:sz w:val="20"/>
                <w:szCs w:val="20"/>
              </w:rPr>
              <w:t xml:space="preserve"> </w:t>
            </w:r>
            <w:r w:rsidRPr="001C73DD">
              <w:rPr>
                <w:rFonts w:asciiTheme="minorHAnsi" w:hAnsiTheme="minorHAnsi" w:cstheme="minorHAnsi"/>
                <w:i/>
                <w:iCs/>
                <w:sz w:val="20"/>
                <w:szCs w:val="20"/>
              </w:rPr>
              <w:t>et al</w:t>
            </w:r>
            <w:r>
              <w:rPr>
                <w:rFonts w:asciiTheme="minorHAnsi" w:hAnsiTheme="minorHAnsi" w:cstheme="minorHAnsi"/>
                <w:sz w:val="20"/>
                <w:szCs w:val="20"/>
              </w:rPr>
              <w:t xml:space="preserve">., 2016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{"citationItems":[{"id":"ITEM-1","itemData":{"DOI":"10.1177/1062860614547363","ISSN":"1062-8606","author":[{"dropping-particle":"","family":"Glauser","given":"Terry Ann","non-dropping-particle":"","parse-names":false,"suffix":""},{"dropping-particle":"","family":"Barnes","given":"Justin","non-dropping-particle":"","parse-names":false,"suffix":""},{"dropping-particle":"","family":"Nevins","given":"Holder","non-dropping-particle":"","parse-names":false,"suffix":""},{"dropping-particle":"","family":"Cerenzia","given":"Wendy","non-dropping-particle":"","parse-names":false,"suffix":""}],"container-title":"American Journal of Medical Quality","id":"ITEM-1","issue":"1","issued":{"date-parts":[["2016"]]},"note":"1","page":"38-46","title":"The Educational Needs of Clinicians Regarding Anticoagulation Therapy for Prevention of Thromboembolism and Stroke in Patients With Atrial Fibrillation","type":"article-journal","volume":"31"},"uris":["http://www.mendeley.com/documents/?uuid=1674efd1-571f-483f-a1a7-5f033ef22e0f"]}],"mendeley":{"formattedCitation":"(35)","plainTextFormattedCitation":"(35)","previouslyFormattedCitation":"(34)"},"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(35)</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523168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2E235A8F" w14:textId="77777777" w:rsidR="00DA7737" w:rsidRPr="00066031" w:rsidRDefault="00DA7737" w:rsidP="00F73E3D">
            <w:pPr>
              <w:rPr>
                <w:rFonts w:asciiTheme="minorHAnsi" w:hAnsiTheme="minorHAnsi" w:cstheme="minorHAnsi"/>
                <w:sz w:val="20"/>
                <w:szCs w:val="20"/>
              </w:rPr>
            </w:pPr>
          </w:p>
          <w:p w14:paraId="1D55F7EB"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0614AF4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51 Cardiologists 50 primary care physicians</w:t>
            </w:r>
          </w:p>
          <w:p w14:paraId="62957735" w14:textId="77777777" w:rsidR="00DA7737" w:rsidRPr="00066031" w:rsidRDefault="00DA7737" w:rsidP="00F73E3D">
            <w:pPr>
              <w:rPr>
                <w:rFonts w:asciiTheme="minorHAnsi" w:hAnsiTheme="minorHAnsi" w:cstheme="minorHAnsi"/>
                <w:sz w:val="20"/>
                <w:szCs w:val="20"/>
              </w:rPr>
            </w:pPr>
          </w:p>
          <w:p w14:paraId="1B0B177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U.S.A</w:t>
            </w:r>
          </w:p>
          <w:p w14:paraId="13907A64"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28B4045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determine the attitudes and practice patterns of doctors regarding anticoagulation in AF.</w:t>
            </w:r>
          </w:p>
        </w:tc>
        <w:tc>
          <w:tcPr>
            <w:tcW w:w="3402" w:type="dxa"/>
            <w:tcBorders>
              <w:top w:val="single" w:sz="4" w:space="0" w:color="auto"/>
              <w:left w:val="single" w:sz="4" w:space="0" w:color="auto"/>
              <w:bottom w:val="single" w:sz="4" w:space="0" w:color="auto"/>
              <w:right w:val="single" w:sz="4" w:space="0" w:color="auto"/>
            </w:tcBorders>
          </w:tcPr>
          <w:p w14:paraId="1D17C91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Cardiologists relied on Stroke risk scores for clinical assessment whereas primary care physicians relied on clinical judgement and experience.</w:t>
            </w:r>
          </w:p>
        </w:tc>
        <w:tc>
          <w:tcPr>
            <w:tcW w:w="2835" w:type="dxa"/>
            <w:tcBorders>
              <w:top w:val="single" w:sz="4" w:space="0" w:color="auto"/>
              <w:left w:val="single" w:sz="4" w:space="0" w:color="auto"/>
              <w:bottom w:val="single" w:sz="4" w:space="0" w:color="auto"/>
            </w:tcBorders>
          </w:tcPr>
          <w:p w14:paraId="348B1DE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This study was performed in spring 2012 before guidelines were updated so attitudes and prescribing behaviour patterns of clinicians is likely to have since changed. DOACs still very new.</w:t>
            </w:r>
          </w:p>
        </w:tc>
      </w:tr>
      <w:tr w:rsidR="00DA7737" w:rsidRPr="00066031" w14:paraId="48D38014" w14:textId="77777777" w:rsidTr="00F73E3D">
        <w:tc>
          <w:tcPr>
            <w:tcW w:w="1589" w:type="dxa"/>
            <w:tcBorders>
              <w:top w:val="single" w:sz="4" w:space="0" w:color="auto"/>
              <w:left w:val="single" w:sz="4" w:space="0" w:color="auto"/>
              <w:bottom w:val="single" w:sz="4" w:space="0" w:color="auto"/>
              <w:right w:val="single" w:sz="4" w:space="0" w:color="auto"/>
            </w:tcBorders>
          </w:tcPr>
          <w:p w14:paraId="1A20446D" w14:textId="77777777" w:rsidR="00DA7737" w:rsidRDefault="00DA7737" w:rsidP="00F73E3D">
            <w:pPr>
              <w:jc w:val="center"/>
              <w:rPr>
                <w:rFonts w:asciiTheme="minorHAnsi" w:hAnsiTheme="minorHAnsi" w:cstheme="minorHAnsi"/>
                <w:sz w:val="20"/>
                <w:szCs w:val="20"/>
              </w:rPr>
            </w:pPr>
          </w:p>
          <w:p w14:paraId="62EDCB88"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Hanon </w:t>
            </w:r>
            <w:r w:rsidRPr="001C73DD">
              <w:rPr>
                <w:rFonts w:asciiTheme="minorHAnsi" w:hAnsiTheme="minorHAnsi" w:cstheme="minorHAnsi"/>
                <w:i/>
                <w:iCs/>
                <w:sz w:val="20"/>
                <w:szCs w:val="20"/>
              </w:rPr>
              <w:t>et al.,</w:t>
            </w:r>
            <w:r>
              <w:rPr>
                <w:rFonts w:asciiTheme="minorHAnsi" w:hAnsiTheme="minorHAnsi" w:cstheme="minorHAnsi"/>
                <w:sz w:val="20"/>
                <w:szCs w:val="20"/>
              </w:rPr>
              <w:t xml:space="preserve"> 2016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10.1371/journal.pone.0166218","author":[{"dropping-particle":"","family":"Hanon","given":"O","non-dropping-particle":"","parse-names":false,"suffix":""},{"dropping-particle":"","family":"Chaussade","given":"E","non-dropping-particle":"","parse-names":false,"suffix":""},{"dropping-particle":"","family":"Gueranger","given":"P","non-dropping-particle":"","parse-names":false,"suffix":""},{"dropping-particle":"","family":"Gruson","given":"E","non-dropping-particle":"","parse-names":false,"suffix":""},{"dropping-particle":"","family":"Bonan","given":"S","non-dropping-particle":"","parse-names":false,"suffix":""},{"dropping-particle":"","family":"Gay","given":"A","non-dropping-particle":"","parse-names":false,"suffix":""}],"container-title":"PLoS ONE","id":"ITEM-1","issue":"12","issued":{"date-parts":[["2016"]]},"note":"Cited By :3\n\nExport Date: 6 February 2018","title":"Patient-reported treatment satisfaction with rivaroxaban for stroke prevention in atrial fibrillation. A French observational study, the SAFARI study","type":"article-journal","volume":"11"},"uris":["http://www.mendeley.com/documents/?uuid=4bb6f22d-76f7-4525-99e2-3dbee1e924f8"]}],"mendeley":{"formattedCitation":"(36)","plainTextFormattedCitation":"(36)","previouslyFormattedCitation":"(35)"},"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(36)</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57A61A9D"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1A57DCB1" w14:textId="77777777" w:rsidR="00DA7737" w:rsidRPr="00066031" w:rsidRDefault="00DA7737" w:rsidP="00F73E3D">
            <w:pPr>
              <w:jc w:val="center"/>
              <w:rPr>
                <w:rFonts w:asciiTheme="minorHAnsi" w:hAnsiTheme="minorHAnsi" w:cstheme="minorHAnsi"/>
                <w:sz w:val="20"/>
                <w:szCs w:val="20"/>
              </w:rPr>
            </w:pPr>
          </w:p>
          <w:p w14:paraId="37BA3C1B" w14:textId="77777777" w:rsidR="00DA7737" w:rsidRPr="00066031" w:rsidRDefault="00DA7737" w:rsidP="00F73E3D">
            <w:pPr>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7EA0AE6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51 cardiologists and 422 patients</w:t>
            </w:r>
          </w:p>
          <w:p w14:paraId="75506489" w14:textId="77777777" w:rsidR="00DA7737" w:rsidRPr="00066031" w:rsidRDefault="00DA7737" w:rsidP="00F73E3D">
            <w:pPr>
              <w:rPr>
                <w:rFonts w:asciiTheme="minorHAnsi" w:hAnsiTheme="minorHAnsi" w:cstheme="minorHAnsi"/>
                <w:sz w:val="20"/>
                <w:szCs w:val="20"/>
              </w:rPr>
            </w:pPr>
          </w:p>
          <w:p w14:paraId="282DCCFD" w14:textId="77777777" w:rsidR="00DA7737" w:rsidRPr="00066031" w:rsidRDefault="00DA7737" w:rsidP="00F73E3D">
            <w:pPr>
              <w:rPr>
                <w:rFonts w:asciiTheme="minorHAnsi" w:hAnsiTheme="minorHAnsi" w:cstheme="minorHAnsi"/>
                <w:sz w:val="20"/>
                <w:szCs w:val="20"/>
              </w:rPr>
            </w:pPr>
          </w:p>
          <w:p w14:paraId="001DCB13"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France</w:t>
            </w:r>
          </w:p>
          <w:p w14:paraId="12043E1E"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47CFD0C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assess patient satisfaction after switch from VKA to rivaroxaban</w:t>
            </w:r>
          </w:p>
        </w:tc>
        <w:tc>
          <w:tcPr>
            <w:tcW w:w="3402" w:type="dxa"/>
            <w:tcBorders>
              <w:top w:val="single" w:sz="4" w:space="0" w:color="auto"/>
              <w:left w:val="single" w:sz="4" w:space="0" w:color="auto"/>
              <w:bottom w:val="single" w:sz="4" w:space="0" w:color="auto"/>
              <w:right w:val="single" w:sz="4" w:space="0" w:color="auto"/>
            </w:tcBorders>
          </w:tcPr>
          <w:p w14:paraId="0A8A30C2"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Improved patient satisfaction and adherence with rivaroxaban, assessed by burden and benefit scores. Patients over the age of 75 had a higher discontinuation rate mainly due to adverse bleeding events.</w:t>
            </w:r>
          </w:p>
        </w:tc>
        <w:tc>
          <w:tcPr>
            <w:tcW w:w="2835" w:type="dxa"/>
            <w:tcBorders>
              <w:top w:val="single" w:sz="4" w:space="0" w:color="auto"/>
              <w:left w:val="single" w:sz="4" w:space="0" w:color="auto"/>
              <w:bottom w:val="single" w:sz="4" w:space="0" w:color="auto"/>
            </w:tcBorders>
          </w:tcPr>
          <w:p w14:paraId="727D37D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A large majority of the physicians in this study were from private practice and this could influence the type of patients and responses. More than half of the patients in this study were not prescribed the appropriate dose of rivaroxaban based on eGFR.</w:t>
            </w:r>
          </w:p>
        </w:tc>
      </w:tr>
      <w:tr w:rsidR="00DA7737" w:rsidRPr="00066031" w14:paraId="2AF0FDE1" w14:textId="77777777" w:rsidTr="00F73E3D">
        <w:tc>
          <w:tcPr>
            <w:tcW w:w="1589" w:type="dxa"/>
            <w:tcBorders>
              <w:top w:val="single" w:sz="4" w:space="0" w:color="auto"/>
              <w:left w:val="single" w:sz="4" w:space="0" w:color="auto"/>
              <w:bottom w:val="single" w:sz="4" w:space="0" w:color="auto"/>
              <w:right w:val="single" w:sz="4" w:space="0" w:color="auto"/>
            </w:tcBorders>
          </w:tcPr>
          <w:p w14:paraId="74E564CA" w14:textId="77777777" w:rsidR="00DA7737" w:rsidRDefault="00DA7737" w:rsidP="00F73E3D">
            <w:pPr>
              <w:jc w:val="center"/>
              <w:rPr>
                <w:rFonts w:asciiTheme="minorHAnsi" w:hAnsiTheme="minorHAnsi" w:cstheme="minorHAnsi"/>
                <w:sz w:val="20"/>
                <w:szCs w:val="20"/>
              </w:rPr>
            </w:pPr>
          </w:p>
          <w:p w14:paraId="1F589E4F"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Wang and </w:t>
            </w:r>
            <w:proofErr w:type="spellStart"/>
            <w:r>
              <w:rPr>
                <w:rFonts w:asciiTheme="minorHAnsi" w:hAnsiTheme="minorHAnsi" w:cstheme="minorHAnsi"/>
                <w:sz w:val="20"/>
                <w:szCs w:val="20"/>
              </w:rPr>
              <w:t>Bajorek</w:t>
            </w:r>
            <w:proofErr w:type="spellEnd"/>
            <w:r>
              <w:rPr>
                <w:rFonts w:asciiTheme="minorHAnsi" w:hAnsiTheme="minorHAnsi" w:cstheme="minorHAnsi"/>
                <w:sz w:val="20"/>
                <w:szCs w:val="20"/>
              </w:rPr>
              <w:t xml:space="preserve">, 2016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{"citationItems":[{"id":"ITEM-1","itemData":{"DOI":"10.1007/s11096-016-0329-y","ISBN":"2210-7711 (Electronic)","ISSN":"22107711","PMID":"27286973","abstract":"Background For stroke prevention in patients with atrial fibrillation (AF), the decision-making around antithrombotic therapy has been complicated by older age, multiple comorbidities, polypharmacy and the different pharmacological properties of warfarin and the nonvitamin K antagonist oral anticoagulants (NOACs). The complexity of decision-making has been associated with a reluctance by health professionals to use antithrombotic therapy, leading to poor clinical outcomes. In order to improve stroke prevention in patients with AF, the contemporary perspectives of health professionals on the decision-making around antithrombotic therapy needs exploration. Objective To elicit emerging themes describing health professionals' perspectives on the decision-making around antithrombotic therapy for stroke prevention in patients with AF. Setting Sydney metropolitan area of New South Wales, Australia. Method A qualitative study based on face-to-face interviews was conducted from August to October 2014. Seven pharmacists, seven specialists, six general practitioners and six nurses practising in the Sydney metropolitan area and managing antithrombotic therapy for AF were interviewed until theme saturation was achieved in each subgroup. Interview transcripts were analysed using manual inductive coding. Main outcome measure Emerging themes describing health professionals' perspectives on the decision-making around antithrombotic therapy for stroke prevention in patients with AF. Results Three overarching themes emerged. (1) Comprehensive assessment is necessary for decision-making but is not always implemented. Health professionals mostly focused on stroke risk assessment, not on the bleeding risk and medication safety issues. (2) Health professionals from different disciplines have different preferences for antithrombotic therapies. Although the majority of health professionals considered warfarin as the first-line therapy, NOACs were preferred by neurologists and haematologists. (3) Health professionals focused on different aspects of the decision making process: GPs and specialists were concerned about the appropriate prescription of antithrombotics, while pharmacists and nurses focused on daily medication management by patients. Conclusion The decision-making process appears to be partially preference based rather than systematic, and health professionals from various disciplines focus on different parts of the decision-making process.","author":[{"dropping-particle":"","family":"Wang","given":"Yishen","non-dropping-particle":"","parse-names":false,"suffix":""},{"dropping-particle":"","family":"Bajorek","given":"Beata","non-dropping-particle":"","parse-names":false,"suffix":""}],"container-title":"International Journal of Clinical Pharmacy","id":"ITEM-1","issued":{"date-parts":[["2016"]]},"title":"Decision-making around antithrombotics for stroke prevention in atrial fibrillation: the health professionals’ views","type":"article-journal"},"uris":["http://www.mendeley.com/documents/?uuid=87e9b4bf-1c7b-3520-a67f-5d85b0c3006a"]}],"mendeley":{"formattedCitation":"(37)","plainTextFormattedCitation":"(37)","previouslyFormattedCitation":"(36)"},"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(37)</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5BDF92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Qualitative</w:t>
            </w:r>
          </w:p>
          <w:p w14:paraId="040CB081" w14:textId="77777777" w:rsidR="00DA7737" w:rsidRPr="00066031" w:rsidRDefault="00DA7737" w:rsidP="00F73E3D">
            <w:pPr>
              <w:rPr>
                <w:rFonts w:asciiTheme="minorHAnsi" w:hAnsiTheme="minorHAnsi" w:cstheme="minorHAnsi"/>
                <w:sz w:val="20"/>
                <w:szCs w:val="20"/>
              </w:rPr>
            </w:pPr>
          </w:p>
          <w:p w14:paraId="75DBFC15"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1362ACD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26 healthcare professionals</w:t>
            </w:r>
          </w:p>
          <w:p w14:paraId="4B8C72B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7 specialist clinicians</w:t>
            </w:r>
          </w:p>
          <w:p w14:paraId="6619B77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6 GPs</w:t>
            </w:r>
          </w:p>
          <w:p w14:paraId="039F1F2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7 Pharmacists</w:t>
            </w:r>
          </w:p>
          <w:p w14:paraId="0A7BD2E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6 Nurses</w:t>
            </w:r>
          </w:p>
          <w:p w14:paraId="4B558077" w14:textId="77777777" w:rsidR="00DA7737" w:rsidRPr="00066031" w:rsidRDefault="00DA7737" w:rsidP="00F73E3D">
            <w:pPr>
              <w:rPr>
                <w:rFonts w:asciiTheme="minorHAnsi" w:hAnsiTheme="minorHAnsi" w:cstheme="minorHAnsi"/>
                <w:sz w:val="20"/>
                <w:szCs w:val="20"/>
              </w:rPr>
            </w:pPr>
          </w:p>
          <w:p w14:paraId="2A2E2BB3" w14:textId="77777777" w:rsidR="00DA7737" w:rsidRPr="00066031" w:rsidRDefault="00DA7737" w:rsidP="00F73E3D">
            <w:pPr>
              <w:rPr>
                <w:rFonts w:asciiTheme="minorHAnsi" w:hAnsiTheme="minorHAnsi" w:cstheme="minorHAnsi"/>
                <w:sz w:val="20"/>
                <w:szCs w:val="20"/>
              </w:rPr>
            </w:pPr>
          </w:p>
          <w:p w14:paraId="484F3D08"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Australia</w:t>
            </w:r>
          </w:p>
        </w:tc>
        <w:tc>
          <w:tcPr>
            <w:tcW w:w="3114" w:type="dxa"/>
            <w:tcBorders>
              <w:top w:val="single" w:sz="4" w:space="0" w:color="auto"/>
              <w:left w:val="single" w:sz="4" w:space="0" w:color="auto"/>
              <w:bottom w:val="single" w:sz="4" w:space="0" w:color="auto"/>
              <w:right w:val="single" w:sz="4" w:space="0" w:color="auto"/>
            </w:tcBorders>
          </w:tcPr>
          <w:p w14:paraId="22E52EE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To explore healthcare professionals’ views on the use of oral anticoagulants for stroke prevention in AF</w:t>
            </w:r>
          </w:p>
        </w:tc>
        <w:tc>
          <w:tcPr>
            <w:tcW w:w="3402" w:type="dxa"/>
            <w:tcBorders>
              <w:top w:val="single" w:sz="4" w:space="0" w:color="auto"/>
              <w:left w:val="single" w:sz="4" w:space="0" w:color="auto"/>
              <w:bottom w:val="single" w:sz="4" w:space="0" w:color="auto"/>
              <w:right w:val="single" w:sz="4" w:space="0" w:color="auto"/>
            </w:tcBorders>
          </w:tcPr>
          <w:p w14:paraId="4D461DD4"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Decision making is based on the doctor’s preference and influenced by the specialty and the types of patients they see. Pharmacists and nurses were </w:t>
            </w:r>
            <w:r w:rsidRPr="00066031">
              <w:rPr>
                <w:rFonts w:asciiTheme="minorHAnsi" w:hAnsiTheme="minorHAnsi" w:cstheme="minorHAnsi"/>
                <w:sz w:val="20"/>
                <w:szCs w:val="20"/>
              </w:rPr>
              <w:lastRenderedPageBreak/>
              <w:t>more concerned with issues pertaining to patient safety and medication management.</w:t>
            </w:r>
          </w:p>
        </w:tc>
        <w:tc>
          <w:tcPr>
            <w:tcW w:w="2835" w:type="dxa"/>
            <w:tcBorders>
              <w:top w:val="single" w:sz="4" w:space="0" w:color="auto"/>
              <w:left w:val="single" w:sz="4" w:space="0" w:color="auto"/>
              <w:bottom w:val="single" w:sz="4" w:space="0" w:color="auto"/>
            </w:tcBorders>
          </w:tcPr>
          <w:p w14:paraId="15F31EC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This study was carried out in 2014 when DOACs were still novel and ther</w:t>
            </w:r>
            <w:r>
              <w:rPr>
                <w:rFonts w:asciiTheme="minorHAnsi" w:hAnsiTheme="minorHAnsi" w:cstheme="minorHAnsi"/>
                <w:sz w:val="20"/>
                <w:szCs w:val="20"/>
              </w:rPr>
              <w:t>e</w:t>
            </w:r>
            <w:r w:rsidRPr="00066031">
              <w:rPr>
                <w:rFonts w:asciiTheme="minorHAnsi" w:hAnsiTheme="minorHAnsi" w:cstheme="minorHAnsi"/>
                <w:sz w:val="20"/>
                <w:szCs w:val="20"/>
              </w:rPr>
              <w:t xml:space="preserve"> was some unfamiliarity with their use, </w:t>
            </w:r>
            <w:r w:rsidRPr="00066031">
              <w:rPr>
                <w:rFonts w:asciiTheme="minorHAnsi" w:hAnsiTheme="minorHAnsi" w:cstheme="minorHAnsi"/>
                <w:sz w:val="20"/>
                <w:szCs w:val="20"/>
              </w:rPr>
              <w:lastRenderedPageBreak/>
              <w:t xml:space="preserve">Attitudes may have since changed as standardised guidelines and new evidence emerge.  </w:t>
            </w:r>
          </w:p>
        </w:tc>
      </w:tr>
      <w:tr w:rsidR="00DA7737" w:rsidRPr="00066031" w14:paraId="052E3E4A" w14:textId="77777777" w:rsidTr="00F73E3D">
        <w:tc>
          <w:tcPr>
            <w:tcW w:w="1589" w:type="dxa"/>
            <w:tcBorders>
              <w:top w:val="single" w:sz="4" w:space="0" w:color="auto"/>
              <w:left w:val="single" w:sz="4" w:space="0" w:color="auto"/>
              <w:bottom w:val="single" w:sz="4" w:space="0" w:color="auto"/>
              <w:right w:val="single" w:sz="4" w:space="0" w:color="auto"/>
            </w:tcBorders>
          </w:tcPr>
          <w:p w14:paraId="7A487A0D" w14:textId="77777777" w:rsidR="00DA7737" w:rsidRDefault="00DA7737" w:rsidP="00F73E3D">
            <w:pPr>
              <w:jc w:val="center"/>
              <w:rPr>
                <w:rFonts w:asciiTheme="minorHAnsi" w:hAnsiTheme="minorHAnsi" w:cstheme="minorHAnsi"/>
                <w:sz w:val="20"/>
                <w:szCs w:val="20"/>
              </w:rPr>
            </w:pPr>
          </w:p>
          <w:p w14:paraId="497F3258" w14:textId="77777777" w:rsidR="00DA7737" w:rsidRPr="00066031" w:rsidRDefault="00DA7737" w:rsidP="00F73E3D">
            <w:pPr>
              <w:jc w:val="center"/>
              <w:rPr>
                <w:rFonts w:asciiTheme="minorHAnsi" w:hAnsiTheme="minorHAnsi" w:cstheme="minorHAnsi"/>
                <w:sz w:val="20"/>
                <w:szCs w:val="20"/>
              </w:rPr>
            </w:pPr>
            <w:proofErr w:type="spellStart"/>
            <w:r>
              <w:rPr>
                <w:rFonts w:asciiTheme="minorHAnsi" w:hAnsiTheme="minorHAnsi" w:cstheme="minorHAnsi"/>
                <w:sz w:val="20"/>
                <w:szCs w:val="20"/>
              </w:rPr>
              <w:t>Crivera</w:t>
            </w:r>
            <w:proofErr w:type="spellEnd"/>
            <w:r>
              <w:rPr>
                <w:rFonts w:asciiTheme="minorHAnsi" w:hAnsiTheme="minorHAnsi" w:cstheme="minorHAnsi"/>
                <w:sz w:val="20"/>
                <w:szCs w:val="20"/>
              </w:rPr>
              <w:t xml:space="preserve"> </w:t>
            </w:r>
            <w:r w:rsidRPr="001C73DD">
              <w:rPr>
                <w:rFonts w:asciiTheme="minorHAnsi" w:hAnsiTheme="minorHAnsi" w:cstheme="minorHAnsi"/>
                <w:i/>
                <w:iCs/>
                <w:sz w:val="20"/>
                <w:szCs w:val="20"/>
              </w:rPr>
              <w:t>et al.,</w:t>
            </w:r>
            <w:r>
              <w:rPr>
                <w:rFonts w:asciiTheme="minorHAnsi" w:hAnsiTheme="minorHAnsi" w:cstheme="minorHAnsi"/>
                <w:sz w:val="20"/>
                <w:szCs w:val="20"/>
              </w:rPr>
              <w:t xml:space="preserve"> 2016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{"citationItems":[{"id":"ITEM-1","itemData":{"DOI":"10.2147/PPA.S106215","author":[{"dropping-particle":"","family":"Crivera","given":"C","non-dropping-particle":"","parse-names":false,"suffix":""},{"dropping-particle":"","family":"Nelson","given":"W W","non-dropping-particle":"","parse-names":false,"suffix":""},{"dropping-particle":"","family":"Schein","given":"J R","non-dropping-particle":"","parse-names":false,"suffix":""},{"dropping-particle":"","family":"Witt","given":"E A","non-dropping-particle":"","parse-names":false,"suffix":""}],"container-title":"Patient Preference and Adherence","id":"ITEM-1","issued":{"date-parts":[["2016"]]},"note":"Cited By :2\n\nExport Date: 6 February 2018","page":"795-805","title":"Attitudes toward anticoagulant treatment among nonvalvular atrial fibrillation patients at high risk of stroke and low risk of bleed","type":"article-journal","volume":"10"},"uris":["http://www.mendeley.com/documents/?uuid=144ddf6e-5d14-42f0-bc56-f671af3794fe"]}],"mendeley":{"formattedCitation":"(38)","plainTextFormattedCitation":"(38)","previouslyFormattedCitation":"(37)"},"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(38)</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2FBB29E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3A43EEF1" w14:textId="77777777" w:rsidR="00DA7737" w:rsidRPr="00066031" w:rsidRDefault="00DA7737" w:rsidP="00F73E3D">
            <w:pPr>
              <w:rPr>
                <w:rFonts w:asciiTheme="minorHAnsi" w:hAnsiTheme="minorHAnsi" w:cstheme="minorHAnsi"/>
                <w:sz w:val="20"/>
                <w:szCs w:val="20"/>
              </w:rPr>
            </w:pPr>
          </w:p>
          <w:p w14:paraId="5B3273D5"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39929BE1"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1184 patients </w:t>
            </w:r>
          </w:p>
          <w:p w14:paraId="4872D6FC" w14:textId="77777777" w:rsidR="00DA7737" w:rsidRPr="00066031" w:rsidRDefault="00DA7737" w:rsidP="00F73E3D">
            <w:pPr>
              <w:rPr>
                <w:rFonts w:asciiTheme="minorHAnsi" w:hAnsiTheme="minorHAnsi" w:cstheme="minorHAnsi"/>
                <w:sz w:val="20"/>
                <w:szCs w:val="20"/>
              </w:rPr>
            </w:pPr>
          </w:p>
          <w:p w14:paraId="78AE6FFD" w14:textId="77777777" w:rsidR="00DA7737" w:rsidRPr="00066031" w:rsidRDefault="00DA7737" w:rsidP="00F73E3D">
            <w:pPr>
              <w:rPr>
                <w:rFonts w:asciiTheme="minorHAnsi" w:hAnsiTheme="minorHAnsi" w:cstheme="minorHAnsi"/>
                <w:sz w:val="20"/>
                <w:szCs w:val="20"/>
              </w:rPr>
            </w:pPr>
          </w:p>
          <w:p w14:paraId="570B3312"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U.S.A</w:t>
            </w:r>
          </w:p>
          <w:p w14:paraId="63B3249C"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6A90642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assess patients’ reasons for nontreatment and their attitude towards anticoagulant treatment and dosing regimens</w:t>
            </w:r>
          </w:p>
        </w:tc>
        <w:tc>
          <w:tcPr>
            <w:tcW w:w="3402" w:type="dxa"/>
            <w:tcBorders>
              <w:top w:val="single" w:sz="4" w:space="0" w:color="auto"/>
              <w:left w:val="single" w:sz="4" w:space="0" w:color="auto"/>
              <w:bottom w:val="single" w:sz="4" w:space="0" w:color="auto"/>
              <w:right w:val="single" w:sz="4" w:space="0" w:color="auto"/>
            </w:tcBorders>
          </w:tcPr>
          <w:p w14:paraId="405F83E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Bleeding concern (followed by medical need) was the major reason for stopping anticoagulation, even though patients were classified as having a high stroke and low bleeding risk. Fifty seven percent of patients who were never anticoagulated were on aspirin for AF suggesting an underestimation of stroke risk. Patients reported taking a pill once a day more favourable.</w:t>
            </w:r>
          </w:p>
        </w:tc>
        <w:tc>
          <w:tcPr>
            <w:tcW w:w="2835" w:type="dxa"/>
            <w:tcBorders>
              <w:top w:val="single" w:sz="4" w:space="0" w:color="auto"/>
              <w:left w:val="single" w:sz="4" w:space="0" w:color="auto"/>
              <w:bottom w:val="single" w:sz="4" w:space="0" w:color="auto"/>
            </w:tcBorders>
          </w:tcPr>
          <w:p w14:paraId="2B537322"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Potential sources of bias for this paper include: Recruitment and sampling for this study were not stratified. ATRIA scores were used to assess bleeding risk rather than HASBLED. The authors are employees of Janssen, which is the marketer for rivaroxaban in U.S.A.</w:t>
            </w:r>
          </w:p>
          <w:p w14:paraId="3B74A6C2"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The difference in patient preference between taking a pill once Vs. twice a day may not be statistically significant but this was only reported using descriptive statistics of mean and standard deviation</w:t>
            </w:r>
          </w:p>
        </w:tc>
      </w:tr>
      <w:tr w:rsidR="00DA7737" w:rsidRPr="00066031" w14:paraId="2354E8F7" w14:textId="77777777" w:rsidTr="00F73E3D">
        <w:tc>
          <w:tcPr>
            <w:tcW w:w="1589" w:type="dxa"/>
            <w:tcBorders>
              <w:top w:val="single" w:sz="4" w:space="0" w:color="auto"/>
              <w:left w:val="single" w:sz="4" w:space="0" w:color="auto"/>
              <w:bottom w:val="single" w:sz="4" w:space="0" w:color="auto"/>
              <w:right w:val="single" w:sz="4" w:space="0" w:color="auto"/>
            </w:tcBorders>
          </w:tcPr>
          <w:p w14:paraId="5A18603E" w14:textId="77777777" w:rsidR="00DA7737" w:rsidRDefault="00DA7737" w:rsidP="00F73E3D">
            <w:pPr>
              <w:rPr>
                <w:rFonts w:asciiTheme="minorHAnsi" w:hAnsiTheme="minorHAnsi" w:cstheme="minorHAnsi"/>
                <w:sz w:val="20"/>
                <w:szCs w:val="20"/>
              </w:rPr>
            </w:pPr>
          </w:p>
          <w:p w14:paraId="74310FAC"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Basaran</w:t>
            </w:r>
            <w:proofErr w:type="spellEnd"/>
            <w:r>
              <w:rPr>
                <w:rFonts w:asciiTheme="minorHAnsi" w:hAnsiTheme="minorHAnsi" w:cstheme="minorHAnsi"/>
                <w:sz w:val="20"/>
                <w:szCs w:val="20"/>
              </w:rPr>
              <w:t xml:space="preserve"> </w:t>
            </w:r>
            <w:r w:rsidRPr="001C73DD">
              <w:rPr>
                <w:rFonts w:asciiTheme="minorHAnsi" w:hAnsiTheme="minorHAnsi" w:cstheme="minorHAnsi"/>
                <w:i/>
                <w:iCs/>
                <w:sz w:val="20"/>
                <w:szCs w:val="20"/>
              </w:rPr>
              <w:t>et al</w:t>
            </w:r>
            <w:r>
              <w:rPr>
                <w:rFonts w:asciiTheme="minorHAnsi" w:hAnsiTheme="minorHAnsi" w:cstheme="minorHAnsi"/>
                <w:i/>
                <w:iCs/>
                <w:sz w:val="20"/>
                <w:szCs w:val="20"/>
              </w:rPr>
              <w:t>.</w:t>
            </w:r>
            <w:r>
              <w:rPr>
                <w:rFonts w:asciiTheme="minorHAnsi" w:hAnsiTheme="minorHAnsi" w:cstheme="minorHAnsi"/>
                <w:sz w:val="20"/>
                <w:szCs w:val="20"/>
              </w:rPr>
              <w:t xml:space="preserve">, 2016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{"citationItems":[{"id":"ITEM-1","itemData":{"DOI":"10.1097/MD.0000000000004672","ISBN":"0000000000","ISSN":"0025-7974","PMID":"27583892","abstract":"This study aimed to investigate the potential misuse of novel oral anticoagulants (NOACs) and the physicians' adherence to current European guideline recommendations in real-world using a large dataset from Real-life Multicenter Survey Evaluating Stroke Prevention Strategies in Turkey (RAMSES Study).RAMSES study is a prospective, multicenter, nationwide registry (ClinicalTrials.gov identifier NCT02344901). In this subgroup analysis of RAMSES study, patients who were on NOACs were classified as appropriately treated (AT), undertreated (UT), and overtreated (OT) according to the European Society of Cardiology (ESC) guidelines. The independent predictors of UT and OT were determined by multivariate logistic regression.Of the 2086 eligible patients, 1247 (59.8%) received adequate treatment. However, off-label use was detected in 839 (40.2%) patients; 634 (30.4%) patients received UT and 205 (9.8%) received OT. Independent predictors of UT included &gt;65 years of age, creatinine clearance &gt;/=50 mL/min, urban living, existing dabigatran treatment, and HAS-BLED score of &lt;3, whereas that of OT were creatinine clearance &lt;50 mL/min, ongoing rivaroxaban treatment, and HAS-BLED score of &gt;/=3.The suboptimal use of NOACs is common because of physicians' poor compliance to the guideline recommendations in patients with nonvalvular atrial fibrillation (NVAF). Older patients who were on dabigatran treatment with good renal functions and low risk of bleeding were at risk of UT, whereas patients who were on rivaroxaban treatment with renal impairment and high risk of bleeding were at risk of OT. Therefore, a greater emphasis should be given to prescribe the recommended dose for the specified patients.","author":[{"dropping-particle":"","family":"Başaran","given":"Özcan","non-dropping-particle":"","parse-names":false,"suffix":""},{"dropping-particle":"","family":"Dogan","given":"Volkan","non-dropping-particle":"","parse-names":false,"suffix":""},{"dropping-particle":"","family":"Beton","given":"Osman","non-dropping-particle":"","parse-names":false,"suffix":""},{"dropping-particle":"","family":"Tekinalp","given":"Mehmet","non-dropping-particle":"","parse-names":false,"suffix":""},{"dropping-particle":"","family":"Aykan","given":"Ahmet Cağri","non-dropping-particle":"","parse-names":false,"suffix":""},{"dropping-particle":"","family":"Kalaycioğlu","given":"Ezgi","non-dropping-particle":"","parse-names":false,"suffix":""},{"dropping-particle":"","family":"Bolat","given":"Ismail","non-dropping-particle":"","parse-names":false,"suffix":""},{"dropping-particle":"","family":"Taşar","given":"Onur","non-dropping-particle":"","parse-names":false,"suffix":""},{"dropping-particle":"","family":"Şafak","given":"Özgen","non-dropping-particle":"","parse-names":false,"suffix":""},{"dropping-particle":"","family":"Kalcik","given":"Macit","non-dropping-particle":"","parse-names":false,"suffix":""},{"dropping-particle":"","family":"Yaman","given":"Mehmet","non-dropping-particle":"","parse-names":false,"suffix":""},{"dropping-particle":"","family":"İnci","given":"Sinan","non-dropping-particle":"","parse-names":false,"suffix":""},{"dropping-particle":"","family":"Altintaş","given":"Bernas","non-dropping-particle":"","parse-names":false,"suffix":""},{"dropping-particle":"","family":"Kalkan","given":"Sedat","non-dropping-particle":"","parse-names":false,"suffix":""},{"dropping-particle":"","family":"Kirma","given":"Cevat","non-dropping-particle":"","parse-names":false,"suffix":""},{"dropping-particle":"","family":"Biteker","given":"Murat","non-dropping-particle":"","parse-names":false,"suffix":""}],"container-title":"Medicine","id":"ITEM-1","issue":"35","issued":{"date-parts":[["2016"]]},"page":"e4672","title":"Suboptimal use of non-vitamin K antagonist oral anticoagulants","type":"article-journal","volume":"95"},"uris":["http://www.mendeley.com/documents/?uuid=63905234-d198-4e35-a6bf-d0381dfb786b"]}],"mendeley":{"formattedCitation":"(39)","plainTextFormattedCitation":"(39)","previouslyFormattedCitation":"(38)"},"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(39)</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193341E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5E751875" w14:textId="77777777" w:rsidR="00DA7737" w:rsidRPr="00066031" w:rsidRDefault="00DA7737" w:rsidP="00F73E3D">
            <w:pPr>
              <w:rPr>
                <w:rFonts w:asciiTheme="minorHAnsi" w:hAnsiTheme="minorHAnsi" w:cstheme="minorHAnsi"/>
                <w:sz w:val="20"/>
                <w:szCs w:val="20"/>
              </w:rPr>
            </w:pPr>
          </w:p>
          <w:p w14:paraId="4D3827E8" w14:textId="77777777" w:rsidR="00DA7737" w:rsidRPr="00066031" w:rsidRDefault="00DA7737" w:rsidP="00F73E3D">
            <w:pPr>
              <w:rPr>
                <w:rFonts w:asciiTheme="minorHAnsi" w:hAnsiTheme="minorHAnsi" w:cstheme="minorHAnsi"/>
                <w:sz w:val="20"/>
                <w:szCs w:val="20"/>
              </w:rPr>
            </w:pPr>
          </w:p>
          <w:p w14:paraId="7E5FBC3B"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39C5122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2086 patients</w:t>
            </w:r>
          </w:p>
          <w:p w14:paraId="5857342B" w14:textId="77777777" w:rsidR="00DA7737" w:rsidRPr="00066031" w:rsidRDefault="00DA7737" w:rsidP="00F73E3D">
            <w:pPr>
              <w:rPr>
                <w:rFonts w:asciiTheme="minorHAnsi" w:hAnsiTheme="minorHAnsi" w:cstheme="minorHAnsi"/>
                <w:sz w:val="20"/>
                <w:szCs w:val="20"/>
              </w:rPr>
            </w:pPr>
          </w:p>
          <w:p w14:paraId="24793E13" w14:textId="77777777" w:rsidR="00DA7737" w:rsidRPr="00066031" w:rsidRDefault="00DA7737" w:rsidP="00F73E3D">
            <w:pPr>
              <w:rPr>
                <w:rFonts w:asciiTheme="minorHAnsi" w:hAnsiTheme="minorHAnsi" w:cstheme="minorHAnsi"/>
                <w:sz w:val="20"/>
                <w:szCs w:val="20"/>
              </w:rPr>
            </w:pPr>
          </w:p>
          <w:p w14:paraId="5A4F1A52"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Turkey</w:t>
            </w:r>
          </w:p>
          <w:p w14:paraId="27B19734"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63027071"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investigate the potential misuse of NOACs and effect of adherence to recommendations</w:t>
            </w:r>
          </w:p>
        </w:tc>
        <w:tc>
          <w:tcPr>
            <w:tcW w:w="3402" w:type="dxa"/>
            <w:tcBorders>
              <w:top w:val="single" w:sz="4" w:space="0" w:color="auto"/>
              <w:left w:val="single" w:sz="4" w:space="0" w:color="auto"/>
              <w:bottom w:val="single" w:sz="4" w:space="0" w:color="auto"/>
              <w:right w:val="single" w:sz="4" w:space="0" w:color="auto"/>
            </w:tcBorders>
          </w:tcPr>
          <w:p w14:paraId="6FA094F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Older patients with good renal function and low bleeding risk were more likely to be undertreated with dabigatran whilst patients with impaired renal function, and increased risk of bleeding were more likely to be overtreated with rivaroxaban</w:t>
            </w:r>
          </w:p>
        </w:tc>
        <w:tc>
          <w:tcPr>
            <w:tcW w:w="2835" w:type="dxa"/>
            <w:tcBorders>
              <w:top w:val="single" w:sz="4" w:space="0" w:color="auto"/>
              <w:left w:val="single" w:sz="4" w:space="0" w:color="auto"/>
              <w:bottom w:val="single" w:sz="4" w:space="0" w:color="auto"/>
            </w:tcBorders>
          </w:tcPr>
          <w:p w14:paraId="7E80840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This was a subgroup from another larger study. It is possible that the study design may introduce some bias in its reporting. Cross sectional study is a snapshot and does not explain the reasons for overtreatment or undertreatment </w:t>
            </w:r>
          </w:p>
        </w:tc>
      </w:tr>
      <w:tr w:rsidR="00DA7737" w:rsidRPr="00066031" w14:paraId="57FB4EF4" w14:textId="77777777" w:rsidTr="00F73E3D">
        <w:tc>
          <w:tcPr>
            <w:tcW w:w="1589" w:type="dxa"/>
            <w:tcBorders>
              <w:top w:val="single" w:sz="4" w:space="0" w:color="auto"/>
              <w:left w:val="single" w:sz="4" w:space="0" w:color="auto"/>
              <w:bottom w:val="single" w:sz="4" w:space="0" w:color="auto"/>
              <w:right w:val="single" w:sz="4" w:space="0" w:color="auto"/>
            </w:tcBorders>
          </w:tcPr>
          <w:p w14:paraId="0B7A140A" w14:textId="77777777" w:rsidR="00DA7737" w:rsidRDefault="00DA7737" w:rsidP="00F73E3D">
            <w:pPr>
              <w:rPr>
                <w:rFonts w:asciiTheme="minorHAnsi" w:hAnsiTheme="minorHAnsi" w:cstheme="minorHAnsi"/>
                <w:sz w:val="20"/>
                <w:szCs w:val="20"/>
              </w:rPr>
            </w:pPr>
          </w:p>
          <w:p w14:paraId="655F81F9"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Al-Khalili, Lindstrom and </w:t>
            </w:r>
            <w:r>
              <w:rPr>
                <w:rFonts w:asciiTheme="minorHAnsi" w:hAnsiTheme="minorHAnsi" w:cstheme="minorHAnsi"/>
                <w:sz w:val="20"/>
                <w:szCs w:val="20"/>
              </w:rPr>
              <w:lastRenderedPageBreak/>
              <w:t xml:space="preserve">Benson, 2016 </w:t>
            </w:r>
            <w:r>
              <w:rPr>
                <w:rFonts w:cstheme="minorHAnsi"/>
                <w:sz w:val="20"/>
                <w:szCs w:val="20"/>
              </w:rPr>
              <w:fldChar w:fldCharType="begin" w:fldLock="1"/>
            </w:r>
            <w:r>
              <w:rPr>
                <w:rFonts w:asciiTheme="minorHAnsi" w:hAnsiTheme="minorHAnsi" w:cstheme="minorHAnsi"/>
                <w:sz w:val="20"/>
                <w:szCs w:val="20"/>
              </w:rPr>
              <w:instrText>ADDIN CSL_CITATION {"citationItems":[{"id":"ITEM-1","itemData":{"DOI":"10.1016/j.ctrsc.2016.03.003","author":[{"dropping-particle":"","family":"Al-Khalili","given":"F","non-dropping-particle":"","parse-names":false,"suffix":""},{"dropping-particle":"","family":"Lindström","given":"C","non-dropping-particle":"","parse-names":false,"suffix":""},{"dropping-particle":"","family":"Benson","given":"L","non-dropping-particle":"","parse-names":false,"suffix":""}],"container-title":"Clinical Trials and Regulatory Science in Cardiology","id":"ITEM-1","issued":{"date-parts":[["2016"]]},"note":"Cited By :7\n\nExport Date: 6 February 2018","page":"1-4","title":"Adherence to anticoagulant treatment with apixaban and rivaroxaban in a real-world setting","type":"article-journal","volume":"18"},"uris":["http://www.mendeley.com/documents/?uuid=7735f1c5-f57f-4004-8923-8b6097b91a54"]}],"mendeley":{"formattedCitation":"(40)","plainTextFormattedCitation":"(40)","previouslyFormattedCitation":"(39)"},"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(40)</w:t>
            </w:r>
            <w:r>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1C0A0C1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Quantitative</w:t>
            </w:r>
          </w:p>
          <w:p w14:paraId="487EB801" w14:textId="77777777" w:rsidR="00DA7737" w:rsidRPr="00066031" w:rsidRDefault="00DA7737" w:rsidP="00F73E3D">
            <w:pPr>
              <w:rPr>
                <w:rFonts w:asciiTheme="minorHAnsi" w:hAnsiTheme="minorHAnsi" w:cstheme="minorHAnsi"/>
                <w:sz w:val="20"/>
                <w:szCs w:val="20"/>
              </w:rPr>
            </w:pPr>
          </w:p>
          <w:p w14:paraId="4065DC8C"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1ECACD10" w14:textId="77777777" w:rsidR="00DA7737" w:rsidRPr="00066031" w:rsidRDefault="00DA7737" w:rsidP="00F73E3D">
            <w:pPr>
              <w:rPr>
                <w:rFonts w:asciiTheme="minorHAnsi" w:hAnsiTheme="minorHAnsi" w:cstheme="minorHAnsi"/>
                <w:sz w:val="20"/>
                <w:szCs w:val="20"/>
              </w:rPr>
            </w:pPr>
            <w:r>
              <w:rPr>
                <w:rFonts w:cstheme="minorHAnsi"/>
                <w:sz w:val="20"/>
                <w:szCs w:val="20"/>
              </w:rPr>
              <w:t>301 patients</w:t>
            </w:r>
          </w:p>
          <w:p w14:paraId="6529AF5C" w14:textId="77777777" w:rsidR="00DA7737" w:rsidRPr="00066031" w:rsidRDefault="00DA7737" w:rsidP="00F73E3D">
            <w:pPr>
              <w:rPr>
                <w:rFonts w:asciiTheme="minorHAnsi" w:hAnsiTheme="minorHAnsi" w:cstheme="minorHAnsi"/>
                <w:sz w:val="20"/>
                <w:szCs w:val="20"/>
              </w:rPr>
            </w:pPr>
          </w:p>
          <w:p w14:paraId="0B394061" w14:textId="77777777" w:rsidR="00DA7737" w:rsidRPr="00066031" w:rsidRDefault="00DA7737" w:rsidP="00F73E3D">
            <w:pPr>
              <w:rPr>
                <w:rFonts w:asciiTheme="minorHAnsi" w:hAnsiTheme="minorHAnsi" w:cstheme="minorHAnsi"/>
                <w:sz w:val="20"/>
                <w:szCs w:val="20"/>
              </w:rPr>
            </w:pPr>
          </w:p>
          <w:p w14:paraId="2E67888E" w14:textId="77777777" w:rsidR="00DA7737" w:rsidRPr="00066031" w:rsidRDefault="00DA7737" w:rsidP="00F73E3D">
            <w:pPr>
              <w:rPr>
                <w:rFonts w:asciiTheme="minorHAnsi" w:hAnsiTheme="minorHAnsi" w:cstheme="minorHAnsi"/>
                <w:sz w:val="20"/>
                <w:szCs w:val="20"/>
              </w:rPr>
            </w:pPr>
          </w:p>
          <w:p w14:paraId="54EE75B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Sweden</w:t>
            </w:r>
          </w:p>
          <w:p w14:paraId="5B26EE48" w14:textId="77777777" w:rsidR="00DA7737" w:rsidRPr="00066031" w:rsidRDefault="00DA7737" w:rsidP="00F73E3D">
            <w:pPr>
              <w:rPr>
                <w:rFonts w:asciiTheme="minorHAnsi" w:hAnsiTheme="minorHAnsi" w:cstheme="minorHAnsi"/>
                <w:sz w:val="20"/>
                <w:szCs w:val="20"/>
              </w:rPr>
            </w:pPr>
          </w:p>
          <w:p w14:paraId="7F902335"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57A3AD6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 xml:space="preserve">﻿To assess and compare adherence to rivaroxaban and apixaban inpatients with non-valvular AF </w:t>
            </w:r>
          </w:p>
        </w:tc>
        <w:tc>
          <w:tcPr>
            <w:tcW w:w="3402" w:type="dxa"/>
            <w:tcBorders>
              <w:top w:val="single" w:sz="4" w:space="0" w:color="auto"/>
              <w:left w:val="single" w:sz="4" w:space="0" w:color="auto"/>
              <w:bottom w:val="single" w:sz="4" w:space="0" w:color="auto"/>
              <w:right w:val="single" w:sz="4" w:space="0" w:color="auto"/>
            </w:tcBorders>
          </w:tcPr>
          <w:p w14:paraId="3D4019B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﻿High estimated adherence levels for both</w:t>
            </w:r>
          </w:p>
          <w:p w14:paraId="5F275E64"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apixaban and rivaroxaban when initiated in a well-structured atrial fibrillation clinic and no statistically significant difference in persistence during one-year treatment time.</w:t>
            </w:r>
          </w:p>
          <w:p w14:paraId="045D052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Patient education using motivational interviewing and proper patient selection, structured patient support and follow up system were cited as reasons for the high level of adherence.</w:t>
            </w:r>
          </w:p>
        </w:tc>
        <w:tc>
          <w:tcPr>
            <w:tcW w:w="2835" w:type="dxa"/>
            <w:tcBorders>
              <w:top w:val="single" w:sz="4" w:space="0" w:color="auto"/>
              <w:left w:val="single" w:sz="4" w:space="0" w:color="auto"/>
              <w:bottom w:val="single" w:sz="4" w:space="0" w:color="auto"/>
            </w:tcBorders>
          </w:tcPr>
          <w:p w14:paraId="7F9BBFC5"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 xml:space="preserve">Retrospective study, method of assessing adherence was </w:t>
            </w:r>
            <w:r w:rsidRPr="00066031">
              <w:rPr>
                <w:rFonts w:asciiTheme="minorHAnsi" w:hAnsiTheme="minorHAnsi" w:cstheme="minorHAnsi"/>
                <w:sz w:val="20"/>
                <w:szCs w:val="20"/>
              </w:rPr>
              <w:lastRenderedPageBreak/>
              <w:t>unreliable and could introduce bias and short follow up time.</w:t>
            </w:r>
          </w:p>
          <w:p w14:paraId="1518EC85" w14:textId="77777777" w:rsidR="00DA7737" w:rsidRPr="00066031" w:rsidRDefault="00DA7737" w:rsidP="00F73E3D">
            <w:pPr>
              <w:rPr>
                <w:rFonts w:asciiTheme="minorHAnsi" w:hAnsiTheme="minorHAnsi" w:cstheme="minorHAnsi"/>
                <w:sz w:val="20"/>
                <w:szCs w:val="20"/>
              </w:rPr>
            </w:pPr>
          </w:p>
          <w:p w14:paraId="783658D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Though the study reports high adherence levels, this study was done in a highly structured clinical setting which required patients to attend appointments for follow up. Also, general adherence for both NOACs reduced over time.</w:t>
            </w:r>
          </w:p>
        </w:tc>
      </w:tr>
      <w:tr w:rsidR="00DA7737" w:rsidRPr="00066031" w14:paraId="1B967272" w14:textId="77777777" w:rsidTr="00F73E3D">
        <w:tc>
          <w:tcPr>
            <w:tcW w:w="1589" w:type="dxa"/>
            <w:tcBorders>
              <w:top w:val="single" w:sz="4" w:space="0" w:color="auto"/>
              <w:left w:val="single" w:sz="4" w:space="0" w:color="auto"/>
              <w:bottom w:val="single" w:sz="4" w:space="0" w:color="auto"/>
              <w:right w:val="single" w:sz="4" w:space="0" w:color="auto"/>
            </w:tcBorders>
          </w:tcPr>
          <w:p w14:paraId="5F10C37A" w14:textId="77777777" w:rsidR="00DA7737" w:rsidRPr="00066031" w:rsidRDefault="00DA7737" w:rsidP="00F73E3D">
            <w:pPr>
              <w:rPr>
                <w:rFonts w:asciiTheme="minorHAnsi" w:hAnsiTheme="minorHAnsi" w:cstheme="minorHAnsi"/>
                <w:sz w:val="20"/>
                <w:szCs w:val="20"/>
              </w:rPr>
            </w:pPr>
          </w:p>
          <w:p w14:paraId="2127FB2F"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Bastida</w:t>
            </w:r>
            <w:proofErr w:type="spellEnd"/>
            <w:r>
              <w:rPr>
                <w:rFonts w:asciiTheme="minorHAnsi" w:hAnsiTheme="minorHAnsi" w:cstheme="minorHAnsi"/>
                <w:sz w:val="20"/>
                <w:szCs w:val="20"/>
              </w:rPr>
              <w:t xml:space="preserve"> </w:t>
            </w:r>
            <w:r w:rsidRPr="001C73DD">
              <w:rPr>
                <w:rFonts w:asciiTheme="minorHAnsi" w:hAnsiTheme="minorHAnsi" w:cstheme="minorHAnsi"/>
                <w:i/>
                <w:iCs/>
                <w:sz w:val="20"/>
                <w:szCs w:val="20"/>
              </w:rPr>
              <w:t>et al.,</w:t>
            </w:r>
            <w:r>
              <w:rPr>
                <w:rFonts w:asciiTheme="minorHAnsi" w:hAnsiTheme="minorHAnsi" w:cstheme="minorHAnsi"/>
                <w:sz w:val="20"/>
                <w:szCs w:val="20"/>
              </w:rPr>
              <w:t xml:space="preserve"> 2017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10.1007/s11096-017-0431-9","author":[{"dropping-particle":"","family":"Bastida","given":"C","non-dropping-particle":"","parse-names":false,"suffix":""},{"dropping-particle":"","family":"Corominas","given":"N","non-dropping-particle":"","parse-names":false,"suffix":""},{"dropping-particle":"","family":"Sotoca","given":"J M","non-dropping-particle":"","parse-names":false,"suffix":""},{"dropping-particle":"","family":"Rovira","given":"M","non-dropping-particle":"","parse-names":false,"suffix":""}],"container-title":"International Journal of Clinical Pharmacy","id":"ITEM-1","issue":"2","issued":{"date-parts":[["2017"]]},"note":"Export Date: 6 February 2018","page":"478-482","title":"Anticoagulation in atrial fibrillation: NOAC prescribing in primary health care","type":"article-journal","volume":"39"},"uris":["http://www.mendeley.com/documents/?uuid=fdbde21b-5f0d-4719-ad56-3edb277b0fe8"]}],"mendeley":{"formattedCitation":"(41)","plainTextFormattedCitation":"(41)","previouslyFormattedCitation":"(40)"},"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(41)</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15DC0814"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352E9E1D" w14:textId="77777777" w:rsidR="00DA7737" w:rsidRPr="00066031" w:rsidRDefault="00DA7737" w:rsidP="00F73E3D">
            <w:pPr>
              <w:rPr>
                <w:rFonts w:asciiTheme="minorHAnsi" w:hAnsiTheme="minorHAnsi" w:cstheme="minorHAnsi"/>
                <w:sz w:val="20"/>
                <w:szCs w:val="20"/>
              </w:rPr>
            </w:pPr>
          </w:p>
          <w:p w14:paraId="587496E0" w14:textId="77777777" w:rsidR="00DA7737" w:rsidRPr="00066031" w:rsidRDefault="00DA7737" w:rsidP="00F73E3D">
            <w:pPr>
              <w:rPr>
                <w:rFonts w:asciiTheme="minorHAnsi" w:hAnsiTheme="minorHAnsi" w:cstheme="minorHAnsi"/>
                <w:sz w:val="20"/>
                <w:szCs w:val="20"/>
              </w:rPr>
            </w:pPr>
          </w:p>
          <w:p w14:paraId="0BCCEF2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Primary Care</w:t>
            </w:r>
          </w:p>
        </w:tc>
        <w:tc>
          <w:tcPr>
            <w:tcW w:w="1444" w:type="dxa"/>
            <w:tcBorders>
              <w:top w:val="single" w:sz="4" w:space="0" w:color="auto"/>
              <w:left w:val="single" w:sz="4" w:space="0" w:color="auto"/>
              <w:bottom w:val="single" w:sz="4" w:space="0" w:color="auto"/>
              <w:right w:val="single" w:sz="4" w:space="0" w:color="auto"/>
            </w:tcBorders>
          </w:tcPr>
          <w:p w14:paraId="4FFECA6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101 patients with AF</w:t>
            </w:r>
          </w:p>
          <w:p w14:paraId="7CA8F16B" w14:textId="77777777" w:rsidR="00DA7737" w:rsidRPr="00066031" w:rsidRDefault="00DA7737" w:rsidP="00F73E3D">
            <w:pPr>
              <w:rPr>
                <w:rFonts w:asciiTheme="minorHAnsi" w:hAnsiTheme="minorHAnsi" w:cstheme="minorHAnsi"/>
                <w:sz w:val="20"/>
                <w:szCs w:val="20"/>
              </w:rPr>
            </w:pPr>
          </w:p>
          <w:p w14:paraId="784281B1" w14:textId="77777777" w:rsidR="00DA7737" w:rsidRPr="00066031" w:rsidRDefault="00DA7737" w:rsidP="00F73E3D">
            <w:pPr>
              <w:rPr>
                <w:rFonts w:asciiTheme="minorHAnsi" w:hAnsiTheme="minorHAnsi" w:cstheme="minorHAnsi"/>
                <w:sz w:val="20"/>
                <w:szCs w:val="20"/>
              </w:rPr>
            </w:pPr>
          </w:p>
          <w:p w14:paraId="2A764BD4" w14:textId="77777777" w:rsidR="00DA7737" w:rsidRPr="00066031" w:rsidRDefault="00DA7737" w:rsidP="00F73E3D">
            <w:pPr>
              <w:rPr>
                <w:rFonts w:asciiTheme="minorHAnsi" w:hAnsiTheme="minorHAnsi" w:cstheme="minorHAnsi"/>
                <w:sz w:val="20"/>
                <w:szCs w:val="20"/>
              </w:rPr>
            </w:pPr>
          </w:p>
          <w:p w14:paraId="1747C67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Spain</w:t>
            </w:r>
          </w:p>
          <w:p w14:paraId="37961495" w14:textId="77777777" w:rsidR="00DA7737" w:rsidRDefault="00DA7737" w:rsidP="00F73E3D">
            <w:pPr>
              <w:rPr>
                <w:rFonts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13A05EF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describe the use of DOACs and analyse their prescribing in primary care. To evaluate possible factors associated with adverse events and the usability of prescription support forms.</w:t>
            </w:r>
          </w:p>
        </w:tc>
        <w:tc>
          <w:tcPr>
            <w:tcW w:w="3402" w:type="dxa"/>
            <w:tcBorders>
              <w:top w:val="single" w:sz="4" w:space="0" w:color="auto"/>
              <w:left w:val="single" w:sz="4" w:space="0" w:color="auto"/>
              <w:bottom w:val="single" w:sz="4" w:space="0" w:color="auto"/>
              <w:right w:val="single" w:sz="4" w:space="0" w:color="auto"/>
            </w:tcBorders>
          </w:tcPr>
          <w:p w14:paraId="0A66E99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Most patients were on rivaroxaban or dabigatran. Increased bleeding risk in 47% due to concomitant medication or illness. 90% of patients were receiving appropriate doses. Thirty six percent of patients had a high HASBLED score of 3 or more. Ten patients reported adverse events- 3 cases of haematuria with dabigatran and 3 cases of 3 cases of </w:t>
            </w:r>
            <w:proofErr w:type="spellStart"/>
            <w:r w:rsidRPr="00066031">
              <w:rPr>
                <w:rFonts w:asciiTheme="minorHAnsi" w:hAnsiTheme="minorHAnsi" w:cstheme="minorHAnsi"/>
                <w:sz w:val="20"/>
                <w:szCs w:val="20"/>
              </w:rPr>
              <w:t>rectorrhagia</w:t>
            </w:r>
            <w:proofErr w:type="spellEnd"/>
            <w:r w:rsidRPr="00066031">
              <w:rPr>
                <w:rFonts w:asciiTheme="minorHAnsi" w:hAnsiTheme="minorHAnsi" w:cstheme="minorHAnsi"/>
                <w:sz w:val="20"/>
                <w:szCs w:val="20"/>
              </w:rPr>
              <w:t xml:space="preserve"> with rivaroxaban</w:t>
            </w:r>
          </w:p>
        </w:tc>
        <w:tc>
          <w:tcPr>
            <w:tcW w:w="2835" w:type="dxa"/>
            <w:tcBorders>
              <w:top w:val="single" w:sz="4" w:space="0" w:color="auto"/>
              <w:left w:val="single" w:sz="4" w:space="0" w:color="auto"/>
              <w:bottom w:val="single" w:sz="4" w:space="0" w:color="auto"/>
            </w:tcBorders>
          </w:tcPr>
          <w:p w14:paraId="291D105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Unlike the findings from </w:t>
            </w:r>
            <w:proofErr w:type="spellStart"/>
            <w:r w:rsidRPr="00066031">
              <w:rPr>
                <w:rFonts w:asciiTheme="minorHAnsi" w:hAnsiTheme="minorHAnsi" w:cstheme="minorHAnsi"/>
                <w:sz w:val="20"/>
                <w:szCs w:val="20"/>
              </w:rPr>
              <w:t>Basaran</w:t>
            </w:r>
            <w:proofErr w:type="spellEnd"/>
            <w:r w:rsidRPr="00066031">
              <w:rPr>
                <w:rFonts w:asciiTheme="minorHAnsi" w:hAnsiTheme="minorHAnsi" w:cstheme="minorHAnsi"/>
                <w:sz w:val="20"/>
                <w:szCs w:val="20"/>
              </w:rPr>
              <w:t>, et al 2015, here, 90% of patients received appropriate doses. This may be due to the close monitoring and validation of prescription forms by community pharmacists.</w:t>
            </w:r>
          </w:p>
          <w:p w14:paraId="5B09A1F1"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This study re-emphasises the need for closer follow up and monitoring of adverse events, especially in elderly patients.</w:t>
            </w:r>
          </w:p>
        </w:tc>
      </w:tr>
      <w:tr w:rsidR="00DA7737" w:rsidRPr="00066031" w14:paraId="21664ABD" w14:textId="77777777" w:rsidTr="00F73E3D">
        <w:tc>
          <w:tcPr>
            <w:tcW w:w="1589" w:type="dxa"/>
            <w:tcBorders>
              <w:top w:val="single" w:sz="4" w:space="0" w:color="auto"/>
              <w:left w:val="single" w:sz="4" w:space="0" w:color="auto"/>
              <w:bottom w:val="single" w:sz="4" w:space="0" w:color="auto"/>
              <w:right w:val="single" w:sz="4" w:space="0" w:color="auto"/>
            </w:tcBorders>
          </w:tcPr>
          <w:p w14:paraId="75B1355C" w14:textId="77777777" w:rsidR="00DA7737" w:rsidRDefault="00DA7737" w:rsidP="00F73E3D">
            <w:pPr>
              <w:jc w:val="center"/>
              <w:rPr>
                <w:rFonts w:asciiTheme="minorHAnsi" w:hAnsiTheme="minorHAnsi" w:cstheme="minorHAnsi"/>
                <w:sz w:val="20"/>
                <w:szCs w:val="20"/>
              </w:rPr>
            </w:pPr>
          </w:p>
          <w:p w14:paraId="2A59023C"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McGrath </w:t>
            </w:r>
            <w:r w:rsidRPr="001C73DD">
              <w:rPr>
                <w:rFonts w:asciiTheme="minorHAnsi" w:hAnsiTheme="minorHAnsi" w:cstheme="minorHAnsi"/>
                <w:i/>
                <w:iCs/>
                <w:sz w:val="20"/>
                <w:szCs w:val="20"/>
              </w:rPr>
              <w:t>et al.,</w:t>
            </w:r>
            <w:r>
              <w:rPr>
                <w:rFonts w:asciiTheme="minorHAnsi" w:hAnsiTheme="minorHAnsi" w:cstheme="minorHAnsi"/>
                <w:sz w:val="20"/>
                <w:szCs w:val="20"/>
              </w:rPr>
              <w:t xml:space="preserve"> 2017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{"citationItems":[{"id":"ITEM-1","itemData":{"DOI":"10.1111/jgs.14688","ISSN":"15325415","abstract":"Objectives: To explore barriers to anticoagulation in older adults with atrial fibrillation (AF) at high risk of stroke and to identify opportunities for interventions that might increase use of oral anticoagulants (OACs). Design: Retrospective cohort study. Setting: Two large community-based AF cohorts. Participants: Individuals with ischemic stroke surviving hospitalization (N = 1,405, mean age 79). Measurements: Using structured chart review, reasons for nonuse of OAC were identified, and 1-year poststroke survival was assessed. Logistic regression was used to identify correlates of OAC nonuse. Results: Median CHA2DS2-VASc score was 5, yet 44% of participants were not prescribed an OAC at discharge. The most-frequent (nonmutually exclusive) physician reasons for not prescribing OAC included fall risk (26.7%), poor prognosis (19.3%), bleeding history (17.1%), participant or family refusal (14.9%), older age (11.0%), and dementia (9.4%). Older age (odds ratio (OR) = 8.96, 95% confidence interval (CI) = 5.01–16.04 for aged ≥85 vs &lt;65) and disability (OR = 12.58, 95% CI = 5.82–27.21 for severe vs no deficit) were the most-important independent predictors of nonuse of OACs. By 1 year, 42.5% of those not receiving an OAC at discharge had died, versus 19.1% of those receiving an OAC (P &lt;.001), far higher than recurrent stroke rates. Conclusion: Despite very high stroke risk, more than 40% of participants were not discharged with an OAC. Dominant reasons included fall risk, poor prognosis, older age, and dementia. These individuals’ high 1-year mortality rate confirmed their high level of comorbidity. To improve anticoagulation decisions and outcomes in this population, future research should focus on strategies to mitigate fall risk, improve assessment of risks and benefits of anticoagulation in individuals with AF, and determine whether newer anticoagulants are safer in complex elderly and frail individuals.","author":[{"dropping-particle":"","family":"McGrath","given":"Emer R.","non-dropping-particle":"","parse-names":false,"suffix":""},{"dropping-particle":"","family":"Go","given":"Alan S.","non-dropping-particle":"","parse-names":false,"suffix":""},{"dropping-particle":"","family":"Chang","given":"Yuchiao","non-dropping-particle":"","parse-names":false,"suffix":""},{"dropping-particle":"","family":"Borowsky","given":"Leila H.","non-dropping-particle":"","parse-names":false,"suffix":""},{"dropping-particle":"","family":"Fang","given":"Margaret C.","non-dropping-particle":"","parse-names":false,"suffix":""},{"dropping-particle":"","family":"Reynolds","given":"Kristi","non-dropping-particle":"","parse-names":false,"suffix":""},{"dropping-particle":"","family":"Singer","given":"Daniel E.","non-dropping-particle":"","parse-names":false,"suffix":""}],"container-title":"Journal of the American Geriatrics Society","id":"ITEM-1","issue":"2","issued":{"date-parts":[["2017"]]},"page":"241-248","title":"Use of Oral Anticoagulant Therapy in Older Adults with Atrial Fibrillation After Acute Ischemic Stroke","type":"article-journal","volume":"65"},"uris":["http://www.mendeley.com/documents/?uuid=1f088d7f-ebf5-4961-b5d4-c88a4dff9f95"]}],"mendeley":{"formattedCitation":"(42)","plainTextFormattedCitation":"(42)","previouslyFormattedCitation":"(41)"},"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(42)</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33B77C5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212A909E" w14:textId="77777777" w:rsidR="00DA7737" w:rsidRPr="00066031" w:rsidRDefault="00DA7737" w:rsidP="00F73E3D">
            <w:pPr>
              <w:rPr>
                <w:rFonts w:asciiTheme="minorHAnsi" w:hAnsiTheme="minorHAnsi" w:cstheme="minorHAnsi"/>
                <w:sz w:val="20"/>
                <w:szCs w:val="20"/>
              </w:rPr>
            </w:pPr>
          </w:p>
          <w:p w14:paraId="78FAC3E7"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473A723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1,405 patients</w:t>
            </w:r>
          </w:p>
          <w:p w14:paraId="283BDCFB" w14:textId="77777777" w:rsidR="00DA7737" w:rsidRPr="00066031" w:rsidRDefault="00DA7737" w:rsidP="00F73E3D">
            <w:pPr>
              <w:rPr>
                <w:rFonts w:asciiTheme="minorHAnsi" w:hAnsiTheme="minorHAnsi" w:cstheme="minorHAnsi"/>
                <w:sz w:val="20"/>
                <w:szCs w:val="20"/>
              </w:rPr>
            </w:pPr>
          </w:p>
          <w:p w14:paraId="1B99437B" w14:textId="77777777" w:rsidR="00DA7737" w:rsidRPr="00066031" w:rsidRDefault="00DA7737" w:rsidP="00F73E3D">
            <w:pPr>
              <w:rPr>
                <w:rFonts w:asciiTheme="minorHAnsi" w:hAnsiTheme="minorHAnsi" w:cstheme="minorHAnsi"/>
                <w:sz w:val="20"/>
                <w:szCs w:val="20"/>
              </w:rPr>
            </w:pPr>
          </w:p>
          <w:p w14:paraId="61BE854C" w14:textId="77777777" w:rsidR="00DA7737" w:rsidRPr="00066031" w:rsidRDefault="00DA7737" w:rsidP="00F73E3D">
            <w:pPr>
              <w:rPr>
                <w:rFonts w:asciiTheme="minorHAnsi" w:hAnsiTheme="minorHAnsi" w:cstheme="minorHAnsi"/>
                <w:sz w:val="20"/>
                <w:szCs w:val="20"/>
              </w:rPr>
            </w:pPr>
          </w:p>
          <w:p w14:paraId="650C969D" w14:textId="77777777" w:rsidR="00DA7737" w:rsidRPr="00066031" w:rsidRDefault="00DA7737" w:rsidP="00F73E3D">
            <w:pPr>
              <w:rPr>
                <w:rFonts w:asciiTheme="minorHAnsi" w:hAnsiTheme="minorHAnsi" w:cstheme="minorHAnsi"/>
                <w:sz w:val="20"/>
                <w:szCs w:val="20"/>
              </w:rPr>
            </w:pPr>
          </w:p>
          <w:p w14:paraId="2EFAF55B"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U.S.A</w:t>
            </w:r>
          </w:p>
          <w:p w14:paraId="6CA3623F"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52FD01F2"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identify barriers to anticoagulation in older adults at high stroke risk</w:t>
            </w:r>
          </w:p>
        </w:tc>
        <w:tc>
          <w:tcPr>
            <w:tcW w:w="3402" w:type="dxa"/>
            <w:tcBorders>
              <w:top w:val="single" w:sz="4" w:space="0" w:color="auto"/>
              <w:left w:val="single" w:sz="4" w:space="0" w:color="auto"/>
              <w:bottom w:val="single" w:sz="4" w:space="0" w:color="auto"/>
              <w:right w:val="single" w:sz="4" w:space="0" w:color="auto"/>
            </w:tcBorders>
          </w:tcPr>
          <w:p w14:paraId="4F4092E1"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Despite high stroke risk scores, 44% of participants were discharged without oral anticoagulation. Strong associations between older age, dementia, history of major bleeding, and disability and omitted oral anticoagulation at discharge.  </w:t>
            </w:r>
          </w:p>
        </w:tc>
        <w:tc>
          <w:tcPr>
            <w:tcW w:w="2835" w:type="dxa"/>
            <w:tcBorders>
              <w:top w:val="single" w:sz="4" w:space="0" w:color="auto"/>
              <w:left w:val="single" w:sz="4" w:space="0" w:color="auto"/>
              <w:bottom w:val="single" w:sz="4" w:space="0" w:color="auto"/>
            </w:tcBorders>
          </w:tcPr>
          <w:p w14:paraId="7B4FA624" w14:textId="77777777" w:rsidR="00DA7737"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Anticoagulation may have been </w:t>
            </w:r>
            <w:r>
              <w:rPr>
                <w:rFonts w:asciiTheme="minorHAnsi" w:hAnsiTheme="minorHAnsi" w:cstheme="minorHAnsi"/>
                <w:sz w:val="20"/>
                <w:szCs w:val="20"/>
              </w:rPr>
              <w:t>w</w:t>
            </w:r>
            <w:r>
              <w:rPr>
                <w:rFonts w:asciiTheme="minorHAnsi" w:hAnsiTheme="minorHAnsi" w:cstheme="minorHAnsi"/>
                <w:sz w:val="20"/>
                <w:szCs w:val="20"/>
              </w:rPr>
              <w:pgNum/>
            </w:r>
            <w:proofErr w:type="spellStart"/>
            <w:r>
              <w:rPr>
                <w:rFonts w:asciiTheme="minorHAnsi" w:hAnsiTheme="minorHAnsi" w:cstheme="minorHAnsi"/>
                <w:sz w:val="20"/>
                <w:szCs w:val="20"/>
              </w:rPr>
              <w:t>ithheld</w:t>
            </w:r>
            <w:proofErr w:type="spellEnd"/>
            <w:r w:rsidRPr="00066031">
              <w:rPr>
                <w:rFonts w:asciiTheme="minorHAnsi" w:hAnsiTheme="minorHAnsi" w:cstheme="minorHAnsi"/>
                <w:sz w:val="20"/>
                <w:szCs w:val="20"/>
              </w:rPr>
              <w:t xml:space="preserve"> for accurately assessed poor prognosis resulting in early mortality post discharge. This study was based on attitudes of physicians in 2003 to 2009, this could have changed with time.</w:t>
            </w:r>
          </w:p>
          <w:p w14:paraId="39A59C34" w14:textId="77777777" w:rsidR="00DA7737" w:rsidRPr="00066031" w:rsidRDefault="00DA7737" w:rsidP="00F73E3D">
            <w:pPr>
              <w:rPr>
                <w:rFonts w:asciiTheme="minorHAnsi" w:hAnsiTheme="minorHAnsi" w:cstheme="minorHAnsi"/>
                <w:sz w:val="20"/>
                <w:szCs w:val="20"/>
              </w:rPr>
            </w:pPr>
          </w:p>
        </w:tc>
      </w:tr>
      <w:tr w:rsidR="00DA7737" w:rsidRPr="00066031" w14:paraId="6EBE4EE4" w14:textId="77777777" w:rsidTr="00F73E3D">
        <w:tc>
          <w:tcPr>
            <w:tcW w:w="1589" w:type="dxa"/>
            <w:tcBorders>
              <w:top w:val="single" w:sz="4" w:space="0" w:color="auto"/>
              <w:left w:val="single" w:sz="4" w:space="0" w:color="auto"/>
              <w:bottom w:val="single" w:sz="4" w:space="0" w:color="auto"/>
              <w:right w:val="single" w:sz="4" w:space="0" w:color="auto"/>
            </w:tcBorders>
          </w:tcPr>
          <w:p w14:paraId="6C4DF1F3" w14:textId="77777777" w:rsidR="00DA7737" w:rsidRPr="00066031" w:rsidRDefault="00DA7737" w:rsidP="00F73E3D">
            <w:pPr>
              <w:rPr>
                <w:rFonts w:asciiTheme="minorHAnsi" w:hAnsiTheme="minorHAnsi" w:cstheme="minorHAnsi"/>
                <w:sz w:val="20"/>
                <w:szCs w:val="20"/>
              </w:rPr>
            </w:pPr>
            <w:proofErr w:type="spellStart"/>
            <w:r>
              <w:rPr>
                <w:rFonts w:asciiTheme="minorHAnsi" w:hAnsiTheme="minorHAnsi" w:cstheme="minorHAnsi"/>
                <w:sz w:val="20"/>
                <w:szCs w:val="20"/>
              </w:rPr>
              <w:t>Clarkesmith</w:t>
            </w:r>
            <w:proofErr w:type="spellEnd"/>
            <w:r>
              <w:rPr>
                <w:rFonts w:asciiTheme="minorHAnsi" w:hAnsiTheme="minorHAnsi" w:cstheme="minorHAnsi"/>
                <w:sz w:val="20"/>
                <w:szCs w:val="20"/>
              </w:rPr>
              <w:t xml:space="preserve">, Lip and Lane, 2017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{"citationItems":[{"id":"ITEM-1","itemData":{"DOI":"10.1016/j.thromres.2017.03.002","ISSN":"18792472","abstract":"Purpose Qualitative research on atrial fibrillation (AF) patient's experiences and perceptions of taking the non-vitamin K antagonist oral anticoagulants (NOACs) for stroke prevention is limited. This study explores patients’ experiences of dabigatran and their recommendations for development of educational materials. Patients and methods Semi-structured individual interviews with 8 warfarin-naive and 8 warfarin-experienced AF patients, using qualitative deductive thematic analysis. Results The four main overarching themes included: understanding the diagnosis; reaching a treatment decision; challenges of living with OAC; and patient perceptions of treatment. Patients discussed their shock of diagnosis, and seeking information and support at that time. Narratives suggest patients preferred to be led by the doctor when making treatment decisions, and would often compare dabigatran to warfarin. Patients reported side-effects and challenges with both treatment options, and discussed their beliefs surrounding medications, including misconceptions. In addition to the original framework, two further themes were added: challenges of living with AF, and patient recommendations. Generally patients found AF symptoms distressing, which impacted their quality of life. Patient recommendations included the content and delivery of educational materials and development of tools to help with their understanding of AF and anticoagulation, as well as treatment adherence and anxiety surrounding symptoms and side effects. Conclusion Patient recommendations emphasised the need for interventions to relieve anxiety surrounding the diagnosis and possible treatment side effects. Tailored ‘disease-specific’ support is essential to ensure efficacious treatment. This qualitative study highlights the need for patient involvement in the development of educational materials and resources for patients commencing treatment with NOACs.","author":[{"dropping-particle":"","family":"Clarkesmith","given":"Danielle E.","non-dropping-particle":"","parse-names":false,"suffix":""},{"dropping-particle":"","family":"Lip","given":"Gregory Y.H.","non-dropping-particle":"","parse-names":false,"suffix":""},{"dropping-particle":"","family":"Lane","given":"Deirdre A.","non-dropping-particle":"","parse-names":false,"suffix":""}],"container-title":"Thrombosis Research","id":"ITEM-1","issued":{"date-parts":[["2017"]]},"note":"Cited By :2\n\nExport Date: 6 February 2018","page":"19-27","title":"Patients’ experiences of atrial fibrillation and non-vitamin K antagonist oral anticoagulants (NOACs), and their educational needs: A qualitative study","type":"article-journal","volume":"153"},"uris":["http://www.mendeley.com/documents/?uuid=1f5685e3-c331-44bf-90ec-892ae2f6fea7"]}],"mendeley":{"formattedCitation":"(43)","plainTextFormattedCitation":"(43)","previouslyFormattedCitation":"(42)"},"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(43)</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0547E77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Qualitative</w:t>
            </w:r>
          </w:p>
          <w:p w14:paraId="3286D71B" w14:textId="77777777" w:rsidR="00DA7737" w:rsidRPr="00066031" w:rsidRDefault="00DA7737" w:rsidP="00F73E3D">
            <w:pPr>
              <w:rPr>
                <w:rFonts w:asciiTheme="minorHAnsi" w:hAnsiTheme="minorHAnsi" w:cstheme="minorHAnsi"/>
                <w:sz w:val="20"/>
                <w:szCs w:val="20"/>
              </w:rPr>
            </w:pPr>
          </w:p>
          <w:p w14:paraId="79F706B7" w14:textId="77777777" w:rsidR="00DA7737" w:rsidRPr="00066031" w:rsidRDefault="00DA7737" w:rsidP="00F73E3D">
            <w:pPr>
              <w:rPr>
                <w:rFonts w:asciiTheme="minorHAnsi" w:hAnsiTheme="minorHAnsi" w:cstheme="minorHAnsi"/>
                <w:sz w:val="20"/>
                <w:szCs w:val="20"/>
              </w:rPr>
            </w:pPr>
          </w:p>
          <w:p w14:paraId="14C98781" w14:textId="77777777" w:rsidR="00DA7737" w:rsidRPr="00066031" w:rsidRDefault="00DA7737" w:rsidP="00F73E3D">
            <w:pPr>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12601E6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 xml:space="preserve">16 patients </w:t>
            </w:r>
          </w:p>
          <w:p w14:paraId="0C7C2F24" w14:textId="77777777" w:rsidR="00DA7737" w:rsidRPr="00066031" w:rsidRDefault="00DA7737" w:rsidP="00F73E3D">
            <w:pPr>
              <w:rPr>
                <w:rFonts w:asciiTheme="minorHAnsi" w:hAnsiTheme="minorHAnsi" w:cstheme="minorHAnsi"/>
                <w:sz w:val="20"/>
                <w:szCs w:val="20"/>
              </w:rPr>
            </w:pPr>
          </w:p>
          <w:p w14:paraId="13292F01" w14:textId="77777777" w:rsidR="00DA7737" w:rsidRPr="00066031" w:rsidRDefault="00DA7737" w:rsidP="00F73E3D">
            <w:pPr>
              <w:rPr>
                <w:rFonts w:asciiTheme="minorHAnsi" w:hAnsiTheme="minorHAnsi" w:cstheme="minorHAnsi"/>
                <w:sz w:val="20"/>
                <w:szCs w:val="20"/>
              </w:rPr>
            </w:pPr>
          </w:p>
          <w:p w14:paraId="2DFCF24F" w14:textId="77777777" w:rsidR="00DA7737" w:rsidRPr="00066031" w:rsidRDefault="00DA7737" w:rsidP="00F73E3D">
            <w:pPr>
              <w:rPr>
                <w:rFonts w:asciiTheme="minorHAnsi" w:hAnsiTheme="minorHAnsi" w:cstheme="minorHAnsi"/>
                <w:sz w:val="20"/>
                <w:szCs w:val="20"/>
              </w:rPr>
            </w:pPr>
          </w:p>
          <w:p w14:paraId="5BE89C56"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U.K</w:t>
            </w:r>
          </w:p>
          <w:p w14:paraId="05C26EB4"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0F1DB29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 xml:space="preserve">﻿To explore patients’ experiences, and perceptions of AF and anticoagulation, and the </w:t>
            </w:r>
            <w:r w:rsidRPr="00066031">
              <w:rPr>
                <w:rFonts w:asciiTheme="minorHAnsi" w:hAnsiTheme="minorHAnsi" w:cstheme="minorHAnsi"/>
                <w:sz w:val="20"/>
                <w:szCs w:val="20"/>
              </w:rPr>
              <w:lastRenderedPageBreak/>
              <w:t xml:space="preserve">educational needs of AF patients taking dabigatran for stroke prevention </w:t>
            </w:r>
          </w:p>
        </w:tc>
        <w:tc>
          <w:tcPr>
            <w:tcW w:w="3402" w:type="dxa"/>
            <w:tcBorders>
              <w:top w:val="single" w:sz="4" w:space="0" w:color="auto"/>
              <w:left w:val="single" w:sz="4" w:space="0" w:color="auto"/>
              <w:bottom w:val="single" w:sz="4" w:space="0" w:color="auto"/>
              <w:right w:val="single" w:sz="4" w:space="0" w:color="auto"/>
            </w:tcBorders>
          </w:tcPr>
          <w:p w14:paraId="0159952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 xml:space="preserve">Varied patient experiences with some contradictions in themes. The main themes: patients’ understanding of </w:t>
            </w:r>
            <w:r w:rsidRPr="00066031">
              <w:rPr>
                <w:rFonts w:asciiTheme="minorHAnsi" w:hAnsiTheme="minorHAnsi" w:cstheme="minorHAnsi"/>
                <w:sz w:val="20"/>
                <w:szCs w:val="20"/>
              </w:rPr>
              <w:lastRenderedPageBreak/>
              <w:t>diagnosis, reaching a treatment decision, the challenges of living with OAC, perception of treatment, challenges of living with AF and patient recommendations</w:t>
            </w:r>
          </w:p>
        </w:tc>
        <w:tc>
          <w:tcPr>
            <w:tcW w:w="2835" w:type="dxa"/>
            <w:tcBorders>
              <w:top w:val="single" w:sz="4" w:space="0" w:color="auto"/>
              <w:left w:val="single" w:sz="4" w:space="0" w:color="auto"/>
              <w:bottom w:val="single" w:sz="4" w:space="0" w:color="auto"/>
            </w:tcBorders>
          </w:tcPr>
          <w:p w14:paraId="64BC3037"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lastRenderedPageBreak/>
              <w:t xml:space="preserve">This was a single centre study based on only one NOAC- dabigatran. </w:t>
            </w:r>
            <w:proofErr w:type="gramStart"/>
            <w:r w:rsidRPr="00066031">
              <w:rPr>
                <w:rFonts w:asciiTheme="minorHAnsi" w:hAnsiTheme="minorHAnsi" w:cstheme="minorHAnsi"/>
                <w:sz w:val="20"/>
                <w:szCs w:val="20"/>
              </w:rPr>
              <w:t>Therefore</w:t>
            </w:r>
            <w:proofErr w:type="gramEnd"/>
            <w:r w:rsidRPr="00066031">
              <w:rPr>
                <w:rFonts w:asciiTheme="minorHAnsi" w:hAnsiTheme="minorHAnsi" w:cstheme="minorHAnsi"/>
                <w:sz w:val="20"/>
                <w:szCs w:val="20"/>
              </w:rPr>
              <w:t xml:space="preserve"> the </w:t>
            </w:r>
            <w:r w:rsidRPr="00066031">
              <w:rPr>
                <w:rFonts w:asciiTheme="minorHAnsi" w:hAnsiTheme="minorHAnsi" w:cstheme="minorHAnsi"/>
                <w:sz w:val="20"/>
                <w:szCs w:val="20"/>
              </w:rPr>
              <w:lastRenderedPageBreak/>
              <w:t>generalisability of the findings may be limited.</w:t>
            </w:r>
          </w:p>
          <w:p w14:paraId="2292A485" w14:textId="77777777" w:rsidR="00DA7737" w:rsidRPr="00066031" w:rsidRDefault="00DA7737" w:rsidP="00F73E3D">
            <w:pPr>
              <w:rPr>
                <w:rFonts w:asciiTheme="minorHAnsi" w:hAnsiTheme="minorHAnsi" w:cstheme="minorHAnsi"/>
                <w:sz w:val="20"/>
                <w:szCs w:val="20"/>
              </w:rPr>
            </w:pPr>
          </w:p>
        </w:tc>
      </w:tr>
      <w:tr w:rsidR="00DA7737" w:rsidRPr="00066031" w14:paraId="21105879" w14:textId="77777777" w:rsidTr="00F73E3D">
        <w:tc>
          <w:tcPr>
            <w:tcW w:w="1589" w:type="dxa"/>
            <w:tcBorders>
              <w:top w:val="single" w:sz="4" w:space="0" w:color="auto"/>
              <w:left w:val="single" w:sz="4" w:space="0" w:color="auto"/>
              <w:bottom w:val="single" w:sz="4" w:space="0" w:color="auto"/>
              <w:right w:val="single" w:sz="4" w:space="0" w:color="auto"/>
            </w:tcBorders>
          </w:tcPr>
          <w:p w14:paraId="15E57319" w14:textId="77777777" w:rsidR="00DA7737" w:rsidRPr="00066031" w:rsidRDefault="00DA7737" w:rsidP="00F73E3D">
            <w:pPr>
              <w:jc w:val="center"/>
              <w:rPr>
                <w:rFonts w:asciiTheme="minorHAnsi" w:hAnsiTheme="minorHAnsi" w:cstheme="minorHAnsi"/>
                <w:sz w:val="20"/>
                <w:szCs w:val="20"/>
              </w:rPr>
            </w:pPr>
          </w:p>
          <w:p w14:paraId="1E7D39B6" w14:textId="77777777" w:rsidR="00DA7737" w:rsidRPr="00066031" w:rsidRDefault="00DA7737" w:rsidP="00F73E3D">
            <w:pPr>
              <w:jc w:val="center"/>
              <w:rPr>
                <w:rFonts w:asciiTheme="minorHAnsi" w:hAnsiTheme="minorHAnsi" w:cstheme="minorHAnsi"/>
                <w:sz w:val="20"/>
                <w:szCs w:val="20"/>
              </w:rPr>
            </w:pPr>
            <w:proofErr w:type="spellStart"/>
            <w:r>
              <w:rPr>
                <w:rFonts w:asciiTheme="minorHAnsi" w:hAnsiTheme="minorHAnsi" w:cstheme="minorHAnsi"/>
                <w:sz w:val="20"/>
                <w:szCs w:val="20"/>
              </w:rPr>
              <w:t>Yazdan-Ashoori</w:t>
            </w:r>
            <w:proofErr w:type="spellEnd"/>
            <w:r>
              <w:rPr>
                <w:rFonts w:asciiTheme="minorHAnsi" w:hAnsiTheme="minorHAnsi" w:cstheme="minorHAnsi"/>
                <w:sz w:val="20"/>
                <w:szCs w:val="20"/>
              </w:rPr>
              <w:t xml:space="preserve"> </w:t>
            </w:r>
            <w:r w:rsidRPr="001C73DD">
              <w:rPr>
                <w:rFonts w:asciiTheme="minorHAnsi" w:hAnsiTheme="minorHAnsi" w:cstheme="minorHAnsi"/>
                <w:i/>
                <w:iCs/>
                <w:sz w:val="20"/>
                <w:szCs w:val="20"/>
              </w:rPr>
              <w:t>et al.,</w:t>
            </w:r>
            <w:r>
              <w:rPr>
                <w:rFonts w:asciiTheme="minorHAnsi" w:hAnsiTheme="minorHAnsi" w:cstheme="minorHAnsi"/>
                <w:sz w:val="20"/>
                <w:szCs w:val="20"/>
              </w:rPr>
              <w:t xml:space="preserve"> 2017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{"citationItems":[{"id":"ITEM-1","itemData":{"DOI":"10.1017/S1463423617000196","ISSN":"14771128","abstract":"Aim To examine the choices Canadian family medicine residents make for oral anticoagulation (OAC) for patients with nonvalvular atrial fibrillation (AF). Background AF increases the risk of strokes. An important consideration in AF management is risk stratification for stroke and prescription of appropriate OAC. Family physicians provide the vast majority of OAC prescriptions. Methods We administered a survey to residents in multiple Canadian family medicine training programmes. Questions explored the experiences and attitudes towards risk stratification and choices of OAC when presented with standardized clinical scenarios. In each scenario, a novel oral anticoagulant (NOAC) would be the preferred treatment according to the contemporary Canadian and European guidelines. Findings A total of 247 residents participated in the survey. Most used the congestive heart failure, hypertension, age ≥ 75, diabetes mellitus, stroke or TIA (2 points) (81%) and congestive heart failure, hypertension, age ≥ 75 (2 points) or age 65-74 (1 point), diabetes mellitus, stroke or TIA, vascular disease including peripheral arterial disease, myocardial infarction, or aortic plaque, sex (female) (67%) risk stratification schemes while the preferred bleeding risk stratification scheme was hypertension, abnormal liver or renal function, stroke, bleeding, labile international normalized ratio, elderly (age ≥ 65), drugs or alcohol (84%). In the clinical scenarios, residents generally preferred warfarin in favour of NOACs, independent of training level. Residents ranked the risk of adverse events and the cost to the patient as their most and least important consideration when prescribing OAC, respectively. Therefore in patients with nonvalvular AF, Canadian family medicine residents prefer warfarin in comparison with NOACs despite the latest Canadian and European guideline recommendations. This knowledge gap may be enhanced by multiple factors, including a sometimes magnified fear of adverse events and a rapidly changing landscape in stroke prophylaxis.","author":[{"dropping-particle":"","family":"Yazdan-Ashoori","given":"Payam","non-dropping-particle":"","parse-names":false,"suffix":""},{"dropping-particle":"","family":"Oqab","given":"Zardasht","non-dropping-particle":"","parse-names":false,"suffix":""},{"dropping-particle":"","family":"McIntyre","given":"William F.","non-dropping-particle":"","parse-names":false,"suffix":""},{"dropping-particle":"","family":"Quinn","given":"Kieran L.","non-dropping-particle":"","parse-names":false,"suffix":""},{"dropping-particle":"Van","family":"Oosten","given":"Erik","non-dropping-particle":"","parse-names":false,"suffix":""},{"dropping-particle":"","family":"Hopman","given":"Wilma M.","non-dropping-particle":"","parse-names":false,"suffix":""},{"dropping-particle":"","family":"Baranchuk","given":"Adrian","non-dropping-particle":"","parse-names":false,"suffix":""}],"container-title":"Primary Health Care Research and Development","id":"ITEM-1","issue":"5","issued":{"date-parts":[["2017"]]},"page":"472-481","title":"How do family medicine residents choose an anticoagulation regimen for patients with nonvalvular atrial fibrillation?","type":"article-journal","volume":"18"},"uris":["http://www.mendeley.com/documents/?uuid=3e97416a-0b60-434f-909b-c5d8a0808902"]}],"mendeley":{"formattedCitation":"(44)","plainTextFormattedCitation":"(44)","previouslyFormattedCitation":"(43)"},"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(44)</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451BB45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52E324EF" w14:textId="77777777" w:rsidR="00DA7737" w:rsidRPr="00066031" w:rsidRDefault="00DA7737" w:rsidP="00F73E3D">
            <w:pPr>
              <w:rPr>
                <w:rFonts w:asciiTheme="minorHAnsi" w:hAnsiTheme="minorHAnsi" w:cstheme="minorHAnsi"/>
                <w:sz w:val="20"/>
                <w:szCs w:val="20"/>
              </w:rPr>
            </w:pPr>
          </w:p>
          <w:p w14:paraId="6F0CB3CC"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555A842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247 resident doctors</w:t>
            </w:r>
          </w:p>
          <w:p w14:paraId="0C8DC848" w14:textId="77777777" w:rsidR="00DA7737" w:rsidRPr="00066031" w:rsidRDefault="00DA7737" w:rsidP="00F73E3D">
            <w:pPr>
              <w:rPr>
                <w:rFonts w:asciiTheme="minorHAnsi" w:hAnsiTheme="minorHAnsi" w:cstheme="minorHAnsi"/>
                <w:sz w:val="20"/>
                <w:szCs w:val="20"/>
              </w:rPr>
            </w:pPr>
          </w:p>
          <w:p w14:paraId="36493764" w14:textId="77777777" w:rsidR="00DA7737" w:rsidRPr="00066031" w:rsidRDefault="00DA7737" w:rsidP="00F73E3D">
            <w:pPr>
              <w:rPr>
                <w:rFonts w:asciiTheme="minorHAnsi" w:hAnsiTheme="minorHAnsi" w:cstheme="minorHAnsi"/>
                <w:sz w:val="20"/>
                <w:szCs w:val="20"/>
              </w:rPr>
            </w:pPr>
          </w:p>
          <w:p w14:paraId="31DECAE0" w14:textId="77777777" w:rsidR="00DA7737" w:rsidRPr="00066031" w:rsidRDefault="00DA7737" w:rsidP="00F73E3D">
            <w:pPr>
              <w:rPr>
                <w:rFonts w:asciiTheme="minorHAnsi" w:hAnsiTheme="minorHAnsi" w:cstheme="minorHAnsi"/>
                <w:sz w:val="20"/>
                <w:szCs w:val="20"/>
              </w:rPr>
            </w:pPr>
          </w:p>
          <w:p w14:paraId="4B19BB28"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Canada</w:t>
            </w:r>
          </w:p>
          <w:p w14:paraId="352DC7D2"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38579869"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assess the choices of trainee doctors when choosing anticoagulation for patients with atrial fibrillation</w:t>
            </w:r>
          </w:p>
        </w:tc>
        <w:tc>
          <w:tcPr>
            <w:tcW w:w="3402" w:type="dxa"/>
            <w:tcBorders>
              <w:top w:val="single" w:sz="4" w:space="0" w:color="auto"/>
              <w:left w:val="single" w:sz="4" w:space="0" w:color="auto"/>
              <w:bottom w:val="single" w:sz="4" w:space="0" w:color="auto"/>
              <w:right w:val="single" w:sz="4" w:space="0" w:color="auto"/>
            </w:tcBorders>
          </w:tcPr>
          <w:p w14:paraId="137EB4D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Doctors preferred warfarin over DOACs in uncomplicated cases but chose NOACs if there was a history of labile INR.</w:t>
            </w:r>
          </w:p>
        </w:tc>
        <w:tc>
          <w:tcPr>
            <w:tcW w:w="2835" w:type="dxa"/>
            <w:tcBorders>
              <w:top w:val="single" w:sz="4" w:space="0" w:color="auto"/>
              <w:left w:val="single" w:sz="4" w:space="0" w:color="auto"/>
              <w:bottom w:val="single" w:sz="4" w:space="0" w:color="auto"/>
            </w:tcBorders>
          </w:tcPr>
          <w:p w14:paraId="7EEB39A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Resident doctors are still in training thus their attitudes and responses suggest that further training is required in this area for them. Self</w:t>
            </w:r>
            <w:r>
              <w:rPr>
                <w:rFonts w:asciiTheme="minorHAnsi" w:hAnsiTheme="minorHAnsi" w:cstheme="minorHAnsi"/>
                <w:sz w:val="20"/>
                <w:szCs w:val="20"/>
              </w:rPr>
              <w:t>-</w:t>
            </w:r>
            <w:r w:rsidRPr="00066031">
              <w:rPr>
                <w:rFonts w:asciiTheme="minorHAnsi" w:hAnsiTheme="minorHAnsi" w:cstheme="minorHAnsi"/>
                <w:sz w:val="20"/>
                <w:szCs w:val="20"/>
              </w:rPr>
              <w:t>reported nature of the study means the results may not be generalisable.</w:t>
            </w:r>
          </w:p>
        </w:tc>
      </w:tr>
      <w:tr w:rsidR="00DA7737" w:rsidRPr="00066031" w14:paraId="50A82AF3" w14:textId="77777777" w:rsidTr="00F73E3D">
        <w:tc>
          <w:tcPr>
            <w:tcW w:w="1589" w:type="dxa"/>
            <w:tcBorders>
              <w:top w:val="single" w:sz="4" w:space="0" w:color="auto"/>
              <w:left w:val="single" w:sz="4" w:space="0" w:color="auto"/>
              <w:bottom w:val="single" w:sz="4" w:space="0" w:color="auto"/>
              <w:right w:val="single" w:sz="4" w:space="0" w:color="auto"/>
            </w:tcBorders>
          </w:tcPr>
          <w:p w14:paraId="0B1EDD79" w14:textId="77777777" w:rsidR="00DA7737" w:rsidRDefault="00DA7737" w:rsidP="00F73E3D">
            <w:pPr>
              <w:jc w:val="center"/>
              <w:rPr>
                <w:rFonts w:asciiTheme="minorHAnsi" w:hAnsiTheme="minorHAnsi" w:cstheme="minorHAnsi"/>
                <w:sz w:val="20"/>
                <w:szCs w:val="20"/>
              </w:rPr>
            </w:pPr>
          </w:p>
          <w:p w14:paraId="3A231152"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Ferguson </w:t>
            </w:r>
            <w:r w:rsidRPr="00C76300">
              <w:rPr>
                <w:rFonts w:asciiTheme="minorHAnsi" w:hAnsiTheme="minorHAnsi" w:cstheme="minorHAnsi"/>
                <w:i/>
                <w:iCs/>
                <w:sz w:val="20"/>
                <w:szCs w:val="20"/>
              </w:rPr>
              <w:t>et al.</w:t>
            </w:r>
            <w:r>
              <w:rPr>
                <w:rFonts w:asciiTheme="minorHAnsi" w:hAnsiTheme="minorHAnsi" w:cstheme="minorHAnsi"/>
                <w:sz w:val="20"/>
                <w:szCs w:val="20"/>
              </w:rPr>
              <w:t xml:space="preserve">,2017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{"citationItems":[{"id":"ITEM-1","itemData":{"DOI":"10.1111/jocn.13759","ISSN":"09621067","author":[{"dropping-particle":"","family":"Ferguson","given":"Caleb","non-dropping-particle":"","parse-names":false,"suffix":""},{"dropping-particle":"","family":"Inglis","given":"Sally C.","non-dropping-particle":"","parse-names":false,"suffix":""},{"dropping-particle":"","family":"Newton","given":"Phillip J.","non-dropping-particle":"","parse-names":false,"suffix":""},{"dropping-particle":"","family":"Middleton","given":"Sandy","non-dropping-particle":"","parse-names":false,"suffix":""},{"dropping-particle":"","family":"Macdonald","given":"Peter S.","non-dropping-particle":"","parse-names":false,"suffix":""},{"dropping-particle":"","family":"Davidson","given":"Patricia M.","non-dropping-particle":"","parse-names":false,"suffix":""}],"container-title":"Journal of Clinical Nursing","id":"ITEM-1","issued":{"date-parts":[["2017","3","1"]]},"page":"4325-4334","title":"Barriers and enablers to adherence to anticoagulation in heart failure with atrial fibrillation: patient and provider perspectives","type":"article-journal","volume":"26"},"uris":["http://www.mendeley.com/documents/?uuid=9f5ec549-9441-3f03-b44a-98fbd584f386"]}],"mendeley":{"formattedCitation":"(45)","plainTextFormattedCitation":"(45)","previouslyFormattedCitation":"(44)"},"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(45)</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6E5C50A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Qualitative</w:t>
            </w:r>
          </w:p>
        </w:tc>
        <w:tc>
          <w:tcPr>
            <w:tcW w:w="1444" w:type="dxa"/>
            <w:tcBorders>
              <w:top w:val="single" w:sz="4" w:space="0" w:color="auto"/>
              <w:left w:val="single" w:sz="4" w:space="0" w:color="auto"/>
              <w:bottom w:val="single" w:sz="4" w:space="0" w:color="auto"/>
              <w:right w:val="single" w:sz="4" w:space="0" w:color="auto"/>
            </w:tcBorders>
          </w:tcPr>
          <w:p w14:paraId="668E0228"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144 patients </w:t>
            </w:r>
          </w:p>
          <w:p w14:paraId="70F5B86E" w14:textId="77777777" w:rsidR="00DA7737" w:rsidRPr="00066031" w:rsidRDefault="00DA7737" w:rsidP="00F73E3D">
            <w:pPr>
              <w:rPr>
                <w:rFonts w:asciiTheme="minorHAnsi" w:hAnsiTheme="minorHAnsi" w:cstheme="minorHAnsi"/>
                <w:sz w:val="20"/>
                <w:szCs w:val="20"/>
              </w:rPr>
            </w:pPr>
          </w:p>
          <w:p w14:paraId="1DB1567D" w14:textId="77777777" w:rsidR="00DA7737" w:rsidRPr="00066031" w:rsidRDefault="00DA7737" w:rsidP="00F73E3D">
            <w:pPr>
              <w:rPr>
                <w:rFonts w:asciiTheme="minorHAnsi" w:hAnsiTheme="minorHAnsi" w:cstheme="minorHAnsi"/>
                <w:sz w:val="20"/>
                <w:szCs w:val="20"/>
              </w:rPr>
            </w:pPr>
          </w:p>
          <w:p w14:paraId="374FBD12"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Australia</w:t>
            </w:r>
          </w:p>
          <w:p w14:paraId="09153635"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0DCD3A7E"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To identify the barriers and facilitators to anticoagulation in patients with CHF and concomitant AF from the perspective of patients and providers </w:t>
            </w:r>
          </w:p>
        </w:tc>
        <w:tc>
          <w:tcPr>
            <w:tcW w:w="3402" w:type="dxa"/>
            <w:tcBorders>
              <w:top w:val="single" w:sz="4" w:space="0" w:color="auto"/>
              <w:left w:val="single" w:sz="4" w:space="0" w:color="auto"/>
              <w:bottom w:val="single" w:sz="4" w:space="0" w:color="auto"/>
              <w:right w:val="single" w:sz="4" w:space="0" w:color="auto"/>
            </w:tcBorders>
          </w:tcPr>
          <w:p w14:paraId="15499FD6"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Barriers to anticoagulation include age related factors </w:t>
            </w:r>
            <w:proofErr w:type="spellStart"/>
            <w:r w:rsidRPr="00066031">
              <w:rPr>
                <w:rFonts w:asciiTheme="minorHAnsi" w:hAnsiTheme="minorHAnsi" w:cstheme="minorHAnsi"/>
                <w:sz w:val="20"/>
                <w:szCs w:val="20"/>
              </w:rPr>
              <w:t>e.g</w:t>
            </w:r>
            <w:proofErr w:type="spellEnd"/>
            <w:r w:rsidRPr="00066031">
              <w:rPr>
                <w:rFonts w:asciiTheme="minorHAnsi" w:hAnsiTheme="minorHAnsi" w:cstheme="minorHAnsi"/>
                <w:sz w:val="20"/>
                <w:szCs w:val="20"/>
              </w:rPr>
              <w:t xml:space="preserve"> cognitive impairment, frailty and falls. People who had a routine or family support were more adherent with treatment</w:t>
            </w:r>
          </w:p>
        </w:tc>
        <w:tc>
          <w:tcPr>
            <w:tcW w:w="2835" w:type="dxa"/>
            <w:tcBorders>
              <w:top w:val="single" w:sz="4" w:space="0" w:color="auto"/>
              <w:left w:val="single" w:sz="4" w:space="0" w:color="auto"/>
              <w:bottom w:val="single" w:sz="4" w:space="0" w:color="auto"/>
            </w:tcBorders>
          </w:tcPr>
          <w:p w14:paraId="448580B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The majority of quotes were from informal bedside interviews, and they were not recorded or transcribed verbatim.  However, there was good reflexivity by the researcher. Warfarin was the anticoagulant in this case.</w:t>
            </w:r>
          </w:p>
        </w:tc>
      </w:tr>
      <w:tr w:rsidR="00DA7737" w:rsidRPr="00066031" w14:paraId="53F831E8" w14:textId="77777777" w:rsidTr="00F73E3D">
        <w:tc>
          <w:tcPr>
            <w:tcW w:w="1589" w:type="dxa"/>
            <w:tcBorders>
              <w:top w:val="single" w:sz="4" w:space="0" w:color="auto"/>
              <w:left w:val="single" w:sz="4" w:space="0" w:color="auto"/>
              <w:bottom w:val="single" w:sz="4" w:space="0" w:color="auto"/>
              <w:right w:val="single" w:sz="4" w:space="0" w:color="auto"/>
            </w:tcBorders>
          </w:tcPr>
          <w:p w14:paraId="5E847BC6" w14:textId="77777777" w:rsidR="00DA7737" w:rsidRDefault="00DA7737" w:rsidP="00F73E3D">
            <w:pPr>
              <w:jc w:val="center"/>
              <w:rPr>
                <w:rFonts w:asciiTheme="minorHAnsi" w:hAnsiTheme="minorHAnsi" w:cstheme="minorHAnsi"/>
                <w:sz w:val="20"/>
                <w:szCs w:val="20"/>
              </w:rPr>
            </w:pPr>
          </w:p>
          <w:p w14:paraId="1B8D506B"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Brown, </w:t>
            </w:r>
            <w:proofErr w:type="spellStart"/>
            <w:r>
              <w:rPr>
                <w:rFonts w:asciiTheme="minorHAnsi" w:hAnsiTheme="minorHAnsi" w:cstheme="minorHAnsi"/>
                <w:sz w:val="20"/>
                <w:szCs w:val="20"/>
              </w:rPr>
              <w:t>Shewale</w:t>
            </w:r>
            <w:proofErr w:type="spellEnd"/>
            <w:r>
              <w:rPr>
                <w:rFonts w:asciiTheme="minorHAnsi" w:hAnsiTheme="minorHAnsi" w:cstheme="minorHAnsi"/>
                <w:sz w:val="20"/>
                <w:szCs w:val="20"/>
              </w:rPr>
              <w:t xml:space="preserve"> and Talbert, 2017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{"citationItems":[{"id":"ITEM-1","itemData":{"DOI":"10.1007/s10549-015-3663-1.Progestin","ISBN":"1054901536631","ISSN":"1527-5418","PMID":"26928661","author":[{"dropping-particle":"","family":"Brown","given":"Joshua D.","non-dropping-particle":"","parse-names":false,"suffix":""},{"dropping-particle":"","family":"Shewale","given":"Anand R.","non-dropping-particle":"","parse-names":false,"suffix":""},{"dropping-particle":"","family":"Talbert","given":"Jeffery C.","non-dropping-particle":"","parse-names":false,"suffix":""}],"container-title":"J Manag Care Spec Pharm","id":"ITEM-1","issue":"1","issued":{"date-parts":[["2017"]]},"page":"3-12","title":"Adherence to Rivaroxaban, Dabigatran, and Apixaban for Stroke Prevention in Incident, Treatment-Naïve Nonvalvular Atrial Fibrillation","type":"article-journal","volume":"155"},"uris":["http://www.mendeley.com/documents/?uuid=32aa9963-c707-4220-931e-ed3e3ed274c2"]}],"mendeley":{"formattedCitation":"(46)","plainTextFormattedCitation":"(46)","previouslyFormattedCitation":"(45)"},"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(46)</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1752EB85"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Quantitative</w:t>
            </w:r>
          </w:p>
          <w:p w14:paraId="63220E34" w14:textId="77777777" w:rsidR="00DA7737" w:rsidRPr="00066031" w:rsidRDefault="00DA7737" w:rsidP="00F73E3D">
            <w:pPr>
              <w:rPr>
                <w:rFonts w:asciiTheme="minorHAnsi" w:hAnsiTheme="minorHAnsi" w:cstheme="minorHAnsi"/>
                <w:sz w:val="20"/>
                <w:szCs w:val="20"/>
              </w:rPr>
            </w:pPr>
          </w:p>
          <w:p w14:paraId="2C87C645" w14:textId="77777777" w:rsidR="00DA7737" w:rsidRPr="00066031" w:rsidRDefault="00DA7737" w:rsidP="00F73E3D">
            <w:pPr>
              <w:rPr>
                <w:rFonts w:asciiTheme="minorHAnsi" w:hAnsiTheme="minorHAnsi" w:cstheme="minorHAnsi"/>
                <w:sz w:val="20"/>
                <w:szCs w:val="20"/>
              </w:rPr>
            </w:pPr>
          </w:p>
          <w:p w14:paraId="6FCE15B0" w14:textId="77777777" w:rsidR="00DA7737" w:rsidRPr="00066031" w:rsidRDefault="00DA7737" w:rsidP="00F73E3D">
            <w:pP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5022EBDC"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15,348 patients with AF</w:t>
            </w:r>
          </w:p>
          <w:p w14:paraId="66BF388D" w14:textId="77777777" w:rsidR="00DA7737" w:rsidRPr="00066031" w:rsidRDefault="00DA7737" w:rsidP="00F73E3D">
            <w:pPr>
              <w:rPr>
                <w:rFonts w:asciiTheme="minorHAnsi" w:hAnsiTheme="minorHAnsi" w:cstheme="minorHAnsi"/>
                <w:sz w:val="20"/>
                <w:szCs w:val="20"/>
              </w:rPr>
            </w:pPr>
          </w:p>
          <w:p w14:paraId="50E96D10" w14:textId="77777777" w:rsidR="00DA7737" w:rsidRPr="00066031" w:rsidRDefault="00DA7737" w:rsidP="00F73E3D">
            <w:pPr>
              <w:rPr>
                <w:rFonts w:asciiTheme="minorHAnsi" w:hAnsiTheme="minorHAnsi" w:cstheme="minorHAnsi"/>
                <w:sz w:val="20"/>
                <w:szCs w:val="20"/>
              </w:rPr>
            </w:pPr>
          </w:p>
          <w:p w14:paraId="2609D19C" w14:textId="77777777" w:rsidR="00DA7737" w:rsidRPr="00066031" w:rsidRDefault="00DA7737" w:rsidP="00F73E3D">
            <w:pPr>
              <w:rPr>
                <w:rFonts w:asciiTheme="minorHAnsi" w:hAnsiTheme="minorHAnsi" w:cstheme="minorHAnsi"/>
                <w:sz w:val="20"/>
                <w:szCs w:val="20"/>
              </w:rPr>
            </w:pPr>
          </w:p>
          <w:p w14:paraId="61BB1C7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U.S.A</w:t>
            </w:r>
          </w:p>
          <w:p w14:paraId="62411145"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75407BCD"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compare adherence and treatment patterns among NOACs for stroke prevention in patients with nonvalvular atrial fibrillation (NVAF)</w:t>
            </w:r>
          </w:p>
        </w:tc>
        <w:tc>
          <w:tcPr>
            <w:tcW w:w="3402" w:type="dxa"/>
            <w:tcBorders>
              <w:top w:val="single" w:sz="4" w:space="0" w:color="auto"/>
              <w:left w:val="single" w:sz="4" w:space="0" w:color="auto"/>
              <w:bottom w:val="single" w:sz="4" w:space="0" w:color="auto"/>
              <w:right w:val="single" w:sz="4" w:space="0" w:color="auto"/>
            </w:tcBorders>
          </w:tcPr>
          <w:p w14:paraId="45DA4B5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Patients on dabigatran had lower adherence and were more likely to change to another anticoagulant </w:t>
            </w:r>
            <w:r>
              <w:rPr>
                <w:rFonts w:asciiTheme="minorHAnsi" w:hAnsiTheme="minorHAnsi" w:cstheme="minorHAnsi"/>
                <w:sz w:val="20"/>
                <w:szCs w:val="20"/>
              </w:rPr>
              <w:t>o</w:t>
            </w:r>
            <w:r w:rsidRPr="00066031">
              <w:rPr>
                <w:rFonts w:asciiTheme="minorHAnsi" w:hAnsiTheme="minorHAnsi" w:cstheme="minorHAnsi"/>
                <w:sz w:val="20"/>
                <w:szCs w:val="20"/>
              </w:rPr>
              <w:t>lder patients and those with a higher stroke risk were more likely to have higher rates of adherence</w:t>
            </w:r>
          </w:p>
        </w:tc>
        <w:tc>
          <w:tcPr>
            <w:tcW w:w="2835" w:type="dxa"/>
            <w:tcBorders>
              <w:top w:val="single" w:sz="4" w:space="0" w:color="auto"/>
              <w:left w:val="single" w:sz="4" w:space="0" w:color="auto"/>
              <w:bottom w:val="single" w:sz="4" w:space="0" w:color="auto"/>
            </w:tcBorders>
          </w:tcPr>
          <w:p w14:paraId="62899A7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Data for this study was based on a large claims database using the proportion of days covered. Assumptions are being made here that patients actually consumed their medication and were compliant with the dosing </w:t>
            </w:r>
            <w:proofErr w:type="gramStart"/>
            <w:r w:rsidRPr="00066031">
              <w:rPr>
                <w:rFonts w:asciiTheme="minorHAnsi" w:hAnsiTheme="minorHAnsi" w:cstheme="minorHAnsi"/>
                <w:sz w:val="20"/>
                <w:szCs w:val="20"/>
              </w:rPr>
              <w:t>regimen</w:t>
            </w:r>
            <w:proofErr w:type="gramEnd"/>
            <w:r w:rsidRPr="00066031">
              <w:rPr>
                <w:rFonts w:asciiTheme="minorHAnsi" w:hAnsiTheme="minorHAnsi" w:cstheme="minorHAnsi"/>
                <w:sz w:val="20"/>
                <w:szCs w:val="20"/>
              </w:rPr>
              <w:t xml:space="preserve"> but this cannot be confirmed and ﻿in practice this does not give the whole picture regarding medication adherence.</w:t>
            </w:r>
          </w:p>
        </w:tc>
      </w:tr>
      <w:tr w:rsidR="00DA7737" w:rsidRPr="00066031" w14:paraId="6FB1CBA3" w14:textId="77777777" w:rsidTr="00F73E3D">
        <w:tc>
          <w:tcPr>
            <w:tcW w:w="1589" w:type="dxa"/>
            <w:tcBorders>
              <w:top w:val="single" w:sz="4" w:space="0" w:color="auto"/>
              <w:left w:val="single" w:sz="4" w:space="0" w:color="auto"/>
              <w:bottom w:val="single" w:sz="4" w:space="0" w:color="auto"/>
              <w:right w:val="single" w:sz="4" w:space="0" w:color="auto"/>
            </w:tcBorders>
          </w:tcPr>
          <w:p w14:paraId="739F6739" w14:textId="77777777" w:rsidR="00DA7737" w:rsidRDefault="00DA7737" w:rsidP="00F73E3D">
            <w:pPr>
              <w:jc w:val="center"/>
              <w:rPr>
                <w:rFonts w:asciiTheme="minorHAnsi" w:hAnsiTheme="minorHAnsi" w:cstheme="minorHAnsi"/>
                <w:sz w:val="20"/>
                <w:szCs w:val="20"/>
              </w:rPr>
            </w:pPr>
          </w:p>
          <w:p w14:paraId="4547DCA9" w14:textId="77777777" w:rsidR="00DA7737" w:rsidRPr="005C55B2" w:rsidRDefault="00DA7737" w:rsidP="00F73E3D">
            <w:pPr>
              <w:jc w:val="center"/>
              <w:rPr>
                <w:rFonts w:asciiTheme="minorHAnsi" w:hAnsiTheme="minorHAnsi" w:cstheme="minorHAnsi"/>
                <w:sz w:val="20"/>
                <w:szCs w:val="20"/>
              </w:rPr>
            </w:pPr>
            <w:r>
              <w:rPr>
                <w:rFonts w:asciiTheme="minorHAnsi" w:hAnsiTheme="minorHAnsi" w:cstheme="minorHAnsi"/>
                <w:sz w:val="20"/>
                <w:szCs w:val="20"/>
              </w:rPr>
              <w:lastRenderedPageBreak/>
              <w:t xml:space="preserve">Bartoli-Abdou, Patel, </w:t>
            </w:r>
            <w:proofErr w:type="spellStart"/>
            <w:r>
              <w:rPr>
                <w:rFonts w:asciiTheme="minorHAnsi" w:hAnsiTheme="minorHAnsi" w:cstheme="minorHAnsi"/>
                <w:sz w:val="20"/>
                <w:szCs w:val="20"/>
              </w:rPr>
              <w:t>Xie</w:t>
            </w:r>
            <w:proofErr w:type="spellEnd"/>
            <w:r>
              <w:rPr>
                <w:rFonts w:asciiTheme="minorHAnsi" w:hAnsiTheme="minorHAnsi" w:cstheme="minorHAnsi"/>
                <w:sz w:val="20"/>
                <w:szCs w:val="20"/>
              </w:rPr>
              <w:t xml:space="preserve"> </w:t>
            </w:r>
            <w:r w:rsidRPr="00C76300">
              <w:rPr>
                <w:rFonts w:asciiTheme="minorHAnsi" w:hAnsiTheme="minorHAnsi" w:cstheme="minorHAnsi"/>
                <w:i/>
                <w:iCs/>
                <w:sz w:val="20"/>
                <w:szCs w:val="20"/>
              </w:rPr>
              <w:t>et al.,</w:t>
            </w:r>
            <w:r>
              <w:rPr>
                <w:rFonts w:asciiTheme="minorHAnsi" w:hAnsiTheme="minorHAnsi" w:cstheme="minorHAnsi"/>
                <w:sz w:val="20"/>
                <w:szCs w:val="20"/>
              </w:rPr>
              <w:t xml:space="preserve"> 2018 </w:t>
            </w:r>
            <w:r w:rsidRPr="005C55B2">
              <w:rPr>
                <w:rFonts w:cstheme="minorHAnsi"/>
                <w:sz w:val="20"/>
                <w:szCs w:val="20"/>
              </w:rPr>
              <w:fldChar w:fldCharType="begin" w:fldLock="1"/>
            </w:r>
            <w:r>
              <w:rPr>
                <w:rFonts w:asciiTheme="minorHAnsi" w:hAnsiTheme="minorHAnsi" w:cstheme="minorHAnsi"/>
                <w:sz w:val="20"/>
                <w:szCs w:val="20"/>
              </w:rPr>
              <w:instrText>ADDIN CSL_CITATION {"citationItems":[{"id":"ITEM-1","itemData":{"DOI":"10.1002/rth2.12116","ISSN":"2475-0379","abstract":"Background: Anticoagulation control with vitamin-K antagonists (VKAs) in patients","author":[{"dropping-particle":"","family":"Bartoli-Abdou","given":"John K.","non-dropping-particle":"","parse-names":false,"suffix":""},{"dropping-particle":"","family":"Patel","given":"Jignesh P.","non-dropping-particle":"","parse-names":false,"suffix":""},{"dropping-particle":"","family":"Xie","given":"Rosa","non-dropping-particle":"","parse-names":false,"suffix":""},{"dropping-particle":"","family":"Dzahini","given":"Olubanke","non-dropping-particle":"","parse-names":false,"suffix":""},{"dropping-particle":"","family":"Vadher","given":"Bipin","non-dropping-particle":"","parse-names":false,"suffix":""},{"dropping-particle":"","family":"Brown","given":"Alison","non-dropping-particle":"","parse-names":false,"suffix":""},{"dropping-particle":"","family":"Roberts","given":"Lara N.","non-dropping-particle":"","parse-names":false,"suffix":""},{"dropping-particle":"","family":"Patel","given":"Raj K.","non-dropping-particle":"","parse-names":false,"suffix":""},{"dropping-particle":"","family":"Arya","given":"Roopen","non-dropping-particle":"","parse-names":false,"suffix":""},{"dropping-particle":"","family":"Auyeung","given":"Vivian","non-dropping-particle":"","parse-names":false,"suffix":""}],"container-title":"Research and Practice in Thrombosis and Haemostasis","id":"ITEM-1","issue":"3","issued":{"date-parts":[["2018"]]},"page":"497-507","title":"Associations between illness beliefs, medication beliefs, anticoagulation-related quality of life, and INR control: Insights from the Switching Study","type":"article-journal","volume":"2"},"uris":["http://www.mendeley.com/documents/?uuid=480ba85e-d43d-4470-9b1e-3db627bad187"]}],"mendeley":{"formattedCitation":"(47)","plainTextFormattedCitation":"(47)","previouslyFormattedCitation":"(46)"},"properties":{"noteIndex":0},"schema":"https://github.com/citation-style-language/schema/raw/master/csl-citation.json"}</w:instrText>
            </w:r>
            <w:r w:rsidRPr="005C55B2">
              <w:rPr>
                <w:rFonts w:cstheme="minorHAnsi"/>
                <w:sz w:val="20"/>
                <w:szCs w:val="20"/>
              </w:rPr>
              <w:fldChar w:fldCharType="separate"/>
            </w:r>
            <w:r w:rsidRPr="00140A65">
              <w:rPr>
                <w:rFonts w:asciiTheme="minorHAnsi" w:hAnsiTheme="minorHAnsi" w:cstheme="minorHAnsi"/>
                <w:noProof/>
                <w:sz w:val="20"/>
                <w:szCs w:val="20"/>
              </w:rPr>
              <w:t>(47)</w:t>
            </w:r>
            <w:r w:rsidRPr="005C55B2">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70E9090C" w14:textId="77777777" w:rsidR="00DA7737" w:rsidRPr="005C55B2" w:rsidRDefault="00DA7737" w:rsidP="00F73E3D">
            <w:pPr>
              <w:rPr>
                <w:rFonts w:asciiTheme="minorHAnsi" w:hAnsiTheme="minorHAnsi" w:cstheme="minorHAnsi"/>
                <w:sz w:val="20"/>
                <w:szCs w:val="20"/>
              </w:rPr>
            </w:pPr>
            <w:r w:rsidRPr="005C55B2">
              <w:rPr>
                <w:rFonts w:asciiTheme="minorHAnsi" w:hAnsiTheme="minorHAnsi" w:cstheme="minorHAnsi"/>
                <w:sz w:val="20"/>
                <w:szCs w:val="20"/>
              </w:rPr>
              <w:lastRenderedPageBreak/>
              <w:t>Qua</w:t>
            </w:r>
            <w:r>
              <w:rPr>
                <w:rFonts w:asciiTheme="minorHAnsi" w:hAnsiTheme="minorHAnsi" w:cstheme="minorHAnsi"/>
                <w:sz w:val="20"/>
                <w:szCs w:val="20"/>
              </w:rPr>
              <w:t>nti</w:t>
            </w:r>
            <w:r w:rsidRPr="005C55B2">
              <w:rPr>
                <w:rFonts w:asciiTheme="minorHAnsi" w:hAnsiTheme="minorHAnsi" w:cstheme="minorHAnsi"/>
                <w:sz w:val="20"/>
                <w:szCs w:val="20"/>
              </w:rPr>
              <w:t>tative</w:t>
            </w:r>
          </w:p>
        </w:tc>
        <w:tc>
          <w:tcPr>
            <w:tcW w:w="1444" w:type="dxa"/>
            <w:tcBorders>
              <w:top w:val="single" w:sz="4" w:space="0" w:color="auto"/>
              <w:left w:val="single" w:sz="4" w:space="0" w:color="auto"/>
              <w:bottom w:val="single" w:sz="4" w:space="0" w:color="auto"/>
              <w:right w:val="single" w:sz="4" w:space="0" w:color="auto"/>
            </w:tcBorders>
          </w:tcPr>
          <w:p w14:paraId="370D0067" w14:textId="77777777" w:rsidR="00DA7737" w:rsidRPr="005C55B2" w:rsidRDefault="00DA7737" w:rsidP="00F73E3D">
            <w:pPr>
              <w:rPr>
                <w:rFonts w:asciiTheme="minorHAnsi" w:hAnsiTheme="minorHAnsi" w:cstheme="minorHAnsi"/>
                <w:sz w:val="20"/>
                <w:szCs w:val="20"/>
              </w:rPr>
            </w:pPr>
            <w:r w:rsidRPr="005C55B2">
              <w:rPr>
                <w:rFonts w:asciiTheme="minorHAnsi" w:hAnsiTheme="minorHAnsi" w:cstheme="minorHAnsi"/>
                <w:sz w:val="20"/>
                <w:szCs w:val="20"/>
              </w:rPr>
              <w:t>311 Patients</w:t>
            </w:r>
          </w:p>
          <w:p w14:paraId="08D550C1" w14:textId="77777777" w:rsidR="00DA7737" w:rsidRPr="005C55B2" w:rsidRDefault="00DA7737" w:rsidP="00F73E3D">
            <w:pPr>
              <w:rPr>
                <w:rFonts w:asciiTheme="minorHAnsi" w:hAnsiTheme="minorHAnsi" w:cstheme="minorHAnsi"/>
                <w:sz w:val="20"/>
                <w:szCs w:val="20"/>
              </w:rPr>
            </w:pPr>
          </w:p>
          <w:p w14:paraId="7A87ADB6" w14:textId="77777777" w:rsidR="00DA7737" w:rsidRPr="005C55B2" w:rsidRDefault="00DA7737" w:rsidP="00F73E3D">
            <w:pPr>
              <w:rPr>
                <w:rFonts w:asciiTheme="minorHAnsi" w:hAnsiTheme="minorHAnsi" w:cstheme="minorHAnsi"/>
                <w:sz w:val="20"/>
                <w:szCs w:val="20"/>
              </w:rPr>
            </w:pPr>
            <w:proofErr w:type="gramStart"/>
            <w:r w:rsidRPr="005C55B2">
              <w:rPr>
                <w:rFonts w:asciiTheme="minorHAnsi" w:hAnsiTheme="minorHAnsi" w:cstheme="minorHAnsi"/>
                <w:sz w:val="20"/>
                <w:szCs w:val="20"/>
              </w:rPr>
              <w:lastRenderedPageBreak/>
              <w:t>U.K</w:t>
            </w:r>
            <w:proofErr w:type="gramEnd"/>
          </w:p>
        </w:tc>
        <w:tc>
          <w:tcPr>
            <w:tcW w:w="3114" w:type="dxa"/>
            <w:tcBorders>
              <w:top w:val="single" w:sz="4" w:space="0" w:color="auto"/>
              <w:left w:val="single" w:sz="4" w:space="0" w:color="auto"/>
              <w:bottom w:val="single" w:sz="4" w:space="0" w:color="auto"/>
              <w:right w:val="single" w:sz="4" w:space="0" w:color="auto"/>
            </w:tcBorders>
          </w:tcPr>
          <w:p w14:paraId="422028C3"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 xml:space="preserve">To investigate differences in the beliefs between those with optimal </w:t>
            </w:r>
            <w:r>
              <w:rPr>
                <w:rFonts w:asciiTheme="minorHAnsi" w:hAnsiTheme="minorHAnsi" w:cstheme="minorHAnsi"/>
                <w:sz w:val="20"/>
                <w:szCs w:val="20"/>
              </w:rPr>
              <w:lastRenderedPageBreak/>
              <w:t>and suboptimal anticoagulation control</w:t>
            </w:r>
          </w:p>
        </w:tc>
        <w:tc>
          <w:tcPr>
            <w:tcW w:w="3402" w:type="dxa"/>
            <w:tcBorders>
              <w:top w:val="single" w:sz="4" w:space="0" w:color="auto"/>
              <w:left w:val="single" w:sz="4" w:space="0" w:color="auto"/>
              <w:bottom w:val="single" w:sz="4" w:space="0" w:color="auto"/>
              <w:right w:val="single" w:sz="4" w:space="0" w:color="auto"/>
            </w:tcBorders>
          </w:tcPr>
          <w:p w14:paraId="66C88E3D"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 xml:space="preserve">Patients taking anticoagulants for AF experienced less treatment burden </w:t>
            </w:r>
            <w:r>
              <w:rPr>
                <w:rFonts w:asciiTheme="minorHAnsi" w:hAnsiTheme="minorHAnsi" w:cstheme="minorHAnsi"/>
                <w:sz w:val="20"/>
                <w:szCs w:val="20"/>
              </w:rPr>
              <w:lastRenderedPageBreak/>
              <w:t xml:space="preserve">and were less likely to recognise the necessity and benefits of therapy compared to venous thrombolytic patients. </w:t>
            </w:r>
          </w:p>
        </w:tc>
        <w:tc>
          <w:tcPr>
            <w:tcW w:w="2835" w:type="dxa"/>
            <w:tcBorders>
              <w:top w:val="single" w:sz="4" w:space="0" w:color="auto"/>
              <w:left w:val="single" w:sz="4" w:space="0" w:color="auto"/>
              <w:bottom w:val="single" w:sz="4" w:space="0" w:color="auto"/>
            </w:tcBorders>
          </w:tcPr>
          <w:p w14:paraId="3705AC5A"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lastRenderedPageBreak/>
              <w:t xml:space="preserve">This study about illness and medication beliefs also included </w:t>
            </w:r>
            <w:r>
              <w:rPr>
                <w:rFonts w:asciiTheme="minorHAnsi" w:hAnsiTheme="minorHAnsi" w:cstheme="minorHAnsi"/>
                <w:sz w:val="20"/>
                <w:szCs w:val="20"/>
              </w:rPr>
              <w:lastRenderedPageBreak/>
              <w:t>patients taking anticoagulants for venous thromboembolism.</w:t>
            </w:r>
          </w:p>
        </w:tc>
      </w:tr>
      <w:tr w:rsidR="00DA7737" w:rsidRPr="00066031" w14:paraId="2B2A5A32" w14:textId="77777777" w:rsidTr="00F73E3D">
        <w:tc>
          <w:tcPr>
            <w:tcW w:w="1589" w:type="dxa"/>
            <w:tcBorders>
              <w:top w:val="single" w:sz="4" w:space="0" w:color="auto"/>
              <w:left w:val="single" w:sz="4" w:space="0" w:color="auto"/>
              <w:bottom w:val="single" w:sz="4" w:space="0" w:color="auto"/>
              <w:right w:val="single" w:sz="4" w:space="0" w:color="auto"/>
            </w:tcBorders>
          </w:tcPr>
          <w:p w14:paraId="12DE2F58" w14:textId="77777777" w:rsidR="00DA7737" w:rsidRDefault="00DA7737" w:rsidP="00F73E3D">
            <w:pPr>
              <w:jc w:val="center"/>
              <w:rPr>
                <w:rFonts w:asciiTheme="minorHAnsi" w:hAnsiTheme="minorHAnsi" w:cstheme="minorHAnsi"/>
                <w:sz w:val="20"/>
                <w:szCs w:val="20"/>
              </w:rPr>
            </w:pPr>
          </w:p>
          <w:p w14:paraId="70CAF1A5"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Ikeda </w:t>
            </w:r>
            <w:r w:rsidRPr="00C76300">
              <w:rPr>
                <w:rFonts w:asciiTheme="minorHAnsi" w:hAnsiTheme="minorHAnsi" w:cstheme="minorHAnsi"/>
                <w:i/>
                <w:iCs/>
                <w:sz w:val="20"/>
                <w:szCs w:val="20"/>
              </w:rPr>
              <w:t>et al.,</w:t>
            </w:r>
            <w:r>
              <w:rPr>
                <w:rFonts w:asciiTheme="minorHAnsi" w:hAnsiTheme="minorHAnsi" w:cstheme="minorHAnsi"/>
                <w:sz w:val="20"/>
                <w:szCs w:val="20"/>
              </w:rPr>
              <w:t xml:space="preserve"> 2018 </w:t>
            </w:r>
            <w:r w:rsidRPr="00066031">
              <w:rPr>
                <w:rFonts w:cstheme="minorHAnsi"/>
                <w:sz w:val="20"/>
                <w:szCs w:val="20"/>
              </w:rPr>
              <w:fldChar w:fldCharType="begin" w:fldLock="1"/>
            </w:r>
            <w:r>
              <w:rPr>
                <w:rFonts w:asciiTheme="minorHAnsi" w:hAnsiTheme="minorHAnsi" w:cstheme="minorHAnsi"/>
                <w:sz w:val="20"/>
                <w:szCs w:val="20"/>
              </w:rPr>
              <w:instrText>ADDIN CSL_CITATION {"citationItems":[{"id":"ITEM-1","itemData":{"DOI":"10.2147/PPA.S152584","ISSN":"1177889X","abstract":"Purpose: Although warfarin has historically been the standard of care for preventing ischemic stroke in patients with nonvalvular atrial fibrillation (NVAF), the use of direct oral anticoagulants (DOACs) is rapidly increasing. In this study, we examined the demographic and clinical characteristics of patients continuing warfarin therapy and investigated reasons for warfarin continuation. Patients and methods: Each study site consecutively registered 10 patients with NVAF who had been taking warfarin for at least 12 months. Demographic and clinical characteristics and international normalized ratio (INR) values were collected from medical records. Physicians responded to questionnaires exploring reasons for continuing warfarin therapy. Results: Overall, 313 patients treated with warfarin were registered at 33 sites. Mean ± SD age was 76.4±9.6 years; 62.9% of patients were male. The proportion of patients with INR values in the therapeutic range was 74.6% and 48.8% among patients aged ≥70 years and ˂70 years, respectively. Over half of the patients (51.4%) had been advised to switch from warfarin to DOACs; the primary physician-reported reason for this recommendation was superior safety and effectiveness. However, patients reported continuing warfarin because of the high price of DOACs (47.2%) and long-term positive experiences with warfarin (31.7%). The remaining 48.6% of patients with NVAF had never been counseled by their physicians about DOACs as an alternative to warfarin. For 76% of these patients, physicians favored warfarin for medical reasons, such as impaired renal function and controlled INR, but in the remaining patients, medical reasons for continuing warfarin were lacking. Conclusion: Approximately half of the patients in this study were informed of warfarin alternatives primarily for improved efficacy and safety, but elected not to change regimens because of the high price of DOACs and long-term positive experiences with warfarin. In the remaining half, physician preference or specific patient characteristics prevented a change in therapy.","author":[{"dropping-particle":"","family":"Ikeda","given":"Takanori","non-dropping-particle":"","parse-names":false,"suffix":""},{"dropping-particle":"","family":"Yasaka","given":"Masahiro","non-dropping-particle":"","parse-names":false,"suffix":""},{"dropping-particle":"","family":"Kida","given":"Makoto","non-dropping-particle":"","parse-names":false,"suffix":""},{"dropping-particle":"","family":"Imura","given":"Miki","non-dropping-particle":"","parse-names":false,"suffix":""}],"container-title":"Patient Preference and Adherence","id":"ITEM-1","issued":{"date-parts":[["2018"]]},"page":"135-143","title":"A survey of reasons for continuing warfarin therapy in the era of direct oral anticoagulants in Japanese patients with atrial fibrillation: The SELECT study","type":"article-journal","volume":"12"},"uris":["http://www.mendeley.com/documents/?uuid=5d6d0297-0449-4880-8a9a-64da98dd8e87"]}],"mendeley":{"formattedCitation":"(48)","plainTextFormattedCitation":"(48)","previouslyFormattedCitation":"(47)"},"properties":{"noteIndex":0},"schema":"https://github.com/citation-style-language/schema/raw/master/csl-citation.json"}</w:instrText>
            </w:r>
            <w:r w:rsidRPr="00066031">
              <w:rPr>
                <w:rFonts w:cstheme="minorHAnsi"/>
                <w:sz w:val="20"/>
                <w:szCs w:val="20"/>
              </w:rPr>
              <w:fldChar w:fldCharType="separate"/>
            </w:r>
            <w:r w:rsidRPr="00140A65">
              <w:rPr>
                <w:rFonts w:asciiTheme="minorHAnsi" w:hAnsiTheme="minorHAnsi" w:cstheme="minorHAnsi"/>
                <w:noProof/>
                <w:sz w:val="20"/>
                <w:szCs w:val="20"/>
              </w:rPr>
              <w:t>(48)</w:t>
            </w:r>
            <w:r w:rsidRPr="00066031">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34A54D5D"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Quantitative</w:t>
            </w:r>
          </w:p>
          <w:p w14:paraId="4495BD87" w14:textId="77777777" w:rsidR="00DA7737" w:rsidRPr="00066031" w:rsidRDefault="00DA7737" w:rsidP="00F73E3D">
            <w:pPr>
              <w:jc w:val="center"/>
              <w:rPr>
                <w:rFonts w:asciiTheme="minorHAnsi" w:hAnsiTheme="minorHAnsi" w:cstheme="minorHAnsi"/>
                <w:sz w:val="20"/>
                <w:szCs w:val="20"/>
              </w:rPr>
            </w:pPr>
          </w:p>
          <w:p w14:paraId="3F94CE97" w14:textId="77777777" w:rsidR="00DA7737" w:rsidRPr="00066031" w:rsidRDefault="00DA7737" w:rsidP="00F73E3D">
            <w:pPr>
              <w:jc w:val="center"/>
              <w:rPr>
                <w:rFonts w:asciiTheme="minorHAnsi" w:hAnsiTheme="minorHAnsi" w:cstheme="minorHAnsi"/>
                <w:sz w:val="20"/>
                <w:szCs w:val="20"/>
              </w:rPr>
            </w:pPr>
          </w:p>
        </w:tc>
        <w:tc>
          <w:tcPr>
            <w:tcW w:w="1444" w:type="dxa"/>
            <w:tcBorders>
              <w:top w:val="single" w:sz="4" w:space="0" w:color="auto"/>
              <w:left w:val="single" w:sz="4" w:space="0" w:color="auto"/>
              <w:bottom w:val="single" w:sz="4" w:space="0" w:color="auto"/>
              <w:right w:val="single" w:sz="4" w:space="0" w:color="auto"/>
            </w:tcBorders>
          </w:tcPr>
          <w:p w14:paraId="4AC65BEF"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313 patients </w:t>
            </w:r>
          </w:p>
          <w:p w14:paraId="36C1BAF0"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38 physicians</w:t>
            </w:r>
          </w:p>
          <w:p w14:paraId="412D5E3B" w14:textId="77777777" w:rsidR="00DA7737" w:rsidRPr="00066031" w:rsidRDefault="00DA7737" w:rsidP="00F73E3D">
            <w:pPr>
              <w:rPr>
                <w:rFonts w:asciiTheme="minorHAnsi" w:hAnsiTheme="minorHAnsi" w:cstheme="minorHAnsi"/>
                <w:sz w:val="20"/>
                <w:szCs w:val="20"/>
              </w:rPr>
            </w:pPr>
          </w:p>
          <w:p w14:paraId="0484DD7F" w14:textId="77777777" w:rsidR="00DA7737" w:rsidRPr="00066031" w:rsidRDefault="00DA7737" w:rsidP="00F73E3D">
            <w:pPr>
              <w:jc w:val="center"/>
              <w:rPr>
                <w:rFonts w:asciiTheme="minorHAnsi" w:hAnsiTheme="minorHAnsi" w:cstheme="minorHAnsi"/>
                <w:sz w:val="20"/>
                <w:szCs w:val="20"/>
              </w:rPr>
            </w:pPr>
            <w:r w:rsidRPr="00066031">
              <w:rPr>
                <w:rFonts w:asciiTheme="minorHAnsi" w:hAnsiTheme="minorHAnsi" w:cstheme="minorHAnsi"/>
                <w:sz w:val="20"/>
                <w:szCs w:val="20"/>
              </w:rPr>
              <w:t>Japan</w:t>
            </w:r>
          </w:p>
          <w:p w14:paraId="7831FF5D" w14:textId="77777777" w:rsidR="00DA7737" w:rsidRPr="00066031" w:rsidRDefault="00DA7737" w:rsidP="00F73E3D">
            <w:pPr>
              <w:rPr>
                <w:rFonts w:asciiTheme="minorHAnsi" w:hAnsiTheme="minorHAnsi" w:cstheme="minorHAnsi"/>
                <w:sz w:val="20"/>
                <w:szCs w:val="20"/>
              </w:rPr>
            </w:pPr>
          </w:p>
        </w:tc>
        <w:tc>
          <w:tcPr>
            <w:tcW w:w="3114" w:type="dxa"/>
            <w:tcBorders>
              <w:top w:val="single" w:sz="4" w:space="0" w:color="auto"/>
              <w:left w:val="single" w:sz="4" w:space="0" w:color="auto"/>
              <w:bottom w:val="single" w:sz="4" w:space="0" w:color="auto"/>
              <w:right w:val="single" w:sz="4" w:space="0" w:color="auto"/>
            </w:tcBorders>
          </w:tcPr>
          <w:p w14:paraId="311E95C3"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To investigate reasons for warfarin continuation in the despite the availability of DOACs</w:t>
            </w:r>
          </w:p>
        </w:tc>
        <w:tc>
          <w:tcPr>
            <w:tcW w:w="3402" w:type="dxa"/>
            <w:tcBorders>
              <w:top w:val="single" w:sz="4" w:space="0" w:color="auto"/>
              <w:left w:val="single" w:sz="4" w:space="0" w:color="auto"/>
              <w:bottom w:val="single" w:sz="4" w:space="0" w:color="auto"/>
              <w:right w:val="single" w:sz="4" w:space="0" w:color="auto"/>
            </w:tcBorders>
          </w:tcPr>
          <w:p w14:paraId="7D6420CB"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 xml:space="preserve">Physicians considered DOACs safer and more effective than warfarin but about 50% of patients were not counselled to switch because of stable INR and reduced renal function. Reasons for patient continuation were stability of warfarin treatment and INR, familiarity with, and low cost of warfarin. </w:t>
            </w:r>
          </w:p>
        </w:tc>
        <w:tc>
          <w:tcPr>
            <w:tcW w:w="2835" w:type="dxa"/>
            <w:tcBorders>
              <w:top w:val="single" w:sz="4" w:space="0" w:color="auto"/>
              <w:left w:val="single" w:sz="4" w:space="0" w:color="auto"/>
              <w:bottom w:val="single" w:sz="4" w:space="0" w:color="auto"/>
            </w:tcBorders>
          </w:tcPr>
          <w:p w14:paraId="054B0C7A" w14:textId="77777777" w:rsidR="00DA7737" w:rsidRPr="00066031" w:rsidRDefault="00DA7737" w:rsidP="00F73E3D">
            <w:pPr>
              <w:rPr>
                <w:rFonts w:asciiTheme="minorHAnsi" w:hAnsiTheme="minorHAnsi" w:cstheme="minorHAnsi"/>
                <w:sz w:val="20"/>
                <w:szCs w:val="20"/>
              </w:rPr>
            </w:pPr>
            <w:r w:rsidRPr="00066031">
              <w:rPr>
                <w:rFonts w:asciiTheme="minorHAnsi" w:hAnsiTheme="minorHAnsi" w:cstheme="minorHAnsi"/>
                <w:sz w:val="20"/>
                <w:szCs w:val="20"/>
              </w:rPr>
              <w:t>This study design and methodology may lead to bias as the authors disclosed that the editing of the manuscript was supported by pharma companies who market DOACs.</w:t>
            </w:r>
          </w:p>
        </w:tc>
      </w:tr>
      <w:tr w:rsidR="00DA7737" w:rsidRPr="00066031" w14:paraId="5A704C63" w14:textId="77777777" w:rsidTr="00F73E3D">
        <w:tc>
          <w:tcPr>
            <w:tcW w:w="1589" w:type="dxa"/>
            <w:tcBorders>
              <w:top w:val="single" w:sz="4" w:space="0" w:color="auto"/>
              <w:left w:val="single" w:sz="4" w:space="0" w:color="auto"/>
              <w:bottom w:val="single" w:sz="4" w:space="0" w:color="auto"/>
              <w:right w:val="single" w:sz="4" w:space="0" w:color="auto"/>
            </w:tcBorders>
          </w:tcPr>
          <w:p w14:paraId="12D2FAA5"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Bartoli-Abdou, Patel, Crawshaw, </w:t>
            </w:r>
            <w:r w:rsidRPr="00C76300">
              <w:rPr>
                <w:rFonts w:asciiTheme="minorHAnsi" w:hAnsiTheme="minorHAnsi" w:cstheme="minorHAnsi"/>
                <w:i/>
                <w:iCs/>
                <w:sz w:val="20"/>
                <w:szCs w:val="20"/>
              </w:rPr>
              <w:t>et al.</w:t>
            </w:r>
            <w:r>
              <w:rPr>
                <w:rFonts w:asciiTheme="minorHAnsi" w:hAnsiTheme="minorHAnsi" w:cstheme="minorHAnsi"/>
                <w:sz w:val="20"/>
                <w:szCs w:val="20"/>
              </w:rPr>
              <w:t xml:space="preserve">,2018 </w:t>
            </w:r>
            <w:r>
              <w:rPr>
                <w:rFonts w:cstheme="minorHAnsi"/>
                <w:sz w:val="20"/>
                <w:szCs w:val="20"/>
              </w:rPr>
              <w:fldChar w:fldCharType="begin" w:fldLock="1"/>
            </w:r>
            <w:r>
              <w:rPr>
                <w:rFonts w:asciiTheme="minorHAnsi" w:hAnsiTheme="minorHAnsi" w:cstheme="minorHAnsi"/>
                <w:sz w:val="20"/>
                <w:szCs w:val="20"/>
              </w:rPr>
              <w:instrText>ADDIN CSL_CITATION {"citationItems":[{"id":"ITEM-1","itemData":{"DOI":"10.1016/j.thromres.2017.12.021","ISSN":"18792472","PMID":"29306122","abstract":"Background Current UK and European guidelines recommend anticoagulated patients prescribed warfarin with time in therapeutic range (TTR) &lt; 65% be considered for DOAC therapy. There has been considerable concern that adherence with DOACs may be poor compared with warfarin. Little is known about the patient experience of switching from warfarin to DOAC and how patients manage their DOAC long term. Our aim was to conduct focus groups exploring patient's previous experiences with warfarin, their current experience with DOACs, their adherence to DOACs and the long-term service provision they envisage. Methods Patients enrolled on the Switching Study who had been switched from warfarin to a DOAC &gt; 1 year previously were invited to participate in focus groups. Two focus groups for atrial fibrillation (AF) and two for secondary prevention of venous thromboembolism (VTE) patients were held at anticoagulation clinics in South London, UK. Data was analysed using framework analysis to extract dominant themes. Results Five VTE patients and 15 AF patients attended the focus groups. Dominant themes that emerged were: indication specific anticoagulation prioritisation, warfarin as a necessary inconvenience, DOACs as the anticoagulant of choice, concerns regarding DOAC monitoring, high adherence to DOACs and desire for long-term access to specialist anticoagulation services. Discussion VTE patients prioritised anticoagulation over other therapies whereas AF patients did not. All participants reported high levels of adherence to DOACs. Patients derived confidence from long-term management in specialist anticoagulation clinics stating a preference to be managed in such a service.","author":[{"dropping-particle":"","family":"Bartoli-Abdou","given":"John K.","non-dropping-particle":"","parse-names":false,"suffix":""},{"dropping-particle":"","family":"Patel","given":"Jignesh P.","non-dropping-particle":"","parse-names":false,"suffix":""},{"dropping-particle":"","family":"Crawshaw","given":"Jacob","non-dropping-particle":"","parse-names":false,"suffix":""},{"dropping-particle":"","family":"Vadher","given":"Bipin","non-dropping-particle":"","parse-names":false,"suffix":""},{"dropping-particle":"","family":"Brown","given":"Alison","non-dropping-particle":"","parse-names":false,"suffix":""},{"dropping-particle":"","family":"Roberts","given":"Lara N.","non-dropping-particle":"","parse-names":false,"suffix":""},{"dropping-particle":"","family":"Patel","given":"Raj K.","non-dropping-particle":"","parse-names":false,"suffix":""},{"dropping-particle":"","family":"Arya","given":"Roopen","non-dropping-particle":"","parse-names":false,"suffix":""},{"dropping-particle":"","family":"Auyeung","given":"Vivian","non-dropping-particle":"","parse-names":false,"suffix":""}],"container-title":"Thrombosis Research","id":"ITEM-1","issue":"January","issued":{"date-parts":[["2018"]]},"page":"62-68","publisher":"Elsevier","title":"Exploration of adherence and patient experiences with DOACs one year after switching from vitamin-K antagonists- insights from the switching study","type":"article-journal","volume":"162"},"uris":["http://www.mendeley.com/documents/?uuid=215e63c8-0b64-4019-81a2-9046d665b4b2"]}],"mendeley":{"formattedCitation":"(49)","plainTextFormattedCitation":"(49)","previouslyFormattedCitation":"(48)"},"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(49)</w:t>
            </w:r>
            <w:r>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42E6548C"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Qualitative</w:t>
            </w:r>
          </w:p>
        </w:tc>
        <w:tc>
          <w:tcPr>
            <w:tcW w:w="1444" w:type="dxa"/>
            <w:tcBorders>
              <w:top w:val="single" w:sz="4" w:space="0" w:color="auto"/>
              <w:left w:val="single" w:sz="4" w:space="0" w:color="auto"/>
              <w:bottom w:val="single" w:sz="4" w:space="0" w:color="auto"/>
              <w:right w:val="single" w:sz="4" w:space="0" w:color="auto"/>
            </w:tcBorders>
          </w:tcPr>
          <w:p w14:paraId="19465913"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20 Patients</w:t>
            </w:r>
          </w:p>
          <w:p w14:paraId="3AD3FC0E" w14:textId="77777777" w:rsidR="00DA7737" w:rsidRDefault="00DA7737" w:rsidP="00F73E3D">
            <w:pPr>
              <w:rPr>
                <w:rFonts w:asciiTheme="minorHAnsi" w:hAnsiTheme="minorHAnsi" w:cstheme="minorHAnsi"/>
                <w:sz w:val="20"/>
                <w:szCs w:val="20"/>
              </w:rPr>
            </w:pPr>
          </w:p>
          <w:p w14:paraId="717969DE" w14:textId="77777777" w:rsidR="00DA7737" w:rsidRPr="00066031" w:rsidRDefault="00DA7737" w:rsidP="00F73E3D">
            <w:pPr>
              <w:rPr>
                <w:rFonts w:asciiTheme="minorHAnsi" w:hAnsiTheme="minorHAnsi" w:cstheme="minorHAnsi"/>
                <w:sz w:val="20"/>
                <w:szCs w:val="20"/>
              </w:rPr>
            </w:pPr>
            <w:proofErr w:type="gramStart"/>
            <w:r>
              <w:rPr>
                <w:rFonts w:asciiTheme="minorHAnsi" w:hAnsiTheme="minorHAnsi" w:cstheme="minorHAnsi"/>
                <w:sz w:val="20"/>
                <w:szCs w:val="20"/>
              </w:rPr>
              <w:t>U.K</w:t>
            </w:r>
            <w:proofErr w:type="gramEnd"/>
          </w:p>
        </w:tc>
        <w:tc>
          <w:tcPr>
            <w:tcW w:w="3114" w:type="dxa"/>
            <w:tcBorders>
              <w:top w:val="single" w:sz="4" w:space="0" w:color="auto"/>
              <w:left w:val="single" w:sz="4" w:space="0" w:color="auto"/>
              <w:bottom w:val="single" w:sz="4" w:space="0" w:color="auto"/>
              <w:right w:val="single" w:sz="4" w:space="0" w:color="auto"/>
            </w:tcBorders>
          </w:tcPr>
          <w:p w14:paraId="59DF601C"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To understand the real work experiences of patients switched from warfarin to DOACs</w:t>
            </w:r>
          </w:p>
        </w:tc>
        <w:tc>
          <w:tcPr>
            <w:tcW w:w="3402" w:type="dxa"/>
            <w:tcBorders>
              <w:top w:val="single" w:sz="4" w:space="0" w:color="auto"/>
              <w:left w:val="single" w:sz="4" w:space="0" w:color="auto"/>
              <w:bottom w:val="single" w:sz="4" w:space="0" w:color="auto"/>
              <w:right w:val="single" w:sz="4" w:space="0" w:color="auto"/>
            </w:tcBorders>
          </w:tcPr>
          <w:p w14:paraId="6976F2C1"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Patients considered warfarin to be the same as their other medicines however the inconvenience of therapy was noted. Patients preferred DOACs but expressed concern regarding the difference in monitoring between warfarin and DOACs. However, they resorted to trusting the </w:t>
            </w:r>
            <w:proofErr w:type="gramStart"/>
            <w:r>
              <w:rPr>
                <w:rFonts w:asciiTheme="minorHAnsi" w:hAnsiTheme="minorHAnsi" w:cstheme="minorHAnsi"/>
                <w:sz w:val="20"/>
                <w:szCs w:val="20"/>
              </w:rPr>
              <w:t>professionals</w:t>
            </w:r>
            <w:proofErr w:type="gramEnd"/>
            <w:r>
              <w:rPr>
                <w:rFonts w:asciiTheme="minorHAnsi" w:hAnsiTheme="minorHAnsi" w:cstheme="minorHAnsi"/>
                <w:sz w:val="20"/>
                <w:szCs w:val="20"/>
              </w:rPr>
              <w:t xml:space="preserve"> knowledge and desired access to dedicated anticoagulant services </w:t>
            </w:r>
            <w:proofErr w:type="spellStart"/>
            <w:r>
              <w:rPr>
                <w:rFonts w:asciiTheme="minorHAnsi" w:hAnsiTheme="minorHAnsi" w:cstheme="minorHAnsi"/>
                <w:sz w:val="20"/>
                <w:szCs w:val="20"/>
              </w:rPr>
              <w:t>longterm</w:t>
            </w:r>
            <w:proofErr w:type="spellEnd"/>
            <w:r>
              <w:rPr>
                <w:rFonts w:asciiTheme="minorHAnsi" w:hAnsiTheme="minorHAnsi" w:cstheme="minorHAnsi"/>
                <w:sz w:val="20"/>
                <w:szCs w:val="20"/>
              </w:rPr>
              <w:t>.</w:t>
            </w:r>
          </w:p>
        </w:tc>
        <w:tc>
          <w:tcPr>
            <w:tcW w:w="2835" w:type="dxa"/>
            <w:tcBorders>
              <w:top w:val="single" w:sz="4" w:space="0" w:color="auto"/>
              <w:left w:val="single" w:sz="4" w:space="0" w:color="auto"/>
              <w:bottom w:val="single" w:sz="4" w:space="0" w:color="auto"/>
            </w:tcBorders>
          </w:tcPr>
          <w:p w14:paraId="134BB520"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This is a sub-study from a main study where VTE patients were also recruited.</w:t>
            </w:r>
          </w:p>
        </w:tc>
      </w:tr>
      <w:tr w:rsidR="00DA7737" w:rsidRPr="00066031" w14:paraId="0C418B6B" w14:textId="77777777" w:rsidTr="00F73E3D">
        <w:tc>
          <w:tcPr>
            <w:tcW w:w="1589" w:type="dxa"/>
            <w:tcBorders>
              <w:top w:val="single" w:sz="4" w:space="0" w:color="auto"/>
              <w:left w:val="single" w:sz="4" w:space="0" w:color="auto"/>
              <w:bottom w:val="single" w:sz="4" w:space="0" w:color="auto"/>
              <w:right w:val="single" w:sz="4" w:space="0" w:color="auto"/>
            </w:tcBorders>
          </w:tcPr>
          <w:p w14:paraId="212F61E9"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Rush </w:t>
            </w:r>
            <w:r w:rsidRPr="00C76300">
              <w:rPr>
                <w:rFonts w:asciiTheme="minorHAnsi" w:hAnsiTheme="minorHAnsi" w:cstheme="minorHAnsi"/>
                <w:i/>
                <w:iCs/>
                <w:sz w:val="20"/>
                <w:szCs w:val="20"/>
              </w:rPr>
              <w:t>et al.,</w:t>
            </w:r>
            <w:r>
              <w:rPr>
                <w:rFonts w:asciiTheme="minorHAnsi" w:hAnsiTheme="minorHAnsi" w:cstheme="minorHAnsi"/>
                <w:sz w:val="20"/>
                <w:szCs w:val="20"/>
              </w:rPr>
              <w:t xml:space="preserve"> 2019 </w:t>
            </w:r>
            <w:r>
              <w:rPr>
                <w:rFonts w:cstheme="minorHAnsi"/>
                <w:sz w:val="20"/>
                <w:szCs w:val="20"/>
              </w:rPr>
              <w:fldChar w:fldCharType="begin" w:fldLock="1"/>
            </w:r>
            <w:r>
              <w:rPr>
                <w:rFonts w:asciiTheme="minorHAnsi" w:hAnsiTheme="minorHAnsi" w:cstheme="minorHAnsi"/>
                <w:sz w:val="20"/>
                <w:szCs w:val="20"/>
              </w:rPr>
              <w:instrText>ADDIN CSL_CITATION {"citationItems":[{"id":"ITEM-1","itemData":{"DOI":"10.1186/s12875-019-1029-1","ISBN":"1287501910291","ISSN":"14712296","PMID":"31651259","abstract":"Background: Atrial fibrillation (AF) is a serious heart arrhythmia associated with devastating outcomes such as stroke. Inequitable rural AF care may put patients at risk. Virtually delivered specialty AF care offers a viable option, but stakeholder perceptions of this option within the context of rural AF care is unknown. The study purpose was to obtain patient and primary care physician perspectives of rural AF care and virtually delivered AF care as a potential option. Methods: Using a mixed methods design, AF patients (n = 101) and physicians (n = 15) from three rural communities participated in focus groups and/or surveys. Focus group data were thematically analyzed, survey data were descriptively analyzed, and data were triangulated. Results: Findings captured patients' and physicians' perceptions of prioritized, needs, concerns and problems in AF management, available/unavailable services, and their ideas about virtual AF care. Patients and physicians identified eclectic problems in managing AF. Overall, patients felt ill informed about managing their AF and their most salient problems related to fatigue, exercise intolerance, weight maintenance, sleep apnea, and worry about stroke and bleeding. Physicians found treating patients with co-morbidities and cognitive decline problematic and balancing risks related to anticoagulation challenging. Patients and physicians identified education as a pressing need, which physicians lacked time and resources to meet. Despite available rural services, access to primary and cardiology care was a recurring challenge, and emergency department (ED) use highly contentious but often the only option for accessing care. Physicians' managed AF care and varied in the referrals they made, often reserving them for complex situations to avoid patient travel. Patients and providers supported a broad approach to virtual AF care, tailored to an inclusive rural patient demographic. Conclusions: The study offered valuable physician and patient perspectives on AF care in rural communities including diverse management challenges, gaps in access to primary and specialty services that made ED an often used but contentious option. Findings point to the potential value of virtual care designed to reach patients with AF across the spectrum and geared to local contexts that preserve the vital role of primary care physicians in AF care in their communities.","author":[{"dropping-particle":"","family":"Rush","given":"Kathy L.","non-dropping-particle":"","parse-names":false,"suffix":""},{"dropping-particle":"","family":"Burton","given":"Lindsay","non-dropping-particle":"","parse-names":false,"suffix":""},{"dropping-particle":"","family":"Merwe","given":"Fransien","non-dropping-particle":"Van Der","parse-names":false,"suffix":""},{"dropping-particle":"","family":"Hatt","given":"Linda","non-dropping-particle":"","parse-names":false,"suffix":""},{"dropping-particle":"","family":"Galloway","given":"Camille","non-dropping-particle":"","parse-names":false,"suffix":""}],"container-title":"BMC Family Practice","id":"ITEM-1","issue":"1","issued":{"date-parts":[["2019"]]},"page":"1-11","publisher":"BMC Family Practice","title":"Atrial fibrillation care in rural communities: A mixed methods study of physician and patient perspectives","type":"article-journal","volume":"20"},"uris":["http://www.mendeley.com/documents/?uuid=28cb7b4c-1d0b-41a4-b49c-717caad86606"]}],"mendeley":{"formattedCitation":"(50)","plainTextFormattedCitation":"(50)","previouslyFormattedCitation":"(49)"},"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(50)</w:t>
            </w:r>
            <w:r>
              <w:rPr>
                <w:rFonts w:cstheme="minorHAnsi"/>
                <w:sz w:val="20"/>
                <w:szCs w:val="20"/>
              </w:rPr>
              <w:fldChar w:fldCharType="end"/>
            </w:r>
          </w:p>
        </w:tc>
        <w:tc>
          <w:tcPr>
            <w:tcW w:w="1503" w:type="dxa"/>
            <w:tcBorders>
              <w:top w:val="single" w:sz="4" w:space="0" w:color="auto"/>
              <w:left w:val="single" w:sz="4" w:space="0" w:color="auto"/>
              <w:bottom w:val="single" w:sz="4" w:space="0" w:color="auto"/>
              <w:right w:val="single" w:sz="4" w:space="0" w:color="auto"/>
            </w:tcBorders>
          </w:tcPr>
          <w:p w14:paraId="31CBE95C"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Mixed methods</w:t>
            </w:r>
          </w:p>
        </w:tc>
        <w:tc>
          <w:tcPr>
            <w:tcW w:w="1444" w:type="dxa"/>
            <w:tcBorders>
              <w:top w:val="single" w:sz="4" w:space="0" w:color="auto"/>
              <w:left w:val="single" w:sz="4" w:space="0" w:color="auto"/>
              <w:bottom w:val="single" w:sz="4" w:space="0" w:color="auto"/>
              <w:right w:val="single" w:sz="4" w:space="0" w:color="auto"/>
            </w:tcBorders>
          </w:tcPr>
          <w:p w14:paraId="76C42D5C"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101 patients</w:t>
            </w:r>
          </w:p>
          <w:p w14:paraId="5F0D1270"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15 physicians</w:t>
            </w:r>
          </w:p>
          <w:p w14:paraId="138941CF" w14:textId="77777777" w:rsidR="00DA7737" w:rsidRDefault="00DA7737" w:rsidP="00F73E3D">
            <w:pPr>
              <w:rPr>
                <w:rFonts w:asciiTheme="minorHAnsi" w:hAnsiTheme="minorHAnsi" w:cstheme="minorHAnsi"/>
                <w:sz w:val="20"/>
                <w:szCs w:val="20"/>
              </w:rPr>
            </w:pPr>
          </w:p>
          <w:p w14:paraId="13AE63FD"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Canada</w:t>
            </w:r>
          </w:p>
        </w:tc>
        <w:tc>
          <w:tcPr>
            <w:tcW w:w="3114" w:type="dxa"/>
            <w:tcBorders>
              <w:top w:val="single" w:sz="4" w:space="0" w:color="auto"/>
              <w:left w:val="single" w:sz="4" w:space="0" w:color="auto"/>
              <w:bottom w:val="single" w:sz="4" w:space="0" w:color="auto"/>
              <w:right w:val="single" w:sz="4" w:space="0" w:color="auto"/>
            </w:tcBorders>
          </w:tcPr>
          <w:p w14:paraId="243EA6D2"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To obtain patient and primary care physician perspectives of rural AF care and virtually delivered AF care being considered as an option</w:t>
            </w:r>
          </w:p>
        </w:tc>
        <w:tc>
          <w:tcPr>
            <w:tcW w:w="3402" w:type="dxa"/>
            <w:tcBorders>
              <w:top w:val="single" w:sz="4" w:space="0" w:color="auto"/>
              <w:left w:val="single" w:sz="4" w:space="0" w:color="auto"/>
              <w:bottom w:val="single" w:sz="4" w:space="0" w:color="auto"/>
              <w:right w:val="single" w:sz="4" w:space="0" w:color="auto"/>
            </w:tcBorders>
          </w:tcPr>
          <w:p w14:paraId="12928BD3"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The most problematic emotional issue was anxiety about stroke and bleeding. Patients and physicians identified issues related to co-morbidities and limited opportunities for patient education </w:t>
            </w:r>
          </w:p>
        </w:tc>
        <w:tc>
          <w:tcPr>
            <w:tcW w:w="2835" w:type="dxa"/>
            <w:tcBorders>
              <w:top w:val="single" w:sz="4" w:space="0" w:color="auto"/>
              <w:left w:val="single" w:sz="4" w:space="0" w:color="auto"/>
              <w:bottom w:val="single" w:sz="4" w:space="0" w:color="auto"/>
            </w:tcBorders>
          </w:tcPr>
          <w:p w14:paraId="1B0AE6B6"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Study was mainly about general patient care rather than medication management but some reports on perspectives on medication,</w:t>
            </w:r>
          </w:p>
        </w:tc>
      </w:tr>
      <w:tr w:rsidR="00DA7737" w:rsidRPr="00066031" w14:paraId="4A39A815" w14:textId="77777777" w:rsidTr="00F73E3D">
        <w:tc>
          <w:tcPr>
            <w:tcW w:w="1589" w:type="dxa"/>
            <w:tcBorders>
              <w:top w:val="single" w:sz="4" w:space="0" w:color="auto"/>
              <w:left w:val="single" w:sz="4" w:space="0" w:color="auto"/>
              <w:right w:val="single" w:sz="4" w:space="0" w:color="auto"/>
            </w:tcBorders>
          </w:tcPr>
          <w:p w14:paraId="498E3D4B"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 xml:space="preserve">Murphy, Kirby and Bradley, 2020 </w:t>
            </w:r>
            <w:r>
              <w:rPr>
                <w:rFonts w:cstheme="minorHAnsi"/>
                <w:sz w:val="20"/>
                <w:szCs w:val="20"/>
              </w:rPr>
              <w:fldChar w:fldCharType="begin" w:fldLock="1"/>
            </w:r>
            <w:r>
              <w:rPr>
                <w:rFonts w:asciiTheme="minorHAnsi" w:hAnsiTheme="minorHAnsi" w:cstheme="minorHAnsi"/>
                <w:sz w:val="20"/>
                <w:szCs w:val="20"/>
              </w:rPr>
              <w:instrText>ADDIN CSL_CITATION {"citationItems":[{"id":"ITEM-1","itemData":{"DOI":"10.1007/s11845-019-02150-0","ISSN":"18634362","PMID":"31900842","abstract":"Background: Direct oral anticoagulants (DOACs) are widely marketed as medicines that do not require routine laboratory monitoring. However, they do have complex pharmacological properties and side effects; hence prescribing and monitoring guidelines, such as the European Heart Rhythm Association (EHRA) guidelines, have emerged. These advocate monitoring for renal and hepatic impairment; bleeding episodes; liver function; co-medication; circulation, and occurrence of side effects. Though 3 to 6 month follow-up is advocated, this is currently not routine, and its implementation creates a potential obligation for general practitioners (GPs) managing atrial fibrillation (AF) patients in the community. Aims: This study investigates the frequency, the type of follow-up, and the factors that influenced follow-up among Irish GPs, who prescribed DOACs to patients with AF, to prevent strokes in 2015. Methods: The frequency and type of follow-up care is estimated, and a count model regression analysis is applied to determine the GP and practice characteristics that are associated with the implementation of follow-up. Results: The EHRA guidelines most frequently followed were those pertaining to renal function (82%), bleeding episodes (71%), liver function (69%), circulation (54%), and side effects (55%). The regression analysis revealed that female GPs (P = 0.05) and GPs who follow all seven guidelines (P = 0.06) practice more frequent follow-up while those in training practices (P = 0.09) provide less frequent follow-up. Conclusions: Results show that there was incomplete adherence to the 2013 EHRA prescribing guidelines with only 24% adhering to all seven guidelines, and patient follow-up was less frequent than has been suggested.","author":[{"dropping-particle":"","family":"Murphy","given":"Aileen","non-dropping-particle":"","parse-names":false,"suffix":""},{"dropping-particle":"","family":"Kirby","given":"Ann","non-dropping-particle":"","parse-names":false,"suffix":""},{"dropping-particle":"","family":"Bradley","given":"Colin","non-dropping-particle":"","parse-names":false,"suffix":""}],"container-title":"Irish Journal of Medical Science","id":"ITEM-1","issue":"3","issued":{"date-parts":[["2020"]]},"page":"961-966","publisher":"Irish Journal of Medical Science (1971 -)","title":"Monitoring of atrial fibrillation in primary care patients prescribed direct oral anticoagulants for stroke prevention","type":"article-journal","volume":"189"},"uris":["http://www.mendeley.com/documents/?uuid=aaa04b8e-b0cf-4a6b-a4cb-5e3884b0ea71"]}],"mendeley":{"formattedCitation":"(51)","plainTextFormattedCitation":"(51)","previouslyFormattedCitation":"(50)"},"properties":{"noteIndex":0},"schema":"https://github.com/citation-style-language/schema/raw/master/csl-citation.json"}</w:instrText>
            </w:r>
            <w:r>
              <w:rPr>
                <w:rFonts w:cstheme="minorHAnsi"/>
                <w:sz w:val="20"/>
                <w:szCs w:val="20"/>
              </w:rPr>
              <w:fldChar w:fldCharType="separate"/>
            </w:r>
            <w:r w:rsidRPr="00140A65">
              <w:rPr>
                <w:rFonts w:asciiTheme="minorHAnsi" w:hAnsiTheme="minorHAnsi" w:cstheme="minorHAnsi"/>
                <w:noProof/>
                <w:sz w:val="20"/>
                <w:szCs w:val="20"/>
              </w:rPr>
              <w:t>(51)</w:t>
            </w:r>
            <w:r>
              <w:rPr>
                <w:rFonts w:cstheme="minorHAnsi"/>
                <w:sz w:val="20"/>
                <w:szCs w:val="20"/>
              </w:rPr>
              <w:fldChar w:fldCharType="end"/>
            </w:r>
          </w:p>
        </w:tc>
        <w:tc>
          <w:tcPr>
            <w:tcW w:w="1503" w:type="dxa"/>
            <w:tcBorders>
              <w:top w:val="single" w:sz="4" w:space="0" w:color="auto"/>
              <w:left w:val="single" w:sz="4" w:space="0" w:color="auto"/>
              <w:right w:val="single" w:sz="4" w:space="0" w:color="auto"/>
            </w:tcBorders>
          </w:tcPr>
          <w:p w14:paraId="70D253A4" w14:textId="77777777" w:rsidR="00DA7737" w:rsidRPr="00066031" w:rsidRDefault="00DA7737" w:rsidP="00F73E3D">
            <w:pPr>
              <w:jc w:val="center"/>
              <w:rPr>
                <w:rFonts w:asciiTheme="minorHAnsi" w:hAnsiTheme="minorHAnsi" w:cstheme="minorHAnsi"/>
                <w:sz w:val="20"/>
                <w:szCs w:val="20"/>
              </w:rPr>
            </w:pPr>
            <w:r>
              <w:rPr>
                <w:rFonts w:asciiTheme="minorHAnsi" w:hAnsiTheme="minorHAnsi" w:cstheme="minorHAnsi"/>
                <w:sz w:val="20"/>
                <w:szCs w:val="20"/>
              </w:rPr>
              <w:t>Quantitative</w:t>
            </w:r>
          </w:p>
        </w:tc>
        <w:tc>
          <w:tcPr>
            <w:tcW w:w="1444" w:type="dxa"/>
            <w:tcBorders>
              <w:top w:val="single" w:sz="4" w:space="0" w:color="auto"/>
              <w:left w:val="single" w:sz="4" w:space="0" w:color="auto"/>
              <w:right w:val="single" w:sz="4" w:space="0" w:color="auto"/>
            </w:tcBorders>
          </w:tcPr>
          <w:p w14:paraId="4FDF9BE9" w14:textId="77777777" w:rsidR="00DA7737" w:rsidRDefault="00DA7737" w:rsidP="00F73E3D">
            <w:pPr>
              <w:rPr>
                <w:rFonts w:asciiTheme="minorHAnsi" w:hAnsiTheme="minorHAnsi" w:cstheme="minorHAnsi"/>
                <w:sz w:val="20"/>
                <w:szCs w:val="20"/>
              </w:rPr>
            </w:pPr>
            <w:r>
              <w:rPr>
                <w:rFonts w:asciiTheme="minorHAnsi" w:hAnsiTheme="minorHAnsi" w:cstheme="minorHAnsi"/>
                <w:sz w:val="20"/>
                <w:szCs w:val="20"/>
              </w:rPr>
              <w:t>309 GPs</w:t>
            </w:r>
          </w:p>
          <w:p w14:paraId="506D11AF" w14:textId="77777777" w:rsidR="00DA7737" w:rsidRDefault="00DA7737" w:rsidP="00F73E3D">
            <w:pPr>
              <w:rPr>
                <w:rFonts w:asciiTheme="minorHAnsi" w:hAnsiTheme="minorHAnsi" w:cstheme="minorHAnsi"/>
                <w:sz w:val="20"/>
                <w:szCs w:val="20"/>
              </w:rPr>
            </w:pPr>
          </w:p>
          <w:p w14:paraId="034C50D4"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Ireland</w:t>
            </w:r>
          </w:p>
        </w:tc>
        <w:tc>
          <w:tcPr>
            <w:tcW w:w="3114" w:type="dxa"/>
            <w:tcBorders>
              <w:top w:val="single" w:sz="4" w:space="0" w:color="auto"/>
              <w:left w:val="single" w:sz="4" w:space="0" w:color="auto"/>
              <w:right w:val="single" w:sz="4" w:space="0" w:color="auto"/>
            </w:tcBorders>
          </w:tcPr>
          <w:p w14:paraId="21C577DC"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To examine general practitioner’s experience and practice of follow-up for managing AF patients prescribed DOACs</w:t>
            </w:r>
          </w:p>
        </w:tc>
        <w:tc>
          <w:tcPr>
            <w:tcW w:w="3402" w:type="dxa"/>
            <w:tcBorders>
              <w:top w:val="single" w:sz="4" w:space="0" w:color="auto"/>
              <w:left w:val="single" w:sz="4" w:space="0" w:color="auto"/>
              <w:right w:val="single" w:sz="4" w:space="0" w:color="auto"/>
            </w:tcBorders>
          </w:tcPr>
          <w:p w14:paraId="2F93F829" w14:textId="77777777" w:rsidR="00DA7737" w:rsidRDefault="00DA7737" w:rsidP="00F73E3D">
            <w:pPr>
              <w:rPr>
                <w:rFonts w:asciiTheme="minorHAnsi" w:hAnsiTheme="minorHAnsi" w:cstheme="minorHAnsi"/>
                <w:sz w:val="20"/>
                <w:szCs w:val="20"/>
              </w:rPr>
            </w:pPr>
          </w:p>
          <w:p w14:paraId="5AA40114"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There was suboptimal monitoring of renal and hepatic impairment of older patients on DOACs </w:t>
            </w:r>
          </w:p>
        </w:tc>
        <w:tc>
          <w:tcPr>
            <w:tcW w:w="2835" w:type="dxa"/>
            <w:tcBorders>
              <w:top w:val="single" w:sz="4" w:space="0" w:color="auto"/>
              <w:left w:val="single" w:sz="4" w:space="0" w:color="auto"/>
            </w:tcBorders>
          </w:tcPr>
          <w:p w14:paraId="60CA4158" w14:textId="77777777" w:rsidR="00DA7737" w:rsidRPr="00066031" w:rsidRDefault="00DA7737" w:rsidP="00F73E3D">
            <w:pPr>
              <w:rPr>
                <w:rFonts w:asciiTheme="minorHAnsi" w:hAnsiTheme="minorHAnsi" w:cstheme="minorHAnsi"/>
                <w:sz w:val="20"/>
                <w:szCs w:val="20"/>
              </w:rPr>
            </w:pPr>
            <w:r>
              <w:rPr>
                <w:rFonts w:asciiTheme="minorHAnsi" w:hAnsiTheme="minorHAnsi" w:cstheme="minorHAnsi"/>
                <w:sz w:val="20"/>
                <w:szCs w:val="20"/>
              </w:rPr>
              <w:t xml:space="preserve">This study was done when DOACs were still relatively new. The situation may have changed now with more recent </w:t>
            </w:r>
            <w:r>
              <w:rPr>
                <w:rFonts w:asciiTheme="minorHAnsi" w:hAnsiTheme="minorHAnsi" w:cstheme="minorHAnsi"/>
                <w:sz w:val="20"/>
                <w:szCs w:val="20"/>
              </w:rPr>
              <w:lastRenderedPageBreak/>
              <w:t>guidelines and the diffusion of DOACs into routine practice.</w:t>
            </w:r>
          </w:p>
        </w:tc>
      </w:tr>
    </w:tbl>
    <w:p w14:paraId="48FB8948" w14:textId="0E850680" w:rsidR="004D0591" w:rsidRDefault="004D0591"/>
    <w:p w14:paraId="205722DC" w14:textId="77777777" w:rsidR="004D0591" w:rsidRDefault="004D0591"/>
    <w:sectPr w:rsidR="004D0591" w:rsidSect="00DA7737">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A1729" w14:textId="77777777" w:rsidR="00902070" w:rsidRDefault="00902070" w:rsidP="00C5287A">
      <w:r>
        <w:separator/>
      </w:r>
    </w:p>
  </w:endnote>
  <w:endnote w:type="continuationSeparator" w:id="0">
    <w:p w14:paraId="65C5CC73" w14:textId="77777777" w:rsidR="00902070" w:rsidRDefault="00902070" w:rsidP="00C52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6034601"/>
      <w:docPartObj>
        <w:docPartGallery w:val="Page Numbers (Bottom of Page)"/>
        <w:docPartUnique/>
      </w:docPartObj>
    </w:sdtPr>
    <w:sdtEndPr>
      <w:rPr>
        <w:rStyle w:val="PageNumber"/>
      </w:rPr>
    </w:sdtEndPr>
    <w:sdtContent>
      <w:p w14:paraId="65B20D55" w14:textId="405F0908" w:rsidR="00C5287A" w:rsidRDefault="00C5287A" w:rsidP="001254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810BE5" w14:textId="77777777" w:rsidR="00C5287A" w:rsidRDefault="00C5287A" w:rsidP="00C528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0774349"/>
      <w:docPartObj>
        <w:docPartGallery w:val="Page Numbers (Bottom of Page)"/>
        <w:docPartUnique/>
      </w:docPartObj>
    </w:sdtPr>
    <w:sdtEndPr>
      <w:rPr>
        <w:rStyle w:val="PageNumber"/>
      </w:rPr>
    </w:sdtEndPr>
    <w:sdtContent>
      <w:p w14:paraId="3956F133" w14:textId="7F8D44ED" w:rsidR="00C5287A" w:rsidRDefault="00C5287A" w:rsidP="001254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14C859" w14:textId="77777777" w:rsidR="00C5287A" w:rsidRDefault="00C5287A" w:rsidP="00C528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FD757" w14:textId="77777777" w:rsidR="00902070" w:rsidRDefault="00902070" w:rsidP="00C5287A">
      <w:r>
        <w:separator/>
      </w:r>
    </w:p>
  </w:footnote>
  <w:footnote w:type="continuationSeparator" w:id="0">
    <w:p w14:paraId="49808830" w14:textId="77777777" w:rsidR="00902070" w:rsidRDefault="00902070" w:rsidP="00C52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37"/>
    <w:rsid w:val="00014042"/>
    <w:rsid w:val="00160800"/>
    <w:rsid w:val="00233E95"/>
    <w:rsid w:val="00444A46"/>
    <w:rsid w:val="004B585A"/>
    <w:rsid w:val="004D0591"/>
    <w:rsid w:val="007B199D"/>
    <w:rsid w:val="00865BF2"/>
    <w:rsid w:val="00902070"/>
    <w:rsid w:val="00A91A48"/>
    <w:rsid w:val="00AF7B95"/>
    <w:rsid w:val="00C5287A"/>
    <w:rsid w:val="00D63122"/>
    <w:rsid w:val="00DA7737"/>
    <w:rsid w:val="00E53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AE5C70"/>
  <w15:chartTrackingRefBased/>
  <w15:docId w15:val="{12CB6E6B-4F37-4140-A3E7-93C97AEF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7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7737"/>
    <w:rPr>
      <w:rFonts w:ascii="Times New Roman" w:hAnsi="Times New Roman" w:cs="Times New Roman"/>
      <w:sz w:val="18"/>
      <w:szCs w:val="18"/>
    </w:rPr>
  </w:style>
  <w:style w:type="paragraph" w:styleId="ListParagraph">
    <w:name w:val="List Paragraph"/>
    <w:basedOn w:val="Normal"/>
    <w:uiPriority w:val="34"/>
    <w:qFormat/>
    <w:rsid w:val="00DA7737"/>
    <w:pPr>
      <w:ind w:left="720"/>
      <w:contextualSpacing/>
    </w:pPr>
    <w:rPr>
      <w:rFonts w:ascii="Calibri" w:eastAsia="Calibri" w:hAnsi="Calibri" w:cs="Calibri"/>
    </w:rPr>
  </w:style>
  <w:style w:type="table" w:styleId="TableGrid">
    <w:name w:val="Table Grid"/>
    <w:basedOn w:val="TableNormal"/>
    <w:uiPriority w:val="39"/>
    <w:rsid w:val="00DA7737"/>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D059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C5287A"/>
    <w:pPr>
      <w:tabs>
        <w:tab w:val="center" w:pos="4513"/>
        <w:tab w:val="right" w:pos="9026"/>
      </w:tabs>
    </w:pPr>
  </w:style>
  <w:style w:type="character" w:customStyle="1" w:styleId="FooterChar">
    <w:name w:val="Footer Char"/>
    <w:basedOn w:val="DefaultParagraphFont"/>
    <w:link w:val="Footer"/>
    <w:uiPriority w:val="99"/>
    <w:rsid w:val="00C5287A"/>
  </w:style>
  <w:style w:type="character" w:styleId="PageNumber">
    <w:name w:val="page number"/>
    <w:basedOn w:val="DefaultParagraphFont"/>
    <w:uiPriority w:val="99"/>
    <w:semiHidden/>
    <w:unhideWhenUsed/>
    <w:rsid w:val="00C5287A"/>
  </w:style>
  <w:style w:type="character" w:styleId="Hyperlink">
    <w:name w:val="Hyperlink"/>
    <w:basedOn w:val="DefaultParagraphFont"/>
    <w:uiPriority w:val="99"/>
    <w:unhideWhenUsed/>
    <w:rsid w:val="00444A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sheffield.ac.uk" TargetMode="External"/><Relationship Id="rId3" Type="http://schemas.openxmlformats.org/officeDocument/2006/relationships/webSettings" Target="webSettings.xml"/><Relationship Id="rId7" Type="http://schemas.openxmlformats.org/officeDocument/2006/relationships/hyperlink" Target="mailto:richard.cooper@sheffield.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eyenta.osasu@nhs.n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16761</Words>
  <Characters>95543</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Yeyenta Osasu</dc:creator>
  <cp:keywords/>
  <dc:description/>
  <cp:lastModifiedBy>Yeyenta Osasu</cp:lastModifiedBy>
  <cp:revision>3</cp:revision>
  <dcterms:created xsi:type="dcterms:W3CDTF">2021-02-12T10:27:00Z</dcterms:created>
  <dcterms:modified xsi:type="dcterms:W3CDTF">2021-02-12T10:31:00Z</dcterms:modified>
</cp:coreProperties>
</file>