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E4E" w:rsidRPr="009F0E4E" w:rsidRDefault="009F0E4E" w:rsidP="009F0E4E">
      <w:pPr>
        <w:pStyle w:val="Legenda"/>
        <w:keepNext/>
        <w:rPr>
          <w:rFonts w:ascii="Arial" w:hAnsi="Arial" w:cs="Arial"/>
          <w:b w:val="0"/>
          <w:color w:val="auto"/>
          <w:sz w:val="24"/>
          <w:szCs w:val="24"/>
          <w:lang w:val="en-US"/>
        </w:rPr>
      </w:pPr>
      <w:r w:rsidRPr="009F0E4E">
        <w:rPr>
          <w:rFonts w:ascii="Arial" w:hAnsi="Arial" w:cs="Arial"/>
          <w:b w:val="0"/>
          <w:color w:val="auto"/>
          <w:sz w:val="24"/>
          <w:szCs w:val="24"/>
          <w:lang w:val="en-US"/>
        </w:rPr>
        <w:t>A</w:t>
      </w:r>
      <w:r w:rsidR="00631D82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– </w:t>
      </w:r>
      <w:bookmarkStart w:id="0" w:name="_GoBack"/>
      <w:bookmarkEnd w:id="0"/>
      <w:r w:rsidRPr="009F0E4E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2 Number of patients treated on </w:t>
      </w:r>
      <w:proofErr w:type="spellStart"/>
      <w:r w:rsidRPr="009F0E4E">
        <w:rPr>
          <w:rFonts w:ascii="Arial" w:hAnsi="Arial" w:cs="Arial"/>
          <w:b w:val="0"/>
          <w:color w:val="auto"/>
          <w:sz w:val="24"/>
          <w:szCs w:val="24"/>
          <w:lang w:val="en-US"/>
        </w:rPr>
        <w:t>paediatric</w:t>
      </w:r>
      <w:proofErr w:type="spellEnd"/>
      <w:r w:rsidRPr="009F0E4E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wards per </w:t>
      </w:r>
      <w:proofErr w:type="spellStart"/>
      <w:r w:rsidRPr="009F0E4E">
        <w:rPr>
          <w:rFonts w:ascii="Arial" w:hAnsi="Arial" w:cs="Arial"/>
          <w:b w:val="0"/>
          <w:color w:val="auto"/>
          <w:sz w:val="24"/>
          <w:szCs w:val="24"/>
          <w:lang w:val="en-US"/>
        </w:rPr>
        <w:t>paediatrician</w:t>
      </w:r>
      <w:proofErr w:type="spellEnd"/>
      <w:r w:rsidRPr="009F0E4E">
        <w:rPr>
          <w:rFonts w:ascii="Arial" w:hAnsi="Arial" w:cs="Arial"/>
          <w:b w:val="0"/>
          <w:color w:val="auto"/>
          <w:sz w:val="24"/>
          <w:szCs w:val="24"/>
          <w:lang w:val="en-US"/>
        </w:rPr>
        <w:t xml:space="preserve"> 2010 – 2017 and ß-convergence characteristics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2"/>
        <w:gridCol w:w="869"/>
        <w:gridCol w:w="869"/>
        <w:gridCol w:w="868"/>
        <w:gridCol w:w="868"/>
        <w:gridCol w:w="868"/>
        <w:gridCol w:w="868"/>
        <w:gridCol w:w="868"/>
        <w:gridCol w:w="874"/>
        <w:gridCol w:w="2356"/>
        <w:gridCol w:w="2354"/>
      </w:tblGrid>
      <w:tr w:rsidR="009F0E4E" w:rsidRPr="009F0E4E" w:rsidTr="009F0E4E">
        <w:trPr>
          <w:trHeight w:val="300"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l-PL"/>
              </w:rPr>
              <w:t>Voivodship</w:t>
            </w:r>
          </w:p>
        </w:tc>
        <w:tc>
          <w:tcPr>
            <w:tcW w:w="24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</w:pPr>
            <w:r w:rsidRPr="009F0E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Treated on paediatric wards per paediatrician 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Logarithm of initial number of patients treated on </w:t>
            </w:r>
            <w:proofErr w:type="spellStart"/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>paediatric</w:t>
            </w:r>
            <w:proofErr w:type="spellEnd"/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 wards per </w:t>
            </w:r>
            <w:proofErr w:type="spellStart"/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>paediatrician</w:t>
            </w:r>
            <w:proofErr w:type="spellEnd"/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Average real growth rate of patients treated on </w:t>
            </w:r>
            <w:proofErr w:type="spellStart"/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>paediatric</w:t>
            </w:r>
            <w:proofErr w:type="spellEnd"/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 xml:space="preserve"> wards per </w:t>
            </w:r>
            <w:proofErr w:type="spellStart"/>
            <w:r w:rsidRPr="009F0E4E">
              <w:rPr>
                <w:rFonts w:ascii="Calibri" w:eastAsia="Times New Roman" w:hAnsi="Calibri" w:cs="Calibri"/>
                <w:color w:val="000000"/>
                <w:lang w:val="en-US" w:eastAsia="pl-PL"/>
              </w:rPr>
              <w:t>paediatrician</w:t>
            </w:r>
            <w:proofErr w:type="spellEnd"/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45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GB" w:eastAsia="pl-PL"/>
              </w:rPr>
              <w:t xml:space="preserve">(including inter-ward movement) </w:t>
            </w: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Dolnośląskie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2,057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0,008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Kujawsko-pomorskie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2,104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-0,018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Lubelskie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2,149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-0,004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Lubuskie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2,246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-0,046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Łódzkie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1,940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-0,029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Małopolskie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2,130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-0,027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Mazowieckie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2,025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0,010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Opolskie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2,274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-0,027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Podkarpackie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2,223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-0,004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Podlaskie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2,322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0,019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Pomorskie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2,217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-0,048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Śląskie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2,021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-0,012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Świętokrzyskie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2,352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-0,019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Warmińsko-mazurskie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0,023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Wielkopolskie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2,297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-0,030</w:t>
            </w:r>
          </w:p>
        </w:tc>
      </w:tr>
      <w:tr w:rsidR="009F0E4E" w:rsidRPr="009F0E4E" w:rsidTr="009F0E4E">
        <w:trPr>
          <w:trHeight w:val="300"/>
        </w:trPr>
        <w:tc>
          <w:tcPr>
            <w:tcW w:w="8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Zachodniopomorskie</w:t>
            </w:r>
            <w:proofErr w:type="spellEnd"/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 xml:space="preserve"> 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205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F0E4E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pl-PL"/>
              </w:rPr>
              <w:t>183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2,292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0E4E" w:rsidRPr="009F0E4E" w:rsidRDefault="009F0E4E" w:rsidP="009F0E4E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F0E4E">
              <w:rPr>
                <w:rFonts w:ascii="Calibri" w:eastAsia="Times New Roman" w:hAnsi="Calibri" w:cs="Calibri"/>
                <w:color w:val="000000"/>
                <w:lang w:eastAsia="pl-PL"/>
              </w:rPr>
              <w:t>-0,009</w:t>
            </w:r>
          </w:p>
        </w:tc>
      </w:tr>
    </w:tbl>
    <w:p w:rsidR="00041958" w:rsidRDefault="00041958" w:rsidP="009F0E4E">
      <w:pPr>
        <w:pStyle w:val="Legenda"/>
      </w:pPr>
    </w:p>
    <w:sectPr w:rsidR="00041958" w:rsidSect="009F0E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E4E"/>
    <w:rsid w:val="00041958"/>
    <w:rsid w:val="00631D82"/>
    <w:rsid w:val="0065390F"/>
    <w:rsid w:val="006B12D8"/>
    <w:rsid w:val="007848DA"/>
    <w:rsid w:val="009F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F0E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9F0E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1</cp:revision>
  <dcterms:created xsi:type="dcterms:W3CDTF">2021-07-11T09:32:00Z</dcterms:created>
  <dcterms:modified xsi:type="dcterms:W3CDTF">2021-07-11T09:44:00Z</dcterms:modified>
</cp:coreProperties>
</file>