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B9A" w:rsidRDefault="00AB5B9A" w14:paraId="56CB2131" w14:textId="77777777"/>
    <w:p w:rsidRPr="002A213C" w:rsidR="4A32F3F2" w:rsidP="4D5BE610" w:rsidRDefault="4A32F3F2" w14:paraId="6CFFA551" w14:textId="6963F9F8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lang w:val="en-GB"/>
        </w:rPr>
      </w:pPr>
      <w:r w:rsidRPr="57092B08" w:rsidR="2DF660C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  <w:lang w:val="en-GB"/>
        </w:rPr>
        <w:t>A3</w:t>
      </w:r>
      <w:r w:rsidRPr="57092B08" w:rsidR="4A32F3F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  <w:lang w:val="en-GB"/>
        </w:rPr>
        <w:t xml:space="preserve"> Table. Example of abstraction path in content analysis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35"/>
        <w:gridCol w:w="1545"/>
        <w:gridCol w:w="1410"/>
        <w:gridCol w:w="1830"/>
        <w:gridCol w:w="1695"/>
      </w:tblGrid>
      <w:tr w:rsidR="4A32F3F2" w:rsidTr="57092B08" w14:paraId="43B0E0B4" w14:textId="77777777">
        <w:trPr>
          <w:trHeight w:val="255"/>
        </w:trPr>
        <w:tc>
          <w:tcPr>
            <w:tcW w:w="2535" w:type="dxa"/>
            <w:tcMar/>
            <w:vAlign w:val="center"/>
          </w:tcPr>
          <w:p w:rsidR="4A32F3F2" w:rsidP="57092B08" w:rsidRDefault="4A32F3F2" w14:paraId="43E4C098" w14:textId="7373F6D7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</w:pPr>
            <w:r w:rsidRPr="57092B08" w:rsidR="4A32F3F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GB"/>
              </w:rPr>
              <w:t>Meaning unit</w:t>
            </w:r>
          </w:p>
        </w:tc>
        <w:tc>
          <w:tcPr>
            <w:tcW w:w="1545" w:type="dxa"/>
            <w:tcMar/>
            <w:vAlign w:val="center"/>
          </w:tcPr>
          <w:p w:rsidR="4A32F3F2" w:rsidP="57092B08" w:rsidRDefault="4A32F3F2" w14:paraId="290F7031" w14:textId="0D24AC3E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</w:pPr>
            <w:r w:rsidRPr="57092B08" w:rsidR="4A32F3F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GB"/>
              </w:rPr>
              <w:t>Condensed meaning</w:t>
            </w:r>
          </w:p>
        </w:tc>
        <w:tc>
          <w:tcPr>
            <w:tcW w:w="1410" w:type="dxa"/>
            <w:tcMar/>
            <w:vAlign w:val="center"/>
          </w:tcPr>
          <w:p w:rsidR="4A32F3F2" w:rsidP="57092B08" w:rsidRDefault="4A32F3F2" w14:paraId="6A01ED58" w14:textId="6FCE00E3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</w:pPr>
            <w:r w:rsidRPr="57092B08" w:rsidR="4A32F3F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GB"/>
              </w:rPr>
              <w:t>Code</w:t>
            </w:r>
          </w:p>
        </w:tc>
        <w:tc>
          <w:tcPr>
            <w:tcW w:w="1830" w:type="dxa"/>
            <w:tcMar/>
            <w:vAlign w:val="center"/>
          </w:tcPr>
          <w:p w:rsidR="4A32F3F2" w:rsidP="57092B08" w:rsidRDefault="4A32F3F2" w14:paraId="70F09D57" w14:textId="76A58BB8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</w:pPr>
            <w:proofErr w:type="spellStart"/>
            <w:r w:rsidRPr="57092B08" w:rsidR="4A32F3F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GB"/>
              </w:rPr>
              <w:t>Subc</w:t>
            </w:r>
            <w:r w:rsidRPr="57092B08" w:rsidR="4A32F3F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ategory</w:t>
            </w:r>
            <w:proofErr w:type="spellEnd"/>
            <w:r w:rsidRPr="57092B08" w:rsidR="4A32F3F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GB"/>
              </w:rPr>
              <w:t xml:space="preserve"> </w:t>
            </w:r>
          </w:p>
        </w:tc>
        <w:tc>
          <w:tcPr>
            <w:tcW w:w="1695" w:type="dxa"/>
            <w:tcMar/>
            <w:vAlign w:val="center"/>
          </w:tcPr>
          <w:p w:rsidR="4A32F3F2" w:rsidP="57092B08" w:rsidRDefault="000F45E0" w14:paraId="2400FA9B" w14:textId="567A2DFD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</w:pPr>
            <w:r w:rsidRPr="57092B08" w:rsidR="7066DDBD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lang w:val="en-GB"/>
              </w:rPr>
              <w:t>Main c</w:t>
            </w:r>
            <w:proofErr w:type="spellStart"/>
            <w:r w:rsidRPr="57092B08" w:rsidR="4A32F3F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</w:rPr>
              <w:t>ategory</w:t>
            </w:r>
            <w:proofErr w:type="spellEnd"/>
          </w:p>
        </w:tc>
      </w:tr>
      <w:tr w:rsidRPr="000F45E0" w:rsidR="4A32F3F2" w:rsidTr="57092B08" w14:paraId="1E42A6F5" w14:textId="77777777">
        <w:trPr>
          <w:trHeight w:val="795"/>
        </w:trPr>
        <w:tc>
          <w:tcPr>
            <w:tcW w:w="2535" w:type="dxa"/>
            <w:tcMar/>
            <w:vAlign w:val="center"/>
          </w:tcPr>
          <w:p w:rsidRPr="002A213C" w:rsidR="4A32F3F2" w:rsidP="57092B08" w:rsidRDefault="4A32F3F2" w14:paraId="7612D178" w14:textId="63CDEB14" w14:noSpellErr="1">
            <w:pPr>
              <w:spacing w:after="200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“High workload - to learn a new way of working in parallel is disturbing and the new tool gets unused” (interviewee 10)</w:t>
            </w:r>
          </w:p>
        </w:tc>
        <w:tc>
          <w:tcPr>
            <w:tcW w:w="1545" w:type="dxa"/>
            <w:tcMar/>
            <w:vAlign w:val="center"/>
          </w:tcPr>
          <w:p w:rsidRPr="002A213C" w:rsidR="4A32F3F2" w:rsidP="57092B08" w:rsidRDefault="4A32F3F2" w14:paraId="7C0C6849" w14:textId="4CA34E16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High workload makes new tools unused</w:t>
            </w:r>
          </w:p>
        </w:tc>
        <w:tc>
          <w:tcPr>
            <w:tcW w:w="1410" w:type="dxa"/>
            <w:tcMar/>
            <w:vAlign w:val="center"/>
          </w:tcPr>
          <w:p w:rsidRPr="002A213C" w:rsidR="4A32F3F2" w:rsidP="57092B08" w:rsidRDefault="4A32F3F2" w14:paraId="186C7221" w14:textId="5A7F2460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No time to learn and use – it is just disturbing</w:t>
            </w:r>
          </w:p>
        </w:tc>
        <w:tc>
          <w:tcPr>
            <w:tcW w:w="1830" w:type="dxa"/>
            <w:tcMar/>
            <w:vAlign w:val="center"/>
          </w:tcPr>
          <w:p w:rsidRPr="002A213C" w:rsidR="4A32F3F2" w:rsidP="57092B08" w:rsidRDefault="4A32F3F2" w14:paraId="72D692A1" w14:textId="4237A5D4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The value is experienced as low compared to the effort spent</w:t>
            </w:r>
          </w:p>
        </w:tc>
        <w:tc>
          <w:tcPr>
            <w:tcW w:w="1695" w:type="dxa"/>
            <w:tcMar/>
            <w:vAlign w:val="center"/>
          </w:tcPr>
          <w:p w:rsidRPr="002A213C" w:rsidR="4A32F3F2" w:rsidP="4A32F3F2" w:rsidRDefault="4A32F3F2" w14:paraId="2FF8A68A" w14:textId="57E8C683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GB"/>
              </w:rPr>
            </w:pPr>
            <w:r w:rsidRPr="4A32F3F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Barriers to change in healthcare</w:t>
            </w:r>
          </w:p>
        </w:tc>
      </w:tr>
      <w:tr w:rsidRPr="000F45E0" w:rsidR="4A32F3F2" w:rsidTr="57092B08" w14:paraId="57A37914" w14:textId="77777777">
        <w:trPr>
          <w:trHeight w:val="795"/>
        </w:trPr>
        <w:tc>
          <w:tcPr>
            <w:tcW w:w="2535" w:type="dxa"/>
            <w:tcMar/>
            <w:vAlign w:val="center"/>
          </w:tcPr>
          <w:p w:rsidRPr="002A213C" w:rsidR="4A32F3F2" w:rsidP="57092B08" w:rsidRDefault="4A32F3F2" w14:paraId="514AD1C9" w14:textId="53937D0B" w14:noSpellErr="1">
            <w:pPr>
              <w:spacing w:after="200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“Important to always gain interest and engagement from the employees and adjust to what is working” (interviewee 5)</w:t>
            </w:r>
          </w:p>
        </w:tc>
        <w:tc>
          <w:tcPr>
            <w:tcW w:w="1545" w:type="dxa"/>
            <w:tcMar/>
            <w:vAlign w:val="center"/>
          </w:tcPr>
          <w:p w:rsidRPr="002A213C" w:rsidR="4A32F3F2" w:rsidP="57092B08" w:rsidRDefault="4A32F3F2" w14:paraId="2E1737A7" w14:textId="4BC72CFC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Engage and motivate people to change the way of working</w:t>
            </w:r>
          </w:p>
        </w:tc>
        <w:tc>
          <w:tcPr>
            <w:tcW w:w="1410" w:type="dxa"/>
            <w:tcMar/>
            <w:vAlign w:val="center"/>
          </w:tcPr>
          <w:p w:rsidRPr="002A213C" w:rsidR="4A32F3F2" w:rsidP="57092B08" w:rsidRDefault="4A32F3F2" w14:paraId="4A492AF5" w14:textId="2391E902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Motivation due to a clear benefit and common interest</w:t>
            </w:r>
          </w:p>
        </w:tc>
        <w:tc>
          <w:tcPr>
            <w:tcW w:w="1830" w:type="dxa"/>
            <w:tcMar/>
            <w:vAlign w:val="center"/>
          </w:tcPr>
          <w:p w:rsidR="4A32F3F2" w:rsidP="57092B08" w:rsidRDefault="4A32F3F2" w14:paraId="2A432BCD" w14:textId="759CD1E5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Motivate people to commit</w:t>
            </w:r>
          </w:p>
        </w:tc>
        <w:tc>
          <w:tcPr>
            <w:tcW w:w="1695" w:type="dxa"/>
            <w:tcMar/>
            <w:vAlign w:val="center"/>
          </w:tcPr>
          <w:p w:rsidRPr="002A213C" w:rsidR="4A32F3F2" w:rsidP="4A32F3F2" w:rsidRDefault="4A32F3F2" w14:paraId="2CB72740" w14:textId="096F1A09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/>
                <w:lang w:val="en-GB"/>
              </w:rPr>
            </w:pPr>
            <w:r w:rsidRPr="4A32F3F2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Success factors for change in healthcare</w:t>
            </w:r>
          </w:p>
        </w:tc>
      </w:tr>
      <w:tr w:rsidRPr="000F45E0" w:rsidR="4A32F3F2" w:rsidTr="57092B08" w14:paraId="29A3D4C1" w14:textId="77777777">
        <w:trPr>
          <w:trHeight w:val="255"/>
        </w:trPr>
        <w:tc>
          <w:tcPr>
            <w:tcW w:w="2535" w:type="dxa"/>
            <w:tcMar/>
            <w:vAlign w:val="center"/>
          </w:tcPr>
          <w:p w:rsidRPr="002A213C" w:rsidR="4A32F3F2" w:rsidP="57092B08" w:rsidRDefault="4A32F3F2" w14:paraId="1D486518" w14:textId="626DD2D8" w14:noSpellErr="1">
            <w:pPr>
              <w:spacing w:after="200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“They also knock on the door and that is a disadvantage with the system” (interviewee 13)</w:t>
            </w:r>
          </w:p>
        </w:tc>
        <w:tc>
          <w:tcPr>
            <w:tcW w:w="1545" w:type="dxa"/>
            <w:tcMar/>
            <w:vAlign w:val="center"/>
          </w:tcPr>
          <w:p w:rsidRPr="002A213C" w:rsidR="4A32F3F2" w:rsidP="57092B08" w:rsidRDefault="4A32F3F2" w14:paraId="318F34DF" w14:textId="74F0B900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Clinical work disturbance due to limited skills and capacity</w:t>
            </w:r>
          </w:p>
        </w:tc>
        <w:tc>
          <w:tcPr>
            <w:tcW w:w="1410" w:type="dxa"/>
            <w:tcMar/>
            <w:vAlign w:val="center"/>
          </w:tcPr>
          <w:p w:rsidRPr="002A213C" w:rsidR="4A32F3F2" w:rsidP="57092B08" w:rsidRDefault="4A32F3F2" w14:paraId="5D11EFD2" w14:textId="28D89147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Dependent on a few doctors</w:t>
            </w:r>
          </w:p>
        </w:tc>
        <w:tc>
          <w:tcPr>
            <w:tcW w:w="1830" w:type="dxa"/>
            <w:tcMar/>
            <w:vAlign w:val="center"/>
          </w:tcPr>
          <w:p w:rsidR="4A32F3F2" w:rsidP="57092B08" w:rsidRDefault="4A32F3F2" w14:paraId="5B894EE0" w14:textId="13CCD98E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Restricted capacity</w:t>
            </w:r>
          </w:p>
        </w:tc>
        <w:tc>
          <w:tcPr>
            <w:tcW w:w="1695" w:type="dxa"/>
            <w:tcMar/>
            <w:vAlign w:val="center"/>
          </w:tcPr>
          <w:p w:rsidRPr="002A213C" w:rsidR="4A32F3F2" w:rsidP="57092B08" w:rsidRDefault="4A32F3F2" w14:paraId="25E836F0" w14:textId="3A19F418" w14:noSpellErr="1">
            <w:pPr>
              <w:spacing w:after="200"/>
              <w:jc w:val="center"/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</w:pPr>
            <w:r w:rsidRPr="57092B08" w:rsidR="4A32F3F2">
              <w:rPr>
                <w:rFonts w:ascii="Times New Roman" w:hAnsi="Times New Roman" w:eastAsia="Times New Roman" w:cs="Times New Roman"/>
                <w:color w:val="000000" w:themeColor="text1" w:themeTint="FF" w:themeShade="FF"/>
                <w:lang w:val="en-GB"/>
              </w:rPr>
              <w:t>Melanoma diagnosis problems with current solution</w:t>
            </w:r>
          </w:p>
        </w:tc>
      </w:tr>
    </w:tbl>
    <w:p w:rsidRPr="002A213C" w:rsidR="4A32F3F2" w:rsidP="4A32F3F2" w:rsidRDefault="4A32F3F2" w14:paraId="53C9B824" w14:textId="4D49FB4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lang w:val="en-GB"/>
        </w:rPr>
      </w:pPr>
    </w:p>
    <w:p w:rsidRPr="002A213C" w:rsidR="4A32F3F2" w:rsidP="4A32F3F2" w:rsidRDefault="4A32F3F2" w14:paraId="616ADBDA" w14:textId="082FBC45">
      <w:pPr>
        <w:rPr>
          <w:lang w:val="en-GB"/>
        </w:rPr>
      </w:pPr>
    </w:p>
    <w:sectPr w:rsidRPr="002A213C" w:rsidR="4A32F3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213C" w:rsidP="002A213C" w:rsidRDefault="002A213C" w14:paraId="2DB26B04" w14:textId="77777777">
      <w:pPr>
        <w:spacing w:after="0" w:line="240" w:lineRule="auto"/>
      </w:pPr>
      <w:r>
        <w:separator/>
      </w:r>
    </w:p>
  </w:endnote>
  <w:endnote w:type="continuationSeparator" w:id="0">
    <w:p w:rsidR="002A213C" w:rsidP="002A213C" w:rsidRDefault="002A213C" w14:paraId="29AF550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213C" w:rsidRDefault="002A213C" w14:paraId="7025683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213C" w:rsidRDefault="002A213C" w14:paraId="561B906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213C" w:rsidRDefault="002A213C" w14:paraId="7C854E1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213C" w:rsidP="002A213C" w:rsidRDefault="002A213C" w14:paraId="27281C27" w14:textId="77777777">
      <w:pPr>
        <w:spacing w:after="0" w:line="240" w:lineRule="auto"/>
      </w:pPr>
      <w:r>
        <w:separator/>
      </w:r>
    </w:p>
  </w:footnote>
  <w:footnote w:type="continuationSeparator" w:id="0">
    <w:p w:rsidR="002A213C" w:rsidP="002A213C" w:rsidRDefault="002A213C" w14:paraId="31576F6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213C" w:rsidRDefault="002A213C" w14:paraId="24752DF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5F060C" w:rsidR="002A213C" w:rsidP="005F060C" w:rsidRDefault="005F060C" w14:paraId="2C6C28B4" w14:textId="137F7496">
    <w:pPr>
      <w:pStyle w:val="Header"/>
      <w:jc w:val="right"/>
      <w:rPr>
        <w:rFonts w:ascii="Times New Roman" w:hAnsi="Times New Roman" w:cs="Times New Roman"/>
        <w:i/>
        <w:iCs/>
      </w:rPr>
    </w:pPr>
    <w:r w:rsidRPr="005F060C">
      <w:rPr>
        <w:rFonts w:ascii="Times New Roman" w:hAnsi="Times New Roman" w:cs="Times New Roman"/>
        <w:i/>
        <w:iCs/>
      </w:rPr>
      <w:t>Frisinger et al.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213C" w:rsidRDefault="002A213C" w14:paraId="0630EF5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33C630"/>
    <w:rsid w:val="000F45E0"/>
    <w:rsid w:val="002A213C"/>
    <w:rsid w:val="005F060C"/>
    <w:rsid w:val="00AB5B9A"/>
    <w:rsid w:val="0152D6A0"/>
    <w:rsid w:val="02EEA701"/>
    <w:rsid w:val="0B1FDF67"/>
    <w:rsid w:val="0F20CE8A"/>
    <w:rsid w:val="19070C89"/>
    <w:rsid w:val="2DF660C6"/>
    <w:rsid w:val="394B7EB0"/>
    <w:rsid w:val="3B10B7E5"/>
    <w:rsid w:val="4633C630"/>
    <w:rsid w:val="4A32F3F2"/>
    <w:rsid w:val="4D5BE610"/>
    <w:rsid w:val="57092B08"/>
    <w:rsid w:val="7066D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3C630"/>
  <w15:chartTrackingRefBased/>
  <w15:docId w15:val="{18896087-FD03-4A68-93BA-5A126594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2A213C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A213C"/>
  </w:style>
  <w:style w:type="paragraph" w:styleId="Footer">
    <w:name w:val="footer"/>
    <w:basedOn w:val="Normal"/>
    <w:link w:val="FooterChar"/>
    <w:uiPriority w:val="99"/>
    <w:unhideWhenUsed/>
    <w:rsid w:val="002A213C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A2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 Christina Frisinger</dc:creator>
  <keywords/>
  <dc:description/>
  <lastModifiedBy>Ann Christina Frisinger</lastModifiedBy>
  <revision>5</revision>
  <dcterms:created xsi:type="dcterms:W3CDTF">2022-06-23T18:29:00.0000000Z</dcterms:created>
  <dcterms:modified xsi:type="dcterms:W3CDTF">2023-01-26T05:42:54.3156440Z</dcterms:modified>
</coreProperties>
</file>