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420C9" w14:textId="77777777" w:rsidR="006D2EF0" w:rsidRDefault="006D2EF0" w:rsidP="006D2EF0">
      <w:pPr>
        <w:pStyle w:val="EndNoteBibliography"/>
        <w:spacing w:after="0"/>
        <w:ind w:left="705" w:hanging="705"/>
        <w:rPr>
          <w:sz w:val="24"/>
          <w:szCs w:val="24"/>
        </w:rPr>
      </w:pPr>
      <w:r w:rsidRPr="009D3C49">
        <w:rPr>
          <w:sz w:val="24"/>
          <w:szCs w:val="24"/>
        </w:rPr>
        <w:t>1.</w:t>
      </w:r>
      <w:r>
        <w:rPr>
          <w:sz w:val="24"/>
          <w:szCs w:val="24"/>
        </w:rPr>
        <w:tab/>
        <w:t xml:space="preserve">Noncommunicable diseases: World Health Organisation; 2021 Available from: </w:t>
      </w:r>
      <w:hyperlink r:id="rId5" w:history="1">
        <w:r>
          <w:rPr>
            <w:rStyle w:val="Hyperlink"/>
            <w:sz w:val="24"/>
            <w:szCs w:val="24"/>
          </w:rPr>
          <w:t>https://www.who.int/news-room/fact-sheets/detail/noncommunicable-diseases</w:t>
        </w:r>
      </w:hyperlink>
      <w:r>
        <w:rPr>
          <w:sz w:val="24"/>
          <w:szCs w:val="24"/>
        </w:rPr>
        <w:t>.</w:t>
      </w:r>
    </w:p>
    <w:p w14:paraId="02AAB556" w14:textId="77777777" w:rsidR="006D2EF0" w:rsidRDefault="006D2EF0" w:rsidP="006D2EF0">
      <w:pPr>
        <w:pStyle w:val="EndNoteBibliography"/>
        <w:spacing w:after="0"/>
        <w:ind w:left="705" w:hanging="705"/>
        <w:rPr>
          <w:sz w:val="24"/>
          <w:szCs w:val="24"/>
        </w:rPr>
      </w:pPr>
    </w:p>
    <w:p w14:paraId="694A2C0F" w14:textId="26A5CA98" w:rsidR="006D2EF0" w:rsidRDefault="006D2EF0" w:rsidP="006D2EF0">
      <w:pPr>
        <w:pStyle w:val="EndNoteBibliography"/>
        <w:spacing w:after="0"/>
        <w:ind w:left="705" w:hanging="705"/>
        <w:rPr>
          <w:color w:val="222222"/>
          <w:sz w:val="24"/>
          <w:szCs w:val="24"/>
          <w:shd w:val="clear" w:color="auto" w:fill="FFFFFF"/>
        </w:rPr>
      </w:pPr>
      <w:r>
        <w:rPr>
          <w:sz w:val="24"/>
          <w:szCs w:val="24"/>
        </w:rPr>
        <w:t>2.</w:t>
      </w:r>
      <w:r>
        <w:rPr>
          <w:sz w:val="24"/>
          <w:szCs w:val="24"/>
        </w:rPr>
        <w:tab/>
      </w:r>
      <w:r w:rsidR="00475FA7" w:rsidRPr="00475FA7">
        <w:rPr>
          <w:color w:val="222222"/>
          <w:sz w:val="24"/>
          <w:szCs w:val="24"/>
          <w:shd w:val="clear" w:color="auto" w:fill="FFFFFF"/>
        </w:rPr>
        <w:t>Hajat C, Stein E. The global burden of multiple chronic conditions: A narrative review. Prev Med Rep. 2018 Oct 19;12:284-293. doi: 10.1016/j.pmedr.2018.10.008. PMID: 30406006; PMCID: PMC6214883.</w:t>
      </w:r>
    </w:p>
    <w:p w14:paraId="4159E503" w14:textId="77777777" w:rsidR="00475FA7" w:rsidRDefault="00475FA7" w:rsidP="006D2EF0">
      <w:pPr>
        <w:pStyle w:val="EndNoteBibliography"/>
        <w:spacing w:after="0"/>
        <w:ind w:left="705" w:hanging="705"/>
        <w:rPr>
          <w:sz w:val="24"/>
          <w:szCs w:val="24"/>
        </w:rPr>
      </w:pPr>
    </w:p>
    <w:p w14:paraId="5D893BF3" w14:textId="04D0F33B" w:rsidR="006D2EF0" w:rsidRDefault="006D2EF0" w:rsidP="006D2EF0">
      <w:pPr>
        <w:pStyle w:val="EndNoteBibliography"/>
        <w:spacing w:after="0"/>
        <w:ind w:left="705" w:hanging="705"/>
        <w:rPr>
          <w:rStyle w:val="Hyperlink"/>
          <w:sz w:val="24"/>
          <w:szCs w:val="24"/>
        </w:rPr>
      </w:pPr>
      <w:r>
        <w:rPr>
          <w:sz w:val="24"/>
          <w:szCs w:val="24"/>
        </w:rPr>
        <w:t>3.</w:t>
      </w:r>
      <w:r>
        <w:rPr>
          <w:sz w:val="24"/>
          <w:szCs w:val="24"/>
        </w:rPr>
        <w:tab/>
      </w:r>
      <w:r w:rsidR="000A4694" w:rsidRPr="000A4694">
        <w:rPr>
          <w:sz w:val="24"/>
          <w:szCs w:val="24"/>
        </w:rPr>
        <w:t>Academy of medical sciences</w:t>
      </w:r>
      <w:r w:rsidR="000A4694">
        <w:rPr>
          <w:sz w:val="24"/>
          <w:szCs w:val="24"/>
        </w:rPr>
        <w:t xml:space="preserve">. </w:t>
      </w:r>
      <w:r>
        <w:rPr>
          <w:sz w:val="24"/>
          <w:szCs w:val="24"/>
        </w:rPr>
        <w:t xml:space="preserve">Multimorbidity: a priority for global health research. The Academy of Medical Sciences, 2018. Available from: </w:t>
      </w:r>
      <w:hyperlink r:id="rId6" w:history="1">
        <w:r>
          <w:rPr>
            <w:rStyle w:val="Hyperlink"/>
            <w:sz w:val="24"/>
            <w:szCs w:val="24"/>
          </w:rPr>
          <w:t>8</w:t>
        </w:r>
        <w:r>
          <w:rPr>
            <w:rStyle w:val="Hyperlink"/>
            <w:sz w:val="24"/>
            <w:szCs w:val="24"/>
          </w:rPr>
          <w:t>2</w:t>
        </w:r>
        <w:r>
          <w:rPr>
            <w:rStyle w:val="Hyperlink"/>
            <w:sz w:val="24"/>
            <w:szCs w:val="24"/>
          </w:rPr>
          <w:t>222577 (acmedsci.ac.uk)</w:t>
        </w:r>
      </w:hyperlink>
    </w:p>
    <w:p w14:paraId="0FC08036" w14:textId="77777777" w:rsidR="00F81AD7" w:rsidRDefault="00F81AD7" w:rsidP="00F81AD7">
      <w:pPr>
        <w:pStyle w:val="EndNoteBibliography"/>
        <w:spacing w:after="0"/>
        <w:ind w:left="705" w:hanging="705"/>
        <w:rPr>
          <w:color w:val="222222"/>
          <w:sz w:val="24"/>
          <w:szCs w:val="24"/>
          <w:shd w:val="clear" w:color="auto" w:fill="FFFFFF"/>
        </w:rPr>
      </w:pPr>
    </w:p>
    <w:p w14:paraId="37D28667" w14:textId="77777777" w:rsidR="00475FA7" w:rsidRPr="00475FA7" w:rsidRDefault="00F81AD7" w:rsidP="00475FA7">
      <w:pPr>
        <w:pStyle w:val="EndNoteBibliography"/>
        <w:spacing w:after="0"/>
        <w:ind w:left="705" w:hanging="705"/>
        <w:rPr>
          <w:color w:val="222222"/>
          <w:sz w:val="24"/>
          <w:szCs w:val="24"/>
          <w:shd w:val="clear" w:color="auto" w:fill="FFFFFF"/>
        </w:rPr>
      </w:pPr>
      <w:r>
        <w:rPr>
          <w:color w:val="222222"/>
          <w:sz w:val="24"/>
          <w:szCs w:val="24"/>
          <w:shd w:val="clear" w:color="auto" w:fill="FFFFFF"/>
        </w:rPr>
        <w:t>4.</w:t>
      </w:r>
      <w:r>
        <w:rPr>
          <w:color w:val="222222"/>
          <w:sz w:val="24"/>
          <w:szCs w:val="24"/>
          <w:shd w:val="clear" w:color="auto" w:fill="FFFFFF"/>
        </w:rPr>
        <w:tab/>
      </w:r>
      <w:r w:rsidR="00475FA7" w:rsidRPr="00475FA7">
        <w:rPr>
          <w:color w:val="222222"/>
          <w:sz w:val="24"/>
          <w:szCs w:val="24"/>
          <w:shd w:val="clear" w:color="auto" w:fill="FFFFFF"/>
        </w:rPr>
        <w:t>K Barnett, S Mercer, M Norbury, G Watt, S Wyke, B Guthrie</w:t>
      </w:r>
    </w:p>
    <w:p w14:paraId="227B0053" w14:textId="77777777" w:rsidR="00475FA7" w:rsidRPr="00475FA7" w:rsidRDefault="00475FA7" w:rsidP="000A4694">
      <w:pPr>
        <w:pStyle w:val="EndNoteBibliography"/>
        <w:spacing w:after="0"/>
        <w:ind w:left="705"/>
        <w:rPr>
          <w:color w:val="222222"/>
          <w:sz w:val="24"/>
          <w:szCs w:val="24"/>
          <w:shd w:val="clear" w:color="auto" w:fill="FFFFFF"/>
        </w:rPr>
      </w:pPr>
      <w:r w:rsidRPr="00475FA7">
        <w:rPr>
          <w:color w:val="222222"/>
          <w:sz w:val="24"/>
          <w:szCs w:val="24"/>
          <w:shd w:val="clear" w:color="auto" w:fill="FFFFFF"/>
        </w:rPr>
        <w:t>The epidemiology of multimorbidity in a large cross-sectional dataset: implications for health care, research and medical education</w:t>
      </w:r>
    </w:p>
    <w:p w14:paraId="74CDC6D2" w14:textId="51043B48" w:rsidR="006D2EF0" w:rsidRDefault="00475FA7" w:rsidP="000A4694">
      <w:pPr>
        <w:pStyle w:val="EndNoteBibliography"/>
        <w:spacing w:after="0"/>
        <w:ind w:left="705"/>
        <w:rPr>
          <w:color w:val="222222"/>
          <w:sz w:val="24"/>
          <w:szCs w:val="24"/>
          <w:shd w:val="clear" w:color="auto" w:fill="FFFFFF"/>
        </w:rPr>
      </w:pPr>
      <w:r w:rsidRPr="00475FA7">
        <w:rPr>
          <w:color w:val="222222"/>
          <w:sz w:val="24"/>
          <w:szCs w:val="24"/>
          <w:shd w:val="clear" w:color="auto" w:fill="FFFFFF"/>
        </w:rPr>
        <w:t>Lancet, 380 (2012), pp. 37-43</w:t>
      </w:r>
    </w:p>
    <w:p w14:paraId="2A631672" w14:textId="77777777" w:rsidR="000A4694" w:rsidRDefault="000A4694" w:rsidP="000A4694">
      <w:pPr>
        <w:pStyle w:val="EndNoteBibliography"/>
        <w:spacing w:after="0"/>
        <w:ind w:left="705"/>
        <w:rPr>
          <w:sz w:val="24"/>
          <w:szCs w:val="24"/>
        </w:rPr>
      </w:pPr>
    </w:p>
    <w:p w14:paraId="6C4C1EBF" w14:textId="6B60DD0A" w:rsidR="006D2EF0" w:rsidRDefault="00F81AD7" w:rsidP="006D2EF0">
      <w:pPr>
        <w:pStyle w:val="EndNoteBibliography"/>
        <w:spacing w:after="0"/>
        <w:ind w:left="705" w:hanging="705"/>
        <w:rPr>
          <w:sz w:val="24"/>
          <w:szCs w:val="24"/>
        </w:rPr>
      </w:pPr>
      <w:r>
        <w:rPr>
          <w:sz w:val="24"/>
          <w:szCs w:val="24"/>
        </w:rPr>
        <w:t>5</w:t>
      </w:r>
      <w:r w:rsidR="006D2EF0">
        <w:rPr>
          <w:sz w:val="24"/>
          <w:szCs w:val="24"/>
        </w:rPr>
        <w:t>.</w:t>
      </w:r>
      <w:r w:rsidR="006D2EF0">
        <w:rPr>
          <w:sz w:val="24"/>
          <w:szCs w:val="24"/>
        </w:rPr>
        <w:tab/>
      </w:r>
      <w:r>
        <w:rPr>
          <w:sz w:val="24"/>
          <w:szCs w:val="24"/>
        </w:rPr>
        <w:t>Person-Centred Approaches: Empowering people in their lives and communities to enable an upgrade in prevention, wellbeing, health, care and support. A core skills education and training framework. Health Education England (HEE); 2017.</w:t>
      </w:r>
    </w:p>
    <w:p w14:paraId="646E7451" w14:textId="46C4FD38" w:rsidR="006D2EF0" w:rsidRDefault="006D2EF0" w:rsidP="006D2EF0">
      <w:pPr>
        <w:pStyle w:val="EndNoteBibliography"/>
        <w:spacing w:after="0"/>
        <w:ind w:left="705" w:hanging="705"/>
      </w:pPr>
      <w:r>
        <w:rPr>
          <w:sz w:val="24"/>
          <w:szCs w:val="24"/>
        </w:rPr>
        <w:tab/>
      </w:r>
    </w:p>
    <w:p w14:paraId="7EF1ED5D" w14:textId="06713FE2" w:rsidR="00D32001" w:rsidRDefault="006D2EF0" w:rsidP="00D32001">
      <w:pPr>
        <w:pStyle w:val="EndNoteBibliography"/>
        <w:spacing w:after="0"/>
        <w:ind w:left="705" w:hanging="705"/>
        <w:rPr>
          <w:color w:val="222222"/>
          <w:sz w:val="24"/>
          <w:szCs w:val="24"/>
          <w:shd w:val="clear" w:color="auto" w:fill="FFFFFF"/>
        </w:rPr>
      </w:pPr>
      <w:r>
        <w:rPr>
          <w:sz w:val="24"/>
          <w:szCs w:val="24"/>
        </w:rPr>
        <w:t>6.</w:t>
      </w:r>
      <w:r>
        <w:rPr>
          <w:sz w:val="24"/>
          <w:szCs w:val="24"/>
        </w:rPr>
        <w:tab/>
      </w:r>
      <w:r w:rsidR="000A4694" w:rsidRPr="000A4694">
        <w:rPr>
          <w:color w:val="222222"/>
          <w:sz w:val="24"/>
          <w:szCs w:val="24"/>
          <w:shd w:val="clear" w:color="auto" w:fill="FFFFFF"/>
        </w:rPr>
        <w:t>Grimsmo A, Løhre A, Røsstad T, Gjerde I, Heiberg I, Steinsbekk A. Disease-specific clinical pathways - are they feasible in primary care? A mixed-methods study. Scand J Prim Health Care. 2018 Jun;36(2):152-160. doi: 10.1080/02813432.2018.1459167. Epub 2018 Apr 12. PMID: 29644927; PMCID: PMC6066276.</w:t>
      </w:r>
    </w:p>
    <w:p w14:paraId="41AC7EB1" w14:textId="77777777" w:rsidR="000A4694" w:rsidRDefault="000A4694" w:rsidP="00D32001">
      <w:pPr>
        <w:pStyle w:val="EndNoteBibliography"/>
        <w:spacing w:after="0"/>
        <w:ind w:left="705" w:hanging="705"/>
      </w:pPr>
    </w:p>
    <w:p w14:paraId="5DDE0FFA" w14:textId="4774B6BE" w:rsidR="00F81AD7" w:rsidRDefault="00D32001" w:rsidP="00F81AD7">
      <w:pPr>
        <w:pStyle w:val="EndNoteBibliography"/>
        <w:spacing w:after="0"/>
        <w:ind w:left="705" w:hanging="705"/>
        <w:rPr>
          <w:sz w:val="24"/>
          <w:szCs w:val="24"/>
        </w:rPr>
      </w:pPr>
      <w:r>
        <w:rPr>
          <w:color w:val="222222"/>
          <w:sz w:val="24"/>
          <w:szCs w:val="24"/>
          <w:shd w:val="clear" w:color="auto" w:fill="FFFFFF"/>
        </w:rPr>
        <w:t>7.</w:t>
      </w:r>
      <w:r>
        <w:rPr>
          <w:color w:val="222222"/>
          <w:sz w:val="24"/>
          <w:szCs w:val="24"/>
          <w:shd w:val="clear" w:color="auto" w:fill="FFFFFF"/>
        </w:rPr>
        <w:tab/>
      </w:r>
      <w:r w:rsidR="00F81AD7">
        <w:rPr>
          <w:sz w:val="24"/>
          <w:szCs w:val="24"/>
        </w:rPr>
        <w:t xml:space="preserve">What is patient centred care and why is it important? United Kingdom: Health Innovation Network; 2021 Available from: </w:t>
      </w:r>
      <w:hyperlink r:id="rId7" w:history="1">
        <w:r w:rsidR="00F81AD7">
          <w:rPr>
            <w:rStyle w:val="Hyperlink"/>
            <w:sz w:val="24"/>
            <w:szCs w:val="24"/>
          </w:rPr>
          <w:t>http://healthinnovationnetwork.com/system/ckeditor_assets/attachments/41/what_is_person-centred_care_and_why_is_it_important.pdf</w:t>
        </w:r>
      </w:hyperlink>
      <w:r w:rsidR="00F81AD7">
        <w:rPr>
          <w:sz w:val="24"/>
          <w:szCs w:val="24"/>
        </w:rPr>
        <w:t xml:space="preserve"> </w:t>
      </w:r>
    </w:p>
    <w:p w14:paraId="63937C66" w14:textId="77777777" w:rsidR="0009303C" w:rsidRDefault="0009303C" w:rsidP="00F81AD7">
      <w:pPr>
        <w:pStyle w:val="EndNoteBibliography"/>
        <w:spacing w:after="0"/>
        <w:ind w:left="705" w:hanging="705"/>
        <w:rPr>
          <w:sz w:val="24"/>
          <w:szCs w:val="24"/>
        </w:rPr>
      </w:pPr>
    </w:p>
    <w:p w14:paraId="5BB922A8" w14:textId="26916C4B" w:rsidR="006F0836" w:rsidRDefault="0009303C" w:rsidP="00D32001">
      <w:pPr>
        <w:pStyle w:val="EndNoteBibliography"/>
        <w:spacing w:after="0"/>
        <w:ind w:left="705" w:hanging="705"/>
        <w:rPr>
          <w:color w:val="222222"/>
          <w:sz w:val="24"/>
          <w:szCs w:val="24"/>
          <w:shd w:val="clear" w:color="auto" w:fill="FFFFFF"/>
        </w:rPr>
      </w:pPr>
      <w:r>
        <w:rPr>
          <w:color w:val="222222"/>
          <w:sz w:val="24"/>
          <w:szCs w:val="24"/>
          <w:shd w:val="clear" w:color="auto" w:fill="FFFFFF"/>
        </w:rPr>
        <w:t>8.</w:t>
      </w:r>
      <w:r>
        <w:rPr>
          <w:color w:val="222222"/>
          <w:sz w:val="24"/>
          <w:szCs w:val="24"/>
          <w:shd w:val="clear" w:color="auto" w:fill="FFFFFF"/>
        </w:rPr>
        <w:tab/>
      </w:r>
      <w:r>
        <w:rPr>
          <w:color w:val="222222"/>
          <w:sz w:val="24"/>
          <w:szCs w:val="24"/>
          <w:shd w:val="clear" w:color="auto" w:fill="FFFFFF"/>
        </w:rPr>
        <w:tab/>
      </w:r>
      <w:r w:rsidR="00DF26FE" w:rsidRPr="00DF26FE">
        <w:rPr>
          <w:color w:val="222222"/>
          <w:sz w:val="24"/>
          <w:szCs w:val="24"/>
          <w:shd w:val="clear" w:color="auto" w:fill="FFFFFF"/>
        </w:rPr>
        <w:t>American Geriatrics Society Expert Panel on Person-Centered Care. Person-Centered Care: A Definition and Essential Elements. J Am Geriatr Soc. 2016 Jan;64(1):15-8. doi: 10.1111/jgs.13866. Epub 2015 Dec 2. PMID: 26626262.</w:t>
      </w:r>
    </w:p>
    <w:p w14:paraId="33F43EEE" w14:textId="77777777" w:rsidR="00DF26FE" w:rsidRDefault="00DF26FE" w:rsidP="00D32001">
      <w:pPr>
        <w:pStyle w:val="EndNoteBibliography"/>
        <w:spacing w:after="0"/>
        <w:ind w:left="705" w:hanging="705"/>
        <w:rPr>
          <w:color w:val="222222"/>
          <w:sz w:val="24"/>
          <w:szCs w:val="24"/>
          <w:shd w:val="clear" w:color="auto" w:fill="FFFFFF"/>
        </w:rPr>
      </w:pPr>
    </w:p>
    <w:p w14:paraId="0D4063E9" w14:textId="5F10BA8A" w:rsidR="006F0836" w:rsidRDefault="003E4C9B" w:rsidP="000B38EC">
      <w:pPr>
        <w:pStyle w:val="EndNoteBibliography"/>
        <w:spacing w:after="0"/>
        <w:ind w:left="705" w:hanging="705"/>
        <w:rPr>
          <w:sz w:val="24"/>
          <w:szCs w:val="24"/>
        </w:rPr>
      </w:pPr>
      <w:r>
        <w:rPr>
          <w:color w:val="222222"/>
          <w:sz w:val="24"/>
          <w:szCs w:val="24"/>
          <w:shd w:val="clear" w:color="auto" w:fill="FFFFFF"/>
          <w:lang w:val="en-US"/>
        </w:rPr>
        <w:t>9</w:t>
      </w:r>
      <w:r w:rsidR="006F0836">
        <w:rPr>
          <w:color w:val="222222"/>
          <w:sz w:val="24"/>
          <w:szCs w:val="24"/>
          <w:shd w:val="clear" w:color="auto" w:fill="FFFFFF"/>
          <w:lang w:val="en-US"/>
        </w:rPr>
        <w:t>.</w:t>
      </w:r>
      <w:r w:rsidR="006F0836">
        <w:rPr>
          <w:color w:val="222222"/>
          <w:sz w:val="24"/>
          <w:szCs w:val="24"/>
          <w:shd w:val="clear" w:color="auto" w:fill="FFFFFF"/>
          <w:lang w:val="en-US"/>
        </w:rPr>
        <w:tab/>
      </w:r>
      <w:r w:rsidR="00DF26FE">
        <w:rPr>
          <w:sz w:val="24"/>
          <w:szCs w:val="24"/>
        </w:rPr>
        <w:t xml:space="preserve">World health Organisation. </w:t>
      </w:r>
      <w:r w:rsidR="000B38EC" w:rsidRPr="000B38EC">
        <w:rPr>
          <w:color w:val="222222"/>
          <w:sz w:val="24"/>
          <w:szCs w:val="24"/>
          <w:shd w:val="clear" w:color="auto" w:fill="FFFFFF"/>
          <w:lang w:val="en-US"/>
        </w:rPr>
        <w:t>Integrated care models: an overview</w:t>
      </w:r>
      <w:r w:rsidR="000B38EC">
        <w:rPr>
          <w:color w:val="222222"/>
          <w:sz w:val="24"/>
          <w:szCs w:val="24"/>
          <w:shd w:val="clear" w:color="auto" w:fill="FFFFFF"/>
          <w:lang w:val="en-US"/>
        </w:rPr>
        <w:t xml:space="preserve">. </w:t>
      </w:r>
      <w:r w:rsidR="000B38EC" w:rsidRPr="000B38EC">
        <w:rPr>
          <w:sz w:val="24"/>
          <w:szCs w:val="24"/>
        </w:rPr>
        <w:t>Health Services Delivery Programme</w:t>
      </w:r>
      <w:r w:rsidR="000B38EC">
        <w:rPr>
          <w:sz w:val="24"/>
          <w:szCs w:val="24"/>
        </w:rPr>
        <w:t xml:space="preserve"> </w:t>
      </w:r>
      <w:r w:rsidR="000B38EC" w:rsidRPr="000B38EC">
        <w:rPr>
          <w:sz w:val="24"/>
          <w:szCs w:val="24"/>
        </w:rPr>
        <w:t>Division of Health Systems and Public Health</w:t>
      </w:r>
      <w:r w:rsidR="000B38EC">
        <w:rPr>
          <w:sz w:val="24"/>
          <w:szCs w:val="24"/>
        </w:rPr>
        <w:t xml:space="preserve">. 2016 Available from: </w:t>
      </w:r>
      <w:hyperlink r:id="rId8" w:history="1">
        <w:r w:rsidR="000B38EC" w:rsidRPr="00475FA7">
          <w:rPr>
            <w:rStyle w:val="Hyperlink"/>
            <w:sz w:val="24"/>
            <w:szCs w:val="24"/>
            <w:lang w:val="en-US"/>
          </w:rPr>
          <w:t>Integrated care models: an overview (who.int)</w:t>
        </w:r>
      </w:hyperlink>
    </w:p>
    <w:p w14:paraId="7C205E60" w14:textId="00D18962" w:rsidR="00FE1AEE" w:rsidRDefault="00FE1AEE" w:rsidP="000B38EC">
      <w:pPr>
        <w:pStyle w:val="EndNoteBibliography"/>
        <w:spacing w:after="0"/>
        <w:ind w:left="705" w:hanging="705"/>
        <w:rPr>
          <w:sz w:val="24"/>
          <w:szCs w:val="24"/>
        </w:rPr>
      </w:pPr>
    </w:p>
    <w:p w14:paraId="61D572B8" w14:textId="23E2854F" w:rsidR="00FE1AEE" w:rsidRDefault="00FE1AEE" w:rsidP="00FE1AEE">
      <w:pPr>
        <w:pStyle w:val="EndNoteBibliography"/>
        <w:spacing w:after="0"/>
        <w:ind w:left="705" w:hanging="705"/>
        <w:rPr>
          <w:color w:val="222222"/>
          <w:sz w:val="24"/>
          <w:szCs w:val="24"/>
          <w:shd w:val="clear" w:color="auto" w:fill="FFFFFF"/>
        </w:rPr>
      </w:pPr>
      <w:r>
        <w:rPr>
          <w:sz w:val="24"/>
          <w:szCs w:val="24"/>
        </w:rPr>
        <w:t>1</w:t>
      </w:r>
      <w:r w:rsidR="003E4C9B">
        <w:rPr>
          <w:sz w:val="24"/>
          <w:szCs w:val="24"/>
        </w:rPr>
        <w:t>0</w:t>
      </w:r>
      <w:r>
        <w:rPr>
          <w:sz w:val="24"/>
          <w:szCs w:val="24"/>
        </w:rPr>
        <w:t>.</w:t>
      </w:r>
      <w:r>
        <w:rPr>
          <w:sz w:val="24"/>
          <w:szCs w:val="24"/>
        </w:rPr>
        <w:tab/>
      </w:r>
      <w:r>
        <w:rPr>
          <w:color w:val="222222"/>
          <w:sz w:val="24"/>
          <w:szCs w:val="24"/>
          <w:shd w:val="clear" w:color="auto" w:fill="FFFFFF"/>
        </w:rPr>
        <w:t xml:space="preserve">Berntsen G, Høyem A, Lettrem I, Ruland C, Rumpsfeld M, Gammon D. A person-centered integrated care quality framework, based on a qualitative study of patients' evaluation of care in light of chronic care ideals. BMC Health Serv Res. 2018 Jun 20;18(1):479. doi: 10.1186/s12913-018-3246-z. </w:t>
      </w:r>
    </w:p>
    <w:p w14:paraId="01902C6D" w14:textId="4D8B9D32" w:rsidR="00FE1AEE" w:rsidRDefault="00FE1AEE" w:rsidP="000B38EC">
      <w:pPr>
        <w:pStyle w:val="EndNoteBibliography"/>
        <w:spacing w:after="0"/>
        <w:ind w:left="705" w:hanging="705"/>
        <w:rPr>
          <w:sz w:val="24"/>
          <w:szCs w:val="24"/>
        </w:rPr>
      </w:pPr>
    </w:p>
    <w:p w14:paraId="3D018442" w14:textId="70CBF319" w:rsidR="00557D70" w:rsidRPr="00DF26FE" w:rsidRDefault="00FE1AEE" w:rsidP="00FE1AEE">
      <w:pPr>
        <w:pStyle w:val="EndNoteBibliography"/>
        <w:spacing w:after="0"/>
        <w:ind w:left="705" w:hanging="705"/>
        <w:rPr>
          <w:sz w:val="24"/>
          <w:szCs w:val="24"/>
        </w:rPr>
      </w:pPr>
      <w:r>
        <w:rPr>
          <w:sz w:val="24"/>
          <w:szCs w:val="24"/>
        </w:rPr>
        <w:t>1</w:t>
      </w:r>
      <w:r w:rsidR="003E4C9B">
        <w:rPr>
          <w:sz w:val="24"/>
          <w:szCs w:val="24"/>
        </w:rPr>
        <w:t>1</w:t>
      </w:r>
      <w:r>
        <w:rPr>
          <w:sz w:val="24"/>
          <w:szCs w:val="24"/>
        </w:rPr>
        <w:t>.</w:t>
      </w:r>
      <w:r>
        <w:rPr>
          <w:sz w:val="24"/>
          <w:szCs w:val="24"/>
        </w:rPr>
        <w:tab/>
      </w:r>
      <w:r w:rsidR="00DF26FE" w:rsidRPr="00DF26FE">
        <w:rPr>
          <w:color w:val="212121"/>
          <w:sz w:val="24"/>
          <w:szCs w:val="24"/>
          <w:shd w:val="clear" w:color="auto" w:fill="FFFFFF"/>
        </w:rPr>
        <w:t xml:space="preserve">Muth C, van den Akker M, Blom JW, Mallen CD, Rochon J, Schellevis FG, </w:t>
      </w:r>
      <w:r w:rsidR="00DF26FE" w:rsidRPr="00DF26FE">
        <w:rPr>
          <w:color w:val="212121"/>
          <w:sz w:val="24"/>
          <w:szCs w:val="24"/>
          <w:shd w:val="clear" w:color="auto" w:fill="FFFFFF"/>
        </w:rPr>
        <w:t xml:space="preserve">et al. </w:t>
      </w:r>
      <w:r w:rsidR="00DF26FE" w:rsidRPr="00DF26FE">
        <w:rPr>
          <w:color w:val="212121"/>
          <w:sz w:val="24"/>
          <w:szCs w:val="24"/>
          <w:shd w:val="clear" w:color="auto" w:fill="FFFFFF"/>
        </w:rPr>
        <w:t xml:space="preserve">The Ariadne principles: how to handle multimorbidity in primary care </w:t>
      </w:r>
      <w:r w:rsidR="00DF26FE" w:rsidRPr="00DF26FE">
        <w:rPr>
          <w:color w:val="212121"/>
          <w:sz w:val="24"/>
          <w:szCs w:val="24"/>
          <w:shd w:val="clear" w:color="auto" w:fill="FFFFFF"/>
        </w:rPr>
        <w:lastRenderedPageBreak/>
        <w:t>consultations. BMC Med. 2014 Dec 8;12:223. doi: 10.1186/s12916-014-0223-1. PMID: 25484244; PMCID: PMC4259090.</w:t>
      </w:r>
    </w:p>
    <w:p w14:paraId="51BFE081" w14:textId="77777777" w:rsidR="00557D70" w:rsidRDefault="00557D70" w:rsidP="00FE1AEE">
      <w:pPr>
        <w:pStyle w:val="EndNoteBibliography"/>
        <w:spacing w:after="0"/>
        <w:ind w:left="705" w:hanging="705"/>
        <w:rPr>
          <w:sz w:val="24"/>
          <w:szCs w:val="24"/>
        </w:rPr>
      </w:pPr>
    </w:p>
    <w:p w14:paraId="515EBA07" w14:textId="29782516" w:rsidR="00557D70" w:rsidRDefault="00FE1AEE" w:rsidP="00557D70">
      <w:pPr>
        <w:pStyle w:val="EndNoteBibliography"/>
        <w:spacing w:after="0"/>
        <w:ind w:left="705" w:hanging="705"/>
        <w:rPr>
          <w:color w:val="222222"/>
          <w:sz w:val="24"/>
          <w:szCs w:val="24"/>
          <w:shd w:val="clear" w:color="auto" w:fill="FFFFFF"/>
        </w:rPr>
      </w:pPr>
      <w:r>
        <w:rPr>
          <w:sz w:val="24"/>
          <w:szCs w:val="24"/>
        </w:rPr>
        <w:t>1</w:t>
      </w:r>
      <w:r w:rsidR="003E4C9B">
        <w:rPr>
          <w:sz w:val="24"/>
          <w:szCs w:val="24"/>
        </w:rPr>
        <w:t>2</w:t>
      </w:r>
      <w:r>
        <w:rPr>
          <w:sz w:val="24"/>
          <w:szCs w:val="24"/>
        </w:rPr>
        <w:t>.</w:t>
      </w:r>
      <w:r>
        <w:rPr>
          <w:sz w:val="24"/>
          <w:szCs w:val="24"/>
        </w:rPr>
        <w:tab/>
      </w:r>
      <w:r w:rsidR="0034733E" w:rsidRPr="0034733E">
        <w:rPr>
          <w:color w:val="222222"/>
          <w:sz w:val="24"/>
          <w:szCs w:val="24"/>
          <w:shd w:val="clear" w:color="auto" w:fill="FFFFFF"/>
        </w:rPr>
        <w:t>Cocksedge S, Greenfield R, Nugent GK, Chew-Graham C. Holding relationships in primary care: a qualitative exploration of doctors' and patients' perceptions. Br J Gen Pract. 2011 Aug;61(589):e484-91. doi: 10.3399/bjgp11X588457. PMID: 21801542; PMCID: PMC3145532.</w:t>
      </w:r>
    </w:p>
    <w:p w14:paraId="3A136FEA" w14:textId="77777777" w:rsidR="00557D70" w:rsidRDefault="00557D70" w:rsidP="00557D70">
      <w:pPr>
        <w:pStyle w:val="EndNoteBibliography"/>
        <w:spacing w:after="0"/>
        <w:ind w:left="705" w:hanging="705"/>
        <w:rPr>
          <w:sz w:val="24"/>
          <w:szCs w:val="24"/>
        </w:rPr>
      </w:pPr>
    </w:p>
    <w:p w14:paraId="0D184A5D" w14:textId="315D4E20" w:rsidR="001C459B" w:rsidRDefault="00560D77" w:rsidP="00FE1AEE">
      <w:pPr>
        <w:pStyle w:val="EndNoteBibliography"/>
        <w:spacing w:after="0"/>
        <w:ind w:left="705" w:hanging="705"/>
        <w:rPr>
          <w:sz w:val="24"/>
          <w:szCs w:val="24"/>
        </w:rPr>
      </w:pPr>
      <w:r>
        <w:rPr>
          <w:sz w:val="24"/>
          <w:szCs w:val="24"/>
        </w:rPr>
        <w:t>1</w:t>
      </w:r>
      <w:r w:rsidR="003E4C9B">
        <w:rPr>
          <w:sz w:val="24"/>
          <w:szCs w:val="24"/>
        </w:rPr>
        <w:t>3</w:t>
      </w:r>
      <w:r>
        <w:rPr>
          <w:sz w:val="24"/>
          <w:szCs w:val="24"/>
        </w:rPr>
        <w:t>.</w:t>
      </w:r>
      <w:r>
        <w:rPr>
          <w:sz w:val="24"/>
          <w:szCs w:val="24"/>
        </w:rPr>
        <w:tab/>
      </w:r>
      <w:r w:rsidR="0034733E" w:rsidRPr="0034733E">
        <w:rPr>
          <w:sz w:val="24"/>
          <w:szCs w:val="24"/>
        </w:rPr>
        <w:t>Dennis SM, Zwar N, Griffiths R, Roland M, Hasan I, Powell Davies G, Harris M. Chronic disease management in primary care: from evidence to policy. Med J Aust. 2008 Apr 21;188(S8):S53-6. doi: 10.5694/j.1326-5377.2008.tb01745.x. PMID: 18429737.</w:t>
      </w:r>
    </w:p>
    <w:p w14:paraId="638AEEB9" w14:textId="77777777" w:rsidR="0034733E" w:rsidRDefault="0034733E" w:rsidP="00FE1AEE">
      <w:pPr>
        <w:pStyle w:val="EndNoteBibliography"/>
        <w:spacing w:after="0"/>
        <w:ind w:left="705" w:hanging="705"/>
        <w:rPr>
          <w:sz w:val="24"/>
          <w:szCs w:val="24"/>
        </w:rPr>
      </w:pPr>
    </w:p>
    <w:p w14:paraId="6CE49550" w14:textId="239A3CEE" w:rsidR="008D2152" w:rsidRDefault="001C459B" w:rsidP="008D2152">
      <w:pPr>
        <w:pStyle w:val="EndNoteBibliography"/>
        <w:spacing w:after="0"/>
        <w:ind w:left="705" w:hanging="705"/>
        <w:rPr>
          <w:sz w:val="24"/>
          <w:szCs w:val="24"/>
        </w:rPr>
      </w:pPr>
      <w:r>
        <w:rPr>
          <w:sz w:val="24"/>
          <w:szCs w:val="24"/>
        </w:rPr>
        <w:t>1</w:t>
      </w:r>
      <w:r w:rsidR="003E4C9B">
        <w:rPr>
          <w:sz w:val="24"/>
          <w:szCs w:val="24"/>
        </w:rPr>
        <w:t>4</w:t>
      </w:r>
      <w:r>
        <w:rPr>
          <w:sz w:val="24"/>
          <w:szCs w:val="24"/>
        </w:rPr>
        <w:t>.</w:t>
      </w:r>
      <w:r>
        <w:rPr>
          <w:sz w:val="24"/>
          <w:szCs w:val="24"/>
        </w:rPr>
        <w:tab/>
      </w:r>
      <w:r w:rsidR="0034733E" w:rsidRPr="0034733E">
        <w:rPr>
          <w:sz w:val="24"/>
          <w:szCs w:val="24"/>
        </w:rPr>
        <w:t>Frank JR, Snell LS, Cate OT, Holmboe ES, Carraccio C, Swing SR, Harris P, Glasgow NJ, Campbell C, Dath D, Harden RM, Iobst W, Long DM, Mungroo R, Richardson DL, Sherbino J, Silver I, Taber S, Talbot M, Harris KA. Competency-based medical education: theory to practice. Med Teach. 2010;32(8):638-45. doi: 10.3109/0142159X.2010.501190. PMID: 20662574.</w:t>
      </w:r>
    </w:p>
    <w:p w14:paraId="6F2031A7" w14:textId="77777777" w:rsidR="0034733E" w:rsidRDefault="0034733E" w:rsidP="008D2152">
      <w:pPr>
        <w:pStyle w:val="EndNoteBibliography"/>
        <w:spacing w:after="0"/>
        <w:ind w:left="705" w:hanging="705"/>
        <w:rPr>
          <w:sz w:val="24"/>
          <w:szCs w:val="24"/>
        </w:rPr>
      </w:pPr>
    </w:p>
    <w:p w14:paraId="15BA0273" w14:textId="6DB0BB37" w:rsidR="008D2152" w:rsidRDefault="008D2152" w:rsidP="008D2152">
      <w:pPr>
        <w:pStyle w:val="EndNoteBibliography"/>
        <w:spacing w:after="0"/>
        <w:ind w:left="705" w:hanging="705"/>
        <w:rPr>
          <w:sz w:val="24"/>
          <w:szCs w:val="24"/>
        </w:rPr>
      </w:pPr>
      <w:r>
        <w:rPr>
          <w:sz w:val="24"/>
          <w:szCs w:val="24"/>
        </w:rPr>
        <w:t>1</w:t>
      </w:r>
      <w:r w:rsidR="003E4C9B">
        <w:rPr>
          <w:sz w:val="24"/>
          <w:szCs w:val="24"/>
        </w:rPr>
        <w:t>5</w:t>
      </w:r>
      <w:r>
        <w:rPr>
          <w:sz w:val="24"/>
          <w:szCs w:val="24"/>
        </w:rPr>
        <w:t>.</w:t>
      </w:r>
      <w:r>
        <w:rPr>
          <w:sz w:val="24"/>
          <w:szCs w:val="24"/>
        </w:rPr>
        <w:tab/>
        <w:t>Arksey H, O'Malley L, Scoping Studies: Towards a Methodological Framework. International Journal of Social Research Methodology. 2005 (Theory &amp; Practice, 8(1), 19–32).</w:t>
      </w:r>
    </w:p>
    <w:p w14:paraId="4CE58CA5" w14:textId="1D516E0F" w:rsidR="008D2152" w:rsidRDefault="008D2152" w:rsidP="008D2152">
      <w:pPr>
        <w:pStyle w:val="EndNoteBibliography"/>
        <w:spacing w:after="0"/>
        <w:ind w:left="705" w:hanging="705"/>
        <w:rPr>
          <w:sz w:val="24"/>
          <w:szCs w:val="24"/>
        </w:rPr>
      </w:pPr>
    </w:p>
    <w:p w14:paraId="10B48795" w14:textId="4FE63BA0" w:rsidR="008D2152" w:rsidRDefault="008D2152" w:rsidP="008D2152">
      <w:pPr>
        <w:pStyle w:val="EndNoteBibliography"/>
        <w:spacing w:after="0"/>
        <w:ind w:left="705" w:hanging="705"/>
        <w:rPr>
          <w:color w:val="222222"/>
          <w:sz w:val="24"/>
          <w:szCs w:val="24"/>
          <w:shd w:val="clear" w:color="auto" w:fill="FFFFFF"/>
        </w:rPr>
      </w:pPr>
      <w:r>
        <w:rPr>
          <w:sz w:val="24"/>
          <w:szCs w:val="24"/>
        </w:rPr>
        <w:t>1</w:t>
      </w:r>
      <w:r w:rsidR="003E4C9B">
        <w:rPr>
          <w:sz w:val="24"/>
          <w:szCs w:val="24"/>
        </w:rPr>
        <w:t>6</w:t>
      </w:r>
      <w:r>
        <w:rPr>
          <w:sz w:val="24"/>
          <w:szCs w:val="24"/>
        </w:rPr>
        <w:t>.</w:t>
      </w:r>
      <w:r>
        <w:rPr>
          <w:sz w:val="24"/>
          <w:szCs w:val="24"/>
        </w:rPr>
        <w:tab/>
      </w:r>
      <w:r w:rsidR="0034733E" w:rsidRPr="0034733E">
        <w:rPr>
          <w:color w:val="222222"/>
          <w:sz w:val="24"/>
          <w:szCs w:val="24"/>
          <w:shd w:val="clear" w:color="auto" w:fill="FFFFFF"/>
        </w:rPr>
        <w:t>Harrison C, Fortin M, van den Akker M, Mair F, Calderon-Larranaga A, Boland F, Wallace E, Jani B, Smith S. Comorbidity versus multimorbidity: Why it matters. J Multimorb Comorb. 2021 Mar 2;11:2633556521993993. doi: 10.1177/2633556521993993. PMID: 33718251; PMCID: PMC7930649.</w:t>
      </w:r>
    </w:p>
    <w:p w14:paraId="4E8A36E6" w14:textId="77777777" w:rsidR="0034733E" w:rsidRDefault="0034733E" w:rsidP="008D2152">
      <w:pPr>
        <w:pStyle w:val="EndNoteBibliography"/>
        <w:spacing w:after="0"/>
        <w:ind w:left="705" w:hanging="705"/>
        <w:rPr>
          <w:sz w:val="24"/>
          <w:szCs w:val="24"/>
        </w:rPr>
      </w:pPr>
    </w:p>
    <w:p w14:paraId="1D23C97D" w14:textId="1C398E1A" w:rsidR="008D2152" w:rsidRDefault="008D2152" w:rsidP="008D2152">
      <w:pPr>
        <w:pStyle w:val="EndNoteBibliography"/>
        <w:spacing w:after="0"/>
        <w:ind w:left="705" w:hanging="705"/>
        <w:rPr>
          <w:sz w:val="24"/>
          <w:szCs w:val="24"/>
        </w:rPr>
      </w:pPr>
      <w:r w:rsidRPr="0034733E">
        <w:rPr>
          <w:sz w:val="24"/>
          <w:szCs w:val="24"/>
          <w:lang w:val="de-DE"/>
        </w:rPr>
        <w:t>1</w:t>
      </w:r>
      <w:r w:rsidR="003E4C9B" w:rsidRPr="0034733E">
        <w:rPr>
          <w:sz w:val="24"/>
          <w:szCs w:val="24"/>
          <w:lang w:val="de-DE"/>
        </w:rPr>
        <w:t>7</w:t>
      </w:r>
      <w:r w:rsidRPr="0034733E">
        <w:rPr>
          <w:sz w:val="24"/>
          <w:szCs w:val="24"/>
          <w:lang w:val="de-DE"/>
        </w:rPr>
        <w:t>.</w:t>
      </w:r>
      <w:r w:rsidRPr="0034733E">
        <w:rPr>
          <w:sz w:val="24"/>
          <w:szCs w:val="24"/>
          <w:lang w:val="de-DE"/>
        </w:rPr>
        <w:tab/>
      </w:r>
      <w:r w:rsidR="0034733E" w:rsidRPr="0034733E">
        <w:rPr>
          <w:sz w:val="24"/>
          <w:szCs w:val="24"/>
          <w:lang w:val="de-DE"/>
        </w:rPr>
        <w:t xml:space="preserve">Gilbert JH, Yan J, Hoffman SJ. </w:t>
      </w:r>
      <w:r w:rsidR="0034733E" w:rsidRPr="0034733E">
        <w:rPr>
          <w:sz w:val="24"/>
          <w:szCs w:val="24"/>
          <w:lang w:val="en-US"/>
        </w:rPr>
        <w:t>A WHO report: framework for action on interprofessional education and collaborative practice. J Allied Health. 2010 Fall;39 Suppl 1:196-7. PMID: 21174039</w:t>
      </w:r>
    </w:p>
    <w:p w14:paraId="00F571A4" w14:textId="77777777" w:rsidR="008D2152" w:rsidRDefault="008D2152" w:rsidP="008D2152">
      <w:pPr>
        <w:pStyle w:val="EndNoteBibliography"/>
        <w:spacing w:after="0"/>
        <w:ind w:left="705" w:hanging="705"/>
        <w:rPr>
          <w:sz w:val="24"/>
          <w:szCs w:val="24"/>
        </w:rPr>
      </w:pPr>
    </w:p>
    <w:p w14:paraId="63156104" w14:textId="4B9796F0" w:rsidR="008D2152" w:rsidRDefault="008D2152" w:rsidP="008D2152">
      <w:pPr>
        <w:pStyle w:val="EndNoteBibliography"/>
        <w:spacing w:after="0"/>
        <w:ind w:left="705" w:hanging="705"/>
        <w:rPr>
          <w:sz w:val="24"/>
          <w:szCs w:val="24"/>
        </w:rPr>
      </w:pPr>
      <w:r>
        <w:rPr>
          <w:sz w:val="24"/>
          <w:szCs w:val="24"/>
        </w:rPr>
        <w:t>1</w:t>
      </w:r>
      <w:r w:rsidR="003E4C9B">
        <w:rPr>
          <w:sz w:val="24"/>
          <w:szCs w:val="24"/>
        </w:rPr>
        <w:t>8</w:t>
      </w:r>
      <w:r>
        <w:rPr>
          <w:sz w:val="24"/>
          <w:szCs w:val="24"/>
        </w:rPr>
        <w:t>.</w:t>
      </w:r>
      <w:r>
        <w:rPr>
          <w:sz w:val="24"/>
          <w:szCs w:val="24"/>
        </w:rPr>
        <w:tab/>
        <w:t>Ouzzani M, Hammady H, Fedorowicz Z, &amp; Elmagarmid A, Rayyan—a web and mobile app for systematic reviews. Systematic Reviews. 2016;5(1):210.</w:t>
      </w:r>
    </w:p>
    <w:p w14:paraId="2E6C93E3" w14:textId="167236FF" w:rsidR="008D2152" w:rsidRDefault="008D2152" w:rsidP="008D2152">
      <w:pPr>
        <w:pStyle w:val="EndNoteBibliography"/>
        <w:spacing w:after="0"/>
        <w:ind w:left="705" w:hanging="705"/>
        <w:rPr>
          <w:sz w:val="24"/>
          <w:szCs w:val="24"/>
        </w:rPr>
      </w:pPr>
    </w:p>
    <w:p w14:paraId="36B48BB6" w14:textId="2614F163" w:rsidR="008D2152" w:rsidRDefault="003E4C9B" w:rsidP="008D2152">
      <w:pPr>
        <w:pStyle w:val="EndNoteBibliography"/>
        <w:spacing w:after="0"/>
        <w:ind w:left="705" w:hanging="705"/>
        <w:rPr>
          <w:sz w:val="24"/>
          <w:szCs w:val="24"/>
        </w:rPr>
      </w:pPr>
      <w:r>
        <w:rPr>
          <w:sz w:val="24"/>
          <w:szCs w:val="24"/>
        </w:rPr>
        <w:t>19</w:t>
      </w:r>
      <w:r w:rsidR="008D2152">
        <w:rPr>
          <w:sz w:val="24"/>
          <w:szCs w:val="24"/>
        </w:rPr>
        <w:t>.</w:t>
      </w:r>
      <w:r w:rsidR="008D2152">
        <w:rPr>
          <w:sz w:val="24"/>
          <w:szCs w:val="24"/>
        </w:rPr>
        <w:tab/>
      </w:r>
      <w:r w:rsidR="0034733E" w:rsidRPr="0034733E">
        <w:rPr>
          <w:sz w:val="24"/>
          <w:szCs w:val="24"/>
        </w:rPr>
        <w:t>Peters MDJ, Marnie C, Tricco AC, Pollock D, Munn Z, Alexander L,</w:t>
      </w:r>
      <w:r w:rsidR="0034733E">
        <w:rPr>
          <w:sz w:val="24"/>
          <w:szCs w:val="24"/>
        </w:rPr>
        <w:t xml:space="preserve"> et al. </w:t>
      </w:r>
      <w:r w:rsidR="0034733E" w:rsidRPr="0034733E">
        <w:rPr>
          <w:sz w:val="24"/>
          <w:szCs w:val="24"/>
        </w:rPr>
        <w:t xml:space="preserve"> Updated methodological guidance for the conduct of scoping reviews. JBI Evid Synth. 2020 Oct;18(10):2119-2126. doi: 10.11124/JBIES-20-00167. PMID: 33038124.</w:t>
      </w:r>
    </w:p>
    <w:p w14:paraId="674A2764" w14:textId="77777777" w:rsidR="0034733E" w:rsidRDefault="0034733E" w:rsidP="008D2152">
      <w:pPr>
        <w:pStyle w:val="EndNoteBibliography"/>
        <w:spacing w:after="0"/>
        <w:ind w:left="705" w:hanging="705"/>
        <w:rPr>
          <w:sz w:val="24"/>
          <w:szCs w:val="24"/>
        </w:rPr>
      </w:pPr>
    </w:p>
    <w:p w14:paraId="4FBAA2D9" w14:textId="76205130" w:rsidR="00EA4C04" w:rsidRDefault="00475958" w:rsidP="00EA4C04">
      <w:pPr>
        <w:pStyle w:val="EndNoteBibliography"/>
        <w:spacing w:after="0"/>
        <w:ind w:left="705" w:hanging="705"/>
        <w:rPr>
          <w:sz w:val="24"/>
          <w:szCs w:val="24"/>
        </w:rPr>
      </w:pPr>
      <w:r>
        <w:rPr>
          <w:sz w:val="24"/>
          <w:szCs w:val="24"/>
        </w:rPr>
        <w:t>2</w:t>
      </w:r>
      <w:r w:rsidR="003E4C9B">
        <w:rPr>
          <w:sz w:val="24"/>
          <w:szCs w:val="24"/>
        </w:rPr>
        <w:t>0</w:t>
      </w:r>
      <w:r>
        <w:rPr>
          <w:sz w:val="24"/>
          <w:szCs w:val="24"/>
        </w:rPr>
        <w:t>.</w:t>
      </w:r>
      <w:r>
        <w:rPr>
          <w:sz w:val="24"/>
          <w:szCs w:val="24"/>
        </w:rPr>
        <w:tab/>
      </w:r>
      <w:r w:rsidR="00EA4C04">
        <w:rPr>
          <w:sz w:val="24"/>
          <w:szCs w:val="24"/>
        </w:rPr>
        <w:t xml:space="preserve">VA/DoD Clinical Practice Guideline for the management of chronic obsructive pulmonary disease (2014). </w:t>
      </w:r>
      <w:r w:rsidR="00EA4C04">
        <w:rPr>
          <w:color w:val="2A2A2A"/>
          <w:sz w:val="24"/>
          <w:szCs w:val="24"/>
          <w:shd w:val="clear" w:color="auto" w:fill="FFFFFF"/>
        </w:rPr>
        <w:t>Washington (DC): Department of Veterans Affairs, Department of Defense.</w:t>
      </w:r>
    </w:p>
    <w:p w14:paraId="00CA1CD0" w14:textId="7B340810" w:rsidR="00475958" w:rsidRDefault="00475958" w:rsidP="008D2152">
      <w:pPr>
        <w:pStyle w:val="EndNoteBibliography"/>
        <w:spacing w:after="0"/>
        <w:ind w:left="705" w:hanging="705"/>
        <w:rPr>
          <w:sz w:val="24"/>
          <w:szCs w:val="24"/>
        </w:rPr>
      </w:pPr>
    </w:p>
    <w:p w14:paraId="15A7F329" w14:textId="7C1E7D9D" w:rsidR="002217B4" w:rsidRDefault="00EA4C04" w:rsidP="00EA4C04">
      <w:pPr>
        <w:pStyle w:val="EndNoteBibliography"/>
        <w:spacing w:after="0"/>
        <w:ind w:left="705" w:hanging="705"/>
        <w:rPr>
          <w:color w:val="222222"/>
          <w:sz w:val="24"/>
          <w:szCs w:val="24"/>
          <w:shd w:val="clear" w:color="auto" w:fill="FFFFFF"/>
        </w:rPr>
      </w:pPr>
      <w:r>
        <w:rPr>
          <w:sz w:val="24"/>
          <w:szCs w:val="24"/>
        </w:rPr>
        <w:t>2</w:t>
      </w:r>
      <w:r w:rsidR="003E4C9B">
        <w:rPr>
          <w:sz w:val="24"/>
          <w:szCs w:val="24"/>
        </w:rPr>
        <w:t>1</w:t>
      </w:r>
      <w:r>
        <w:rPr>
          <w:sz w:val="24"/>
          <w:szCs w:val="24"/>
        </w:rPr>
        <w:t>.</w:t>
      </w:r>
      <w:r>
        <w:rPr>
          <w:sz w:val="24"/>
          <w:szCs w:val="24"/>
        </w:rPr>
        <w:tab/>
      </w:r>
      <w:r w:rsidR="002217B4" w:rsidRPr="002217B4">
        <w:rPr>
          <w:color w:val="222222"/>
          <w:sz w:val="24"/>
          <w:szCs w:val="24"/>
          <w:shd w:val="clear" w:color="auto" w:fill="FFFFFF"/>
        </w:rPr>
        <w:t xml:space="preserve">World Health Organization. (‎2019)‎. Integrated care for older people (‎ICOPE)‎ implementation framework: guidance for systems and services. World Health </w:t>
      </w:r>
      <w:r w:rsidR="002217B4" w:rsidRPr="002217B4">
        <w:rPr>
          <w:color w:val="222222"/>
          <w:sz w:val="24"/>
          <w:szCs w:val="24"/>
          <w:shd w:val="clear" w:color="auto" w:fill="FFFFFF"/>
        </w:rPr>
        <w:lastRenderedPageBreak/>
        <w:t>Organization. https://apps.who.int/iris/handle/10665/325669. License: CC BY-NC-SA 3.0 IGO</w:t>
      </w:r>
    </w:p>
    <w:p w14:paraId="256B1335" w14:textId="77777777" w:rsidR="00EA4C04" w:rsidRDefault="00EA4C04" w:rsidP="00EA4C04">
      <w:pPr>
        <w:pStyle w:val="EndNoteBibliography"/>
        <w:spacing w:after="0"/>
        <w:ind w:left="705" w:hanging="705"/>
        <w:rPr>
          <w:sz w:val="24"/>
          <w:szCs w:val="24"/>
        </w:rPr>
      </w:pPr>
    </w:p>
    <w:p w14:paraId="35F3EA53" w14:textId="1B5F1431" w:rsidR="00EA4C04" w:rsidRDefault="00EA4C04" w:rsidP="00EA4C04">
      <w:pPr>
        <w:pStyle w:val="EndNoteBibliography"/>
        <w:spacing w:after="0"/>
        <w:ind w:left="705" w:hanging="705"/>
        <w:rPr>
          <w:sz w:val="24"/>
          <w:szCs w:val="24"/>
        </w:rPr>
      </w:pPr>
      <w:r>
        <w:rPr>
          <w:sz w:val="24"/>
          <w:szCs w:val="24"/>
        </w:rPr>
        <w:t>2</w:t>
      </w:r>
      <w:r w:rsidR="003E4C9B">
        <w:rPr>
          <w:sz w:val="24"/>
          <w:szCs w:val="24"/>
        </w:rPr>
        <w:t>2</w:t>
      </w:r>
      <w:r>
        <w:rPr>
          <w:sz w:val="24"/>
          <w:szCs w:val="24"/>
        </w:rPr>
        <w:t>.</w:t>
      </w:r>
      <w:r>
        <w:rPr>
          <w:sz w:val="24"/>
          <w:szCs w:val="24"/>
        </w:rPr>
        <w:tab/>
        <w:t xml:space="preserve">Holloway RG, Arnold RM, Creutzfeldt CJ, et al. Palliative and end-of-life care in stroke: a statement for healthcare professionals from the American Heart Association/American Stroke Association. Stroke. 2014;45(6):1887-1916. doi:10.1161/STR.0000000000000015 </w:t>
      </w:r>
    </w:p>
    <w:p w14:paraId="18B7756F" w14:textId="77777777" w:rsidR="002217B4" w:rsidRDefault="002217B4" w:rsidP="00EA4C04">
      <w:pPr>
        <w:pStyle w:val="EndNoteBibliography"/>
        <w:spacing w:after="0"/>
        <w:ind w:left="705" w:hanging="705"/>
        <w:rPr>
          <w:sz w:val="24"/>
          <w:szCs w:val="24"/>
        </w:rPr>
      </w:pPr>
    </w:p>
    <w:p w14:paraId="368B3578" w14:textId="05EACE4A" w:rsidR="00EA4C04" w:rsidRDefault="00EA4C04" w:rsidP="00EA4C04">
      <w:pPr>
        <w:pStyle w:val="EndNoteBibliography"/>
        <w:spacing w:after="0"/>
        <w:ind w:left="705" w:hanging="705"/>
        <w:rPr>
          <w:sz w:val="24"/>
          <w:szCs w:val="24"/>
        </w:rPr>
      </w:pPr>
      <w:r>
        <w:rPr>
          <w:sz w:val="24"/>
          <w:szCs w:val="24"/>
        </w:rPr>
        <w:t>2</w:t>
      </w:r>
      <w:r w:rsidR="003E4C9B">
        <w:rPr>
          <w:sz w:val="24"/>
          <w:szCs w:val="24"/>
        </w:rPr>
        <w:t>3</w:t>
      </w:r>
      <w:r>
        <w:rPr>
          <w:sz w:val="24"/>
          <w:szCs w:val="24"/>
        </w:rPr>
        <w:t>.</w:t>
      </w:r>
      <w:r>
        <w:rPr>
          <w:sz w:val="24"/>
          <w:szCs w:val="24"/>
        </w:rPr>
        <w:tab/>
        <w:t>Putting prevention into practice: a guide for the implementation of prevention in the general practice setting. Putting prevention into practice. The Royal Australian College of General Practitioners. 2018.</w:t>
      </w:r>
    </w:p>
    <w:p w14:paraId="16264207" w14:textId="2BDE2333" w:rsidR="00EA4C04" w:rsidRDefault="00EA4C04" w:rsidP="008D2152">
      <w:pPr>
        <w:pStyle w:val="EndNoteBibliography"/>
        <w:spacing w:after="0"/>
        <w:ind w:left="705" w:hanging="705"/>
        <w:rPr>
          <w:sz w:val="24"/>
          <w:szCs w:val="24"/>
        </w:rPr>
      </w:pPr>
    </w:p>
    <w:p w14:paraId="5B0A5191" w14:textId="7835F90D" w:rsidR="009E32E9" w:rsidRDefault="009E32E9" w:rsidP="009E32E9">
      <w:pPr>
        <w:pStyle w:val="EndNoteBibliography"/>
        <w:spacing w:after="0"/>
        <w:ind w:left="705" w:hanging="705"/>
        <w:rPr>
          <w:sz w:val="24"/>
          <w:szCs w:val="24"/>
        </w:rPr>
      </w:pPr>
      <w:r>
        <w:rPr>
          <w:sz w:val="24"/>
          <w:szCs w:val="24"/>
        </w:rPr>
        <w:t>2</w:t>
      </w:r>
      <w:r w:rsidR="003E4C9B">
        <w:rPr>
          <w:sz w:val="24"/>
          <w:szCs w:val="24"/>
        </w:rPr>
        <w:t>4</w:t>
      </w:r>
      <w:r>
        <w:rPr>
          <w:sz w:val="24"/>
          <w:szCs w:val="24"/>
        </w:rPr>
        <w:t>.</w:t>
      </w:r>
      <w:r>
        <w:rPr>
          <w:sz w:val="24"/>
          <w:szCs w:val="24"/>
        </w:rPr>
        <w:tab/>
      </w:r>
      <w:r w:rsidR="0034733E" w:rsidRPr="0034733E">
        <w:rPr>
          <w:sz w:val="24"/>
          <w:szCs w:val="24"/>
        </w:rPr>
        <w:t>Helitzer DL, Lanoue M, Wilson B, de Hernandez BU, Warner T, Roter D. A randomized controlled trial of communication training with primary care providers to improve patient-centeredness and health risk communication. Patient Educ Couns. 2011 Jan;82(1):21-9. doi: 10.1016/j.pec.2010.01.021. Epub 2010 Mar 12. PMID: 20219315; PMCID: PMC3539754.</w:t>
      </w:r>
    </w:p>
    <w:p w14:paraId="49A04D53" w14:textId="77777777" w:rsidR="0034733E" w:rsidRDefault="0034733E" w:rsidP="009E32E9">
      <w:pPr>
        <w:pStyle w:val="EndNoteBibliography"/>
        <w:spacing w:after="0"/>
        <w:ind w:left="705" w:hanging="705"/>
        <w:rPr>
          <w:sz w:val="24"/>
          <w:szCs w:val="24"/>
        </w:rPr>
      </w:pPr>
    </w:p>
    <w:p w14:paraId="03F91992" w14:textId="4CD47294" w:rsidR="00EA4C04" w:rsidRDefault="009E32E9" w:rsidP="008D2152">
      <w:pPr>
        <w:pStyle w:val="EndNoteBibliography"/>
        <w:spacing w:after="0"/>
        <w:ind w:left="705" w:hanging="705"/>
        <w:rPr>
          <w:color w:val="222222"/>
          <w:sz w:val="24"/>
          <w:szCs w:val="24"/>
          <w:shd w:val="clear" w:color="auto" w:fill="FFFFFF"/>
        </w:rPr>
      </w:pPr>
      <w:r>
        <w:rPr>
          <w:sz w:val="24"/>
          <w:szCs w:val="24"/>
        </w:rPr>
        <w:t>2</w:t>
      </w:r>
      <w:r w:rsidR="003E4C9B">
        <w:rPr>
          <w:sz w:val="24"/>
          <w:szCs w:val="24"/>
        </w:rPr>
        <w:t>5</w:t>
      </w:r>
      <w:r>
        <w:rPr>
          <w:sz w:val="24"/>
          <w:szCs w:val="24"/>
        </w:rPr>
        <w:t>.</w:t>
      </w:r>
      <w:r>
        <w:rPr>
          <w:sz w:val="24"/>
          <w:szCs w:val="24"/>
        </w:rPr>
        <w:tab/>
      </w:r>
      <w:r w:rsidR="0034733E" w:rsidRPr="0034733E">
        <w:rPr>
          <w:color w:val="222222"/>
          <w:sz w:val="24"/>
          <w:szCs w:val="24"/>
          <w:shd w:val="clear" w:color="auto" w:fill="FFFFFF"/>
        </w:rPr>
        <w:t>Fowler T, Garr D, Mager NDP, Stanley J. Enhancing primary care and preventive services through Interprofessional practice and education. Isr J Health Policy Res. 2020 Mar 23;9(1):12. doi: 10.1186/s13584-020-00371-8. PMID: 32204734; PMCID: PMC7092466.</w:t>
      </w:r>
    </w:p>
    <w:p w14:paraId="0D3C6CBD" w14:textId="77777777" w:rsidR="0034733E" w:rsidRDefault="0034733E" w:rsidP="008D2152">
      <w:pPr>
        <w:pStyle w:val="EndNoteBibliography"/>
        <w:spacing w:after="0"/>
        <w:ind w:left="705" w:hanging="705"/>
        <w:rPr>
          <w:sz w:val="24"/>
          <w:szCs w:val="24"/>
        </w:rPr>
      </w:pPr>
    </w:p>
    <w:p w14:paraId="78D39692" w14:textId="2401BF47" w:rsidR="009E32E9" w:rsidRDefault="009E32E9" w:rsidP="008D2152">
      <w:pPr>
        <w:pStyle w:val="EndNoteBibliography"/>
        <w:spacing w:after="0"/>
        <w:ind w:left="705" w:hanging="705"/>
        <w:rPr>
          <w:sz w:val="24"/>
          <w:szCs w:val="24"/>
        </w:rPr>
      </w:pPr>
      <w:r>
        <w:rPr>
          <w:sz w:val="24"/>
          <w:szCs w:val="24"/>
        </w:rPr>
        <w:t>2</w:t>
      </w:r>
      <w:r w:rsidR="003E4C9B">
        <w:rPr>
          <w:sz w:val="24"/>
          <w:szCs w:val="24"/>
        </w:rPr>
        <w:t>6</w:t>
      </w:r>
      <w:r>
        <w:rPr>
          <w:sz w:val="24"/>
          <w:szCs w:val="24"/>
        </w:rPr>
        <w:t>.</w:t>
      </w:r>
      <w:r>
        <w:rPr>
          <w:sz w:val="24"/>
          <w:szCs w:val="24"/>
        </w:rPr>
        <w:tab/>
      </w:r>
      <w:r w:rsidR="0034733E" w:rsidRPr="0034733E">
        <w:rPr>
          <w:sz w:val="24"/>
          <w:szCs w:val="24"/>
        </w:rPr>
        <w:t>Anstiss T. Motivational interviewing in primary care. J Clin Psychol Med Settings. 2009 Mar;16(1):87-93. doi: 10.1007/s10880-009-9155-x. Epub 2009 Mar 1. PMID: 19253016.</w:t>
      </w:r>
    </w:p>
    <w:p w14:paraId="7213D996" w14:textId="77777777" w:rsidR="0034733E" w:rsidRDefault="0034733E" w:rsidP="008D2152">
      <w:pPr>
        <w:pStyle w:val="EndNoteBibliography"/>
        <w:spacing w:after="0"/>
        <w:ind w:left="705" w:hanging="705"/>
        <w:rPr>
          <w:sz w:val="24"/>
          <w:szCs w:val="24"/>
        </w:rPr>
      </w:pPr>
    </w:p>
    <w:p w14:paraId="4B403C12" w14:textId="12E4AEB9" w:rsidR="009E32E9" w:rsidRDefault="009E32E9" w:rsidP="008D2152">
      <w:pPr>
        <w:pStyle w:val="EndNoteBibliography"/>
        <w:spacing w:after="0"/>
        <w:ind w:left="705" w:hanging="705"/>
        <w:rPr>
          <w:color w:val="222222"/>
          <w:sz w:val="24"/>
          <w:szCs w:val="24"/>
          <w:shd w:val="clear" w:color="auto" w:fill="FFFFFF"/>
        </w:rPr>
      </w:pPr>
      <w:r>
        <w:rPr>
          <w:sz w:val="24"/>
          <w:szCs w:val="24"/>
        </w:rPr>
        <w:t>2</w:t>
      </w:r>
      <w:r w:rsidR="003E4C9B">
        <w:rPr>
          <w:sz w:val="24"/>
          <w:szCs w:val="24"/>
        </w:rPr>
        <w:t>7</w:t>
      </w:r>
      <w:r>
        <w:rPr>
          <w:sz w:val="24"/>
          <w:szCs w:val="24"/>
        </w:rPr>
        <w:t>.</w:t>
      </w:r>
      <w:r>
        <w:rPr>
          <w:sz w:val="24"/>
          <w:szCs w:val="24"/>
        </w:rPr>
        <w:tab/>
      </w:r>
      <w:r w:rsidR="008F6822" w:rsidRPr="008F6822">
        <w:rPr>
          <w:color w:val="222222"/>
          <w:sz w:val="24"/>
          <w:szCs w:val="24"/>
          <w:shd w:val="clear" w:color="auto" w:fill="FFFFFF"/>
        </w:rPr>
        <w:t>Dale H, Lee A. Behavioural health consultants in integrated primary care teams: a model for future care. BMC Fam Pract. 2016 Jul 29;17:97. doi: 10.1186/s12875-016-0485-0. PMID: 27473414; PMCID: PMC4966805.</w:t>
      </w:r>
    </w:p>
    <w:p w14:paraId="6A0FA5D4" w14:textId="77777777" w:rsidR="008F6822" w:rsidRDefault="008F6822" w:rsidP="008D2152">
      <w:pPr>
        <w:pStyle w:val="EndNoteBibliography"/>
        <w:spacing w:after="0"/>
        <w:ind w:left="705" w:hanging="705"/>
        <w:rPr>
          <w:sz w:val="24"/>
          <w:szCs w:val="24"/>
        </w:rPr>
      </w:pPr>
    </w:p>
    <w:p w14:paraId="4F456925" w14:textId="1C9FD251" w:rsidR="009E32E9" w:rsidRDefault="009E32E9" w:rsidP="009E32E9">
      <w:pPr>
        <w:pStyle w:val="EndNoteBibliography"/>
        <w:spacing w:after="0"/>
        <w:ind w:left="705" w:hanging="705"/>
        <w:rPr>
          <w:sz w:val="24"/>
          <w:szCs w:val="24"/>
        </w:rPr>
      </w:pPr>
      <w:r>
        <w:rPr>
          <w:sz w:val="24"/>
          <w:szCs w:val="24"/>
        </w:rPr>
        <w:t>2</w:t>
      </w:r>
      <w:r w:rsidR="003E4C9B">
        <w:rPr>
          <w:sz w:val="24"/>
          <w:szCs w:val="24"/>
        </w:rPr>
        <w:t>8</w:t>
      </w:r>
      <w:r>
        <w:rPr>
          <w:sz w:val="24"/>
          <w:szCs w:val="24"/>
        </w:rPr>
        <w:t>.</w:t>
      </w:r>
      <w:r>
        <w:rPr>
          <w:sz w:val="24"/>
          <w:szCs w:val="24"/>
        </w:rPr>
        <w:tab/>
      </w:r>
      <w:r w:rsidR="008F6822" w:rsidRPr="008F6822">
        <w:rPr>
          <w:sz w:val="24"/>
          <w:szCs w:val="24"/>
        </w:rPr>
        <w:t>Rocker GM, Simpson AC, Horton R. Palliative Care in Advanced Lung Disease: The Challenge of Integrating Palliation Into Everyday Care. Chest. 2015 Sep;148(3):801-809. doi: 10.1378/chest.14-2593. PMID: 25742140.</w:t>
      </w:r>
    </w:p>
    <w:p w14:paraId="3A542253" w14:textId="77777777" w:rsidR="008F6822" w:rsidRDefault="008F6822" w:rsidP="009E32E9">
      <w:pPr>
        <w:pStyle w:val="EndNoteBibliography"/>
        <w:spacing w:after="0"/>
        <w:ind w:left="705" w:hanging="705"/>
        <w:rPr>
          <w:sz w:val="24"/>
          <w:szCs w:val="24"/>
        </w:rPr>
      </w:pPr>
    </w:p>
    <w:p w14:paraId="4FEB22D6" w14:textId="53D7626F" w:rsidR="009E32E9" w:rsidRDefault="003E4C9B" w:rsidP="008D2152">
      <w:pPr>
        <w:pStyle w:val="EndNoteBibliography"/>
        <w:spacing w:after="0"/>
        <w:ind w:left="705" w:hanging="705"/>
        <w:rPr>
          <w:sz w:val="24"/>
          <w:szCs w:val="24"/>
        </w:rPr>
      </w:pPr>
      <w:r>
        <w:rPr>
          <w:sz w:val="24"/>
          <w:szCs w:val="24"/>
        </w:rPr>
        <w:t>29</w:t>
      </w:r>
      <w:r w:rsidR="009E32E9">
        <w:rPr>
          <w:sz w:val="24"/>
          <w:szCs w:val="24"/>
        </w:rPr>
        <w:t>.</w:t>
      </w:r>
      <w:r w:rsidR="009E32E9">
        <w:rPr>
          <w:sz w:val="24"/>
          <w:szCs w:val="24"/>
        </w:rPr>
        <w:tab/>
      </w:r>
      <w:r w:rsidR="008F6822" w:rsidRPr="008F6822">
        <w:rPr>
          <w:sz w:val="24"/>
          <w:szCs w:val="24"/>
        </w:rPr>
        <w:t>Golden RL, Emery-Tiburcio EE, Post S, Ewald B, Newman M. Connecting Social, Clinical, and Home Care Services for Persons with Serious Illness in the Community. J Am Geriatr Soc. 2019 May;67(S2):S412-S418. doi: 10.1111/jgs.15900. PMID: 31074858.</w:t>
      </w:r>
    </w:p>
    <w:p w14:paraId="08E80F20" w14:textId="77777777" w:rsidR="008F6822" w:rsidRDefault="008F6822" w:rsidP="008D2152">
      <w:pPr>
        <w:pStyle w:val="EndNoteBibliography"/>
        <w:spacing w:after="0"/>
        <w:ind w:left="705" w:hanging="705"/>
        <w:rPr>
          <w:sz w:val="24"/>
          <w:szCs w:val="24"/>
        </w:rPr>
      </w:pPr>
    </w:p>
    <w:p w14:paraId="3210E185" w14:textId="45940864" w:rsidR="009E32E9" w:rsidRDefault="009E32E9" w:rsidP="008D2152">
      <w:pPr>
        <w:pStyle w:val="EndNoteBibliography"/>
        <w:spacing w:after="0"/>
        <w:ind w:left="705" w:hanging="705"/>
        <w:rPr>
          <w:sz w:val="24"/>
          <w:szCs w:val="24"/>
        </w:rPr>
      </w:pPr>
      <w:r>
        <w:rPr>
          <w:sz w:val="24"/>
          <w:szCs w:val="24"/>
        </w:rPr>
        <w:t>3</w:t>
      </w:r>
      <w:r w:rsidR="003E4C9B">
        <w:rPr>
          <w:sz w:val="24"/>
          <w:szCs w:val="24"/>
        </w:rPr>
        <w:t>0</w:t>
      </w:r>
      <w:r>
        <w:rPr>
          <w:sz w:val="24"/>
          <w:szCs w:val="24"/>
        </w:rPr>
        <w:t>.</w:t>
      </w:r>
      <w:r>
        <w:rPr>
          <w:sz w:val="24"/>
          <w:szCs w:val="24"/>
        </w:rPr>
        <w:tab/>
      </w:r>
      <w:r w:rsidR="008F6822" w:rsidRPr="008F6822">
        <w:rPr>
          <w:sz w:val="24"/>
          <w:szCs w:val="24"/>
        </w:rPr>
        <w:t>Lein C, Wills CE. Using patient-centered interviewing skills to manage complex patient encounters in primary care. J Am Acad Nurse Pract. 2007 May;19(5):215-20. doi: 10.1111/j.1745-7599.2007.00217.x. PMID: 17489953.</w:t>
      </w:r>
    </w:p>
    <w:p w14:paraId="5B12C6C8" w14:textId="77777777" w:rsidR="008F6822" w:rsidRDefault="008F6822" w:rsidP="008D2152">
      <w:pPr>
        <w:pStyle w:val="EndNoteBibliography"/>
        <w:spacing w:after="0"/>
        <w:ind w:left="705" w:hanging="705"/>
        <w:rPr>
          <w:sz w:val="24"/>
          <w:szCs w:val="24"/>
        </w:rPr>
      </w:pPr>
    </w:p>
    <w:p w14:paraId="6606F3F5" w14:textId="3E06D680" w:rsidR="007615CC" w:rsidRDefault="007615CC" w:rsidP="007615CC">
      <w:pPr>
        <w:pStyle w:val="EndNoteBibliography"/>
        <w:spacing w:after="0"/>
        <w:ind w:left="705" w:hanging="705"/>
        <w:rPr>
          <w:sz w:val="24"/>
          <w:szCs w:val="24"/>
          <w:lang w:val="nl-NL"/>
        </w:rPr>
      </w:pPr>
      <w:r w:rsidRPr="007615CC">
        <w:rPr>
          <w:sz w:val="24"/>
          <w:szCs w:val="24"/>
          <w:lang w:val="nl-NL"/>
        </w:rPr>
        <w:t>3</w:t>
      </w:r>
      <w:r w:rsidR="003E4C9B">
        <w:rPr>
          <w:sz w:val="24"/>
          <w:szCs w:val="24"/>
          <w:lang w:val="nl-NL"/>
        </w:rPr>
        <w:t>1</w:t>
      </w:r>
      <w:r w:rsidRPr="007615CC">
        <w:rPr>
          <w:sz w:val="24"/>
          <w:szCs w:val="24"/>
          <w:lang w:val="nl-NL"/>
        </w:rPr>
        <w:t>.</w:t>
      </w:r>
      <w:r w:rsidRPr="007615CC">
        <w:rPr>
          <w:sz w:val="24"/>
          <w:szCs w:val="24"/>
          <w:lang w:val="nl-NL"/>
        </w:rPr>
        <w:tab/>
      </w:r>
      <w:r w:rsidR="00FD2AE8" w:rsidRPr="00FD2AE8">
        <w:rPr>
          <w:sz w:val="24"/>
          <w:szCs w:val="24"/>
          <w:lang w:val="nl-NL"/>
        </w:rPr>
        <w:t xml:space="preserve">Hillebregt CF, Vlonk AJ, Bruijnzeels MA, van Schayck OC, Chavannes NH. </w:t>
      </w:r>
      <w:r w:rsidR="00FD2AE8" w:rsidRPr="00FD2AE8">
        <w:rPr>
          <w:sz w:val="24"/>
          <w:szCs w:val="24"/>
          <w:lang w:val="en-US"/>
        </w:rPr>
        <w:t xml:space="preserve">Barriers and facilitators influencing self-management among COPD patients: a </w:t>
      </w:r>
      <w:r w:rsidR="00FD2AE8" w:rsidRPr="00FD2AE8">
        <w:rPr>
          <w:sz w:val="24"/>
          <w:szCs w:val="24"/>
          <w:lang w:val="en-US"/>
        </w:rPr>
        <w:lastRenderedPageBreak/>
        <w:t xml:space="preserve">mixed methods exploration in primary and affiliated specialist care. Int J Chron Obstruct Pulmon Dis. 2016 Dec 23;12:123-133. doi: 10.2147/COPD.S103998. </w:t>
      </w:r>
      <w:r w:rsidR="00FD2AE8" w:rsidRPr="00FD2AE8">
        <w:rPr>
          <w:sz w:val="24"/>
          <w:szCs w:val="24"/>
          <w:lang w:val="nl-NL"/>
        </w:rPr>
        <w:t>PMID: 28096666; PMCID: PMC5214516.</w:t>
      </w:r>
    </w:p>
    <w:p w14:paraId="275FCF68" w14:textId="77777777" w:rsidR="00FD2AE8" w:rsidRDefault="00FD2AE8" w:rsidP="007615CC">
      <w:pPr>
        <w:pStyle w:val="EndNoteBibliography"/>
        <w:spacing w:after="0"/>
        <w:ind w:left="705" w:hanging="705"/>
        <w:rPr>
          <w:sz w:val="24"/>
          <w:szCs w:val="24"/>
        </w:rPr>
      </w:pPr>
    </w:p>
    <w:p w14:paraId="24CCB636" w14:textId="30A2EF86" w:rsidR="007615CC" w:rsidRDefault="007615CC" w:rsidP="005537E8">
      <w:pPr>
        <w:pStyle w:val="EndNoteBibliography"/>
        <w:spacing w:after="0"/>
        <w:ind w:left="705" w:hanging="705"/>
        <w:rPr>
          <w:sz w:val="24"/>
          <w:szCs w:val="24"/>
        </w:rPr>
      </w:pPr>
      <w:r>
        <w:rPr>
          <w:sz w:val="24"/>
          <w:szCs w:val="24"/>
        </w:rPr>
        <w:t>3</w:t>
      </w:r>
      <w:r w:rsidR="003E4C9B">
        <w:rPr>
          <w:sz w:val="24"/>
          <w:szCs w:val="24"/>
        </w:rPr>
        <w:t>2</w:t>
      </w:r>
      <w:r>
        <w:rPr>
          <w:sz w:val="24"/>
          <w:szCs w:val="24"/>
        </w:rPr>
        <w:t>.</w:t>
      </w:r>
      <w:r>
        <w:rPr>
          <w:sz w:val="24"/>
          <w:szCs w:val="24"/>
        </w:rPr>
        <w:tab/>
      </w:r>
      <w:r w:rsidR="005537E8" w:rsidRPr="005537E8">
        <w:rPr>
          <w:sz w:val="24"/>
          <w:szCs w:val="24"/>
        </w:rPr>
        <w:t>Lenzen SA, Daniëls R, van Bokhoven MA, van der Weijden T, Beurskens A. What makes it so difficult for nurses to coach patients in shared decision making? A process evaluation. Int J Nurs Stud. 2018 Apr;80:1-11. doi: 10.1016/j.ijnurstu.2017.12.005. Epub 2017 Dec 16. PMID: 29331655.</w:t>
      </w:r>
    </w:p>
    <w:p w14:paraId="6046E619" w14:textId="77777777" w:rsidR="007615CC" w:rsidRDefault="007615CC" w:rsidP="007615CC">
      <w:pPr>
        <w:pStyle w:val="EndNoteBibliography"/>
        <w:spacing w:after="0"/>
        <w:ind w:left="705" w:hanging="705"/>
        <w:rPr>
          <w:sz w:val="24"/>
          <w:szCs w:val="24"/>
        </w:rPr>
      </w:pPr>
    </w:p>
    <w:p w14:paraId="6FF820A3" w14:textId="4F3EF950" w:rsidR="007615CC" w:rsidRDefault="007615CC" w:rsidP="007615CC">
      <w:pPr>
        <w:pStyle w:val="EndNoteBibliography"/>
        <w:spacing w:after="0"/>
        <w:ind w:left="705" w:hanging="705"/>
        <w:rPr>
          <w:sz w:val="24"/>
          <w:szCs w:val="24"/>
        </w:rPr>
      </w:pPr>
      <w:r>
        <w:rPr>
          <w:sz w:val="24"/>
          <w:szCs w:val="24"/>
        </w:rPr>
        <w:t>3</w:t>
      </w:r>
      <w:r w:rsidR="003E4C9B">
        <w:rPr>
          <w:sz w:val="24"/>
          <w:szCs w:val="24"/>
        </w:rPr>
        <w:t>3</w:t>
      </w:r>
      <w:r>
        <w:rPr>
          <w:sz w:val="24"/>
          <w:szCs w:val="24"/>
        </w:rPr>
        <w:t>.</w:t>
      </w:r>
      <w:r>
        <w:rPr>
          <w:sz w:val="24"/>
          <w:szCs w:val="24"/>
        </w:rPr>
        <w:tab/>
      </w:r>
      <w:r w:rsidR="007C3EA7" w:rsidRPr="007C3EA7">
        <w:rPr>
          <w:sz w:val="24"/>
          <w:szCs w:val="24"/>
        </w:rPr>
        <w:t>Abramowitz SA, Flattery D, Franses K, Berry L. Linking a motivational interviewing curriculum to the chronic care model. J Gen Intern Med. 2010 Sep;25 Suppl 4(Suppl 4):S620-6. doi: 10.1007/s11606-010-1426-6. PMID: 20737238; PMCID: PMC2940440.</w:t>
      </w:r>
    </w:p>
    <w:p w14:paraId="3DEF5FD5" w14:textId="77777777" w:rsidR="007C3EA7" w:rsidRDefault="007C3EA7" w:rsidP="007615CC">
      <w:pPr>
        <w:pStyle w:val="EndNoteBibliography"/>
        <w:spacing w:after="0"/>
        <w:ind w:left="705" w:hanging="705"/>
        <w:rPr>
          <w:sz w:val="24"/>
          <w:szCs w:val="24"/>
        </w:rPr>
      </w:pPr>
    </w:p>
    <w:p w14:paraId="1D0900E8" w14:textId="3F214364" w:rsidR="007615CC" w:rsidRDefault="007615CC" w:rsidP="007615CC">
      <w:pPr>
        <w:pStyle w:val="EndNoteBibliography"/>
        <w:spacing w:after="0"/>
        <w:ind w:left="705" w:hanging="705"/>
        <w:rPr>
          <w:sz w:val="24"/>
          <w:szCs w:val="24"/>
        </w:rPr>
      </w:pPr>
      <w:r>
        <w:rPr>
          <w:sz w:val="24"/>
          <w:szCs w:val="24"/>
        </w:rPr>
        <w:t>3</w:t>
      </w:r>
      <w:r w:rsidR="003E4C9B">
        <w:rPr>
          <w:sz w:val="24"/>
          <w:szCs w:val="24"/>
        </w:rPr>
        <w:t>4</w:t>
      </w:r>
      <w:r>
        <w:rPr>
          <w:sz w:val="24"/>
          <w:szCs w:val="24"/>
        </w:rPr>
        <w:t>.</w:t>
      </w:r>
      <w:r>
        <w:rPr>
          <w:sz w:val="24"/>
          <w:szCs w:val="24"/>
        </w:rPr>
        <w:tab/>
      </w:r>
      <w:r w:rsidR="00D573BA" w:rsidRPr="00D573BA">
        <w:rPr>
          <w:sz w:val="24"/>
          <w:szCs w:val="24"/>
        </w:rPr>
        <w:t>Abu Al Hamayel N, Isenberg SR, Hannum SM, Sixon J, Smith KC, Dy SM. Older Patients' Perspectives on Quality of Serious Illness Care in Primary Care. Am J Hosp Palliat Care. 2018 Oct;35(10):1330-1336. doi: 10.1177/1049909118771675. Epub 2018 Apr 22. PMID: 29682975.</w:t>
      </w:r>
    </w:p>
    <w:p w14:paraId="7D748923" w14:textId="77777777" w:rsidR="007615CC" w:rsidRDefault="007615CC" w:rsidP="007615CC">
      <w:pPr>
        <w:pStyle w:val="EndNoteBibliography"/>
        <w:spacing w:after="0"/>
        <w:ind w:left="705" w:hanging="705"/>
        <w:rPr>
          <w:sz w:val="24"/>
          <w:szCs w:val="24"/>
        </w:rPr>
      </w:pPr>
    </w:p>
    <w:p w14:paraId="7ABE0124" w14:textId="595DCCFB" w:rsidR="007615CC" w:rsidRDefault="007615CC" w:rsidP="007615CC">
      <w:pPr>
        <w:pStyle w:val="EndNoteBibliography"/>
        <w:spacing w:after="0"/>
        <w:ind w:left="705" w:hanging="705"/>
        <w:rPr>
          <w:sz w:val="24"/>
          <w:szCs w:val="24"/>
        </w:rPr>
      </w:pPr>
      <w:r>
        <w:rPr>
          <w:sz w:val="24"/>
          <w:szCs w:val="24"/>
        </w:rPr>
        <w:t>3</w:t>
      </w:r>
      <w:r w:rsidR="003E4C9B">
        <w:rPr>
          <w:sz w:val="24"/>
          <w:szCs w:val="24"/>
        </w:rPr>
        <w:t>5</w:t>
      </w:r>
      <w:r>
        <w:rPr>
          <w:sz w:val="24"/>
          <w:szCs w:val="24"/>
        </w:rPr>
        <w:t>.</w:t>
      </w:r>
      <w:r>
        <w:rPr>
          <w:sz w:val="24"/>
          <w:szCs w:val="24"/>
        </w:rPr>
        <w:tab/>
      </w:r>
      <w:r w:rsidR="007B4D89" w:rsidRPr="007B4D89">
        <w:rPr>
          <w:sz w:val="24"/>
          <w:szCs w:val="24"/>
        </w:rPr>
        <w:t>Aerts N, Van Bogaert P, Bastiaens H, Peremans L. Integration of nurses in general practice: A thematic synthesis of the perspectives of general practitioners, practice nurses and patients living with chronic illness. J Clin Nurs. 2020 Jan;29(1-2):251-264. doi: 10.1111/jocn.15092. Epub 2019 Nov 28. PMID: 31713277.</w:t>
      </w:r>
    </w:p>
    <w:p w14:paraId="663EC4FA" w14:textId="77777777" w:rsidR="007615CC" w:rsidRDefault="007615CC" w:rsidP="007615CC">
      <w:pPr>
        <w:pStyle w:val="EndNoteBibliography"/>
        <w:spacing w:after="0"/>
        <w:ind w:left="705" w:hanging="705"/>
        <w:rPr>
          <w:sz w:val="24"/>
          <w:szCs w:val="24"/>
        </w:rPr>
      </w:pPr>
    </w:p>
    <w:p w14:paraId="502C0357" w14:textId="188836D5" w:rsidR="007615CC" w:rsidRDefault="007615CC" w:rsidP="007615CC">
      <w:pPr>
        <w:pStyle w:val="EndNoteBibliography"/>
        <w:spacing w:after="0"/>
        <w:ind w:left="705" w:hanging="705"/>
        <w:rPr>
          <w:sz w:val="24"/>
          <w:szCs w:val="24"/>
        </w:rPr>
      </w:pPr>
      <w:r>
        <w:rPr>
          <w:sz w:val="24"/>
          <w:szCs w:val="24"/>
        </w:rPr>
        <w:t>3</w:t>
      </w:r>
      <w:r w:rsidR="003E4C9B">
        <w:rPr>
          <w:sz w:val="24"/>
          <w:szCs w:val="24"/>
        </w:rPr>
        <w:t>6</w:t>
      </w:r>
      <w:r>
        <w:rPr>
          <w:sz w:val="24"/>
          <w:szCs w:val="24"/>
        </w:rPr>
        <w:t>.</w:t>
      </w:r>
      <w:r>
        <w:rPr>
          <w:sz w:val="24"/>
          <w:szCs w:val="24"/>
        </w:rPr>
        <w:tab/>
      </w:r>
      <w:r w:rsidR="00D04D3B" w:rsidRPr="00D04D3B">
        <w:rPr>
          <w:sz w:val="24"/>
          <w:szCs w:val="24"/>
        </w:rPr>
        <w:t xml:space="preserve">Byrne AL, Hegney D, Harvey C, Baldwin A, Willis E, Heard D, </w:t>
      </w:r>
      <w:r w:rsidR="00D04D3B">
        <w:rPr>
          <w:sz w:val="24"/>
          <w:szCs w:val="24"/>
        </w:rPr>
        <w:t xml:space="preserve">et al. </w:t>
      </w:r>
      <w:r w:rsidR="00D04D3B" w:rsidRPr="00D04D3B">
        <w:rPr>
          <w:sz w:val="24"/>
          <w:szCs w:val="24"/>
        </w:rPr>
        <w:t>Exploring the nurse navigator role: A thematic analysis. J Nurs Manag. 2020 May;28(4):814-821. doi: 10.1111/jonm.12997. Epub 2020 Apr 16. PMID: 32155679.</w:t>
      </w:r>
    </w:p>
    <w:p w14:paraId="3CAC591A" w14:textId="77777777" w:rsidR="00D04D3B" w:rsidRDefault="00D04D3B" w:rsidP="007615CC">
      <w:pPr>
        <w:pStyle w:val="EndNoteBibliography"/>
        <w:spacing w:after="0"/>
        <w:ind w:left="705" w:hanging="705"/>
        <w:rPr>
          <w:sz w:val="24"/>
          <w:szCs w:val="24"/>
        </w:rPr>
      </w:pPr>
    </w:p>
    <w:p w14:paraId="78A67CF6" w14:textId="1C35DB1B" w:rsidR="007615CC" w:rsidRDefault="007615CC" w:rsidP="007615CC">
      <w:pPr>
        <w:pStyle w:val="EndNoteBibliography"/>
        <w:spacing w:after="0"/>
        <w:ind w:left="705" w:hanging="705"/>
        <w:rPr>
          <w:sz w:val="24"/>
          <w:szCs w:val="24"/>
        </w:rPr>
      </w:pPr>
      <w:r>
        <w:rPr>
          <w:sz w:val="24"/>
          <w:szCs w:val="24"/>
        </w:rPr>
        <w:t>3</w:t>
      </w:r>
      <w:r w:rsidR="003E4C9B">
        <w:rPr>
          <w:sz w:val="24"/>
          <w:szCs w:val="24"/>
        </w:rPr>
        <w:t>7</w:t>
      </w:r>
      <w:r>
        <w:rPr>
          <w:sz w:val="24"/>
          <w:szCs w:val="24"/>
        </w:rPr>
        <w:t>.</w:t>
      </w:r>
      <w:r>
        <w:rPr>
          <w:sz w:val="24"/>
          <w:szCs w:val="24"/>
        </w:rPr>
        <w:tab/>
      </w:r>
      <w:r w:rsidR="006C056E" w:rsidRPr="006C056E">
        <w:rPr>
          <w:sz w:val="24"/>
          <w:szCs w:val="24"/>
        </w:rPr>
        <w:t>Dejesus RS, Vickers KS, Howell LA, Stroebel RJ. Qualities of care managers in chronic disease management: patients and providers' expectations. Prim Care Diabetes. 2012 Oct;6(3):235-9. doi: 10.1016/j.pcd.2012.03.003. Epub 2012 Apr 23. PMID: 22534170.</w:t>
      </w:r>
    </w:p>
    <w:p w14:paraId="5923557A" w14:textId="77777777" w:rsidR="006C056E" w:rsidRPr="006C056E" w:rsidRDefault="006C056E" w:rsidP="007615CC">
      <w:pPr>
        <w:pStyle w:val="EndNoteBibliography"/>
        <w:spacing w:after="0"/>
        <w:ind w:left="705" w:hanging="705"/>
        <w:rPr>
          <w:sz w:val="24"/>
          <w:szCs w:val="24"/>
          <w:lang w:val="en-US"/>
        </w:rPr>
      </w:pPr>
    </w:p>
    <w:p w14:paraId="0C87C9D2" w14:textId="6DF4BCB2" w:rsidR="007615CC" w:rsidRDefault="007615CC" w:rsidP="007615CC">
      <w:pPr>
        <w:pStyle w:val="EndNoteBibliography"/>
        <w:spacing w:after="0"/>
        <w:ind w:left="705" w:hanging="705"/>
        <w:rPr>
          <w:sz w:val="24"/>
          <w:szCs w:val="24"/>
          <w:lang w:val="nl-NL"/>
        </w:rPr>
      </w:pPr>
      <w:r>
        <w:rPr>
          <w:sz w:val="24"/>
          <w:szCs w:val="24"/>
          <w:lang w:val="nl-NL"/>
        </w:rPr>
        <w:t>3</w:t>
      </w:r>
      <w:r w:rsidR="003E4C9B">
        <w:rPr>
          <w:sz w:val="24"/>
          <w:szCs w:val="24"/>
          <w:lang w:val="nl-NL"/>
        </w:rPr>
        <w:t>8</w:t>
      </w:r>
      <w:r>
        <w:rPr>
          <w:sz w:val="24"/>
          <w:szCs w:val="24"/>
          <w:lang w:val="nl-NL"/>
        </w:rPr>
        <w:t>.</w:t>
      </w:r>
      <w:r>
        <w:rPr>
          <w:sz w:val="24"/>
          <w:szCs w:val="24"/>
          <w:lang w:val="nl-NL"/>
        </w:rPr>
        <w:tab/>
      </w:r>
      <w:r w:rsidR="00CF5C96" w:rsidRPr="00CF5C96">
        <w:rPr>
          <w:sz w:val="24"/>
          <w:szCs w:val="24"/>
          <w:lang w:val="nl-NL"/>
        </w:rPr>
        <w:t xml:space="preserve">van Dijk-de Vries A, Moser A, Mertens VC, van der Linden J, van der Weijden T, van Eijk JT. </w:t>
      </w:r>
      <w:r w:rsidR="00CF5C96" w:rsidRPr="00CF5C96">
        <w:rPr>
          <w:sz w:val="24"/>
          <w:szCs w:val="24"/>
          <w:lang w:val="en-US"/>
        </w:rPr>
        <w:t xml:space="preserve">The ideal of biopsychosocial chronic care: how to make it real? A qualitative study among Dutch stakeholders. BMC Fam Pract. 2012 Mar 12;13:14. doi: 10.1186/1471-2296-13-14. </w:t>
      </w:r>
      <w:r w:rsidR="00CF5C96" w:rsidRPr="00CF5C96">
        <w:rPr>
          <w:sz w:val="24"/>
          <w:szCs w:val="24"/>
          <w:lang w:val="nl-NL"/>
        </w:rPr>
        <w:t>PMID: 22405260; PMCID: PMC3355054.</w:t>
      </w:r>
    </w:p>
    <w:p w14:paraId="60F7EC80" w14:textId="77777777" w:rsidR="00D60CF3" w:rsidRDefault="00D60CF3" w:rsidP="007615CC">
      <w:pPr>
        <w:pStyle w:val="EndNoteBibliography"/>
        <w:spacing w:after="0"/>
        <w:ind w:left="705" w:hanging="705"/>
        <w:rPr>
          <w:sz w:val="24"/>
          <w:szCs w:val="24"/>
        </w:rPr>
      </w:pPr>
    </w:p>
    <w:p w14:paraId="3AB71D60" w14:textId="77777777" w:rsidR="008F333D" w:rsidRDefault="003E4C9B" w:rsidP="007615CC">
      <w:pPr>
        <w:pStyle w:val="EndNoteBibliography"/>
        <w:spacing w:after="0"/>
        <w:ind w:left="705" w:hanging="705"/>
        <w:rPr>
          <w:sz w:val="24"/>
          <w:szCs w:val="24"/>
        </w:rPr>
      </w:pPr>
      <w:r>
        <w:rPr>
          <w:sz w:val="24"/>
          <w:szCs w:val="24"/>
        </w:rPr>
        <w:t>39</w:t>
      </w:r>
      <w:r w:rsidR="007615CC">
        <w:rPr>
          <w:sz w:val="24"/>
          <w:szCs w:val="24"/>
        </w:rPr>
        <w:t>.</w:t>
      </w:r>
      <w:r w:rsidR="007615CC">
        <w:rPr>
          <w:sz w:val="24"/>
          <w:szCs w:val="24"/>
        </w:rPr>
        <w:tab/>
      </w:r>
      <w:r w:rsidR="00D60CF3" w:rsidRPr="00D60CF3">
        <w:rPr>
          <w:sz w:val="24"/>
          <w:szCs w:val="24"/>
        </w:rPr>
        <w:t>van Dongen JJ, Lenzen SA, van Bokhoven MA, Daniëls R, van der Weijden T, Beurskens A. Interprofessional collaboration regarding patients' care plans in primary care: a focus group study into influential factors. BMC Fam Pract. 2016 May 28;17:58. doi: 10.1186/s12875-016-0456-5. PMID: 27233362; PMCID: PMC4884411.</w:t>
      </w:r>
    </w:p>
    <w:p w14:paraId="5F407A6F" w14:textId="1EC63D5A" w:rsidR="007615CC" w:rsidRDefault="007615CC" w:rsidP="007615CC">
      <w:pPr>
        <w:pStyle w:val="EndNoteBibliography"/>
        <w:spacing w:after="0"/>
        <w:ind w:left="705" w:hanging="705"/>
        <w:rPr>
          <w:sz w:val="24"/>
          <w:szCs w:val="24"/>
          <w:lang w:val="de-DE"/>
        </w:rPr>
      </w:pPr>
      <w:r w:rsidRPr="003E4C9B">
        <w:rPr>
          <w:sz w:val="24"/>
          <w:szCs w:val="24"/>
          <w:lang w:val="de-DE"/>
        </w:rPr>
        <w:lastRenderedPageBreak/>
        <w:t>4</w:t>
      </w:r>
      <w:r w:rsidR="003E4C9B" w:rsidRPr="003E4C9B">
        <w:rPr>
          <w:sz w:val="24"/>
          <w:szCs w:val="24"/>
          <w:lang w:val="de-DE"/>
        </w:rPr>
        <w:t>0</w:t>
      </w:r>
      <w:r w:rsidRPr="003E4C9B">
        <w:rPr>
          <w:sz w:val="24"/>
          <w:szCs w:val="24"/>
          <w:lang w:val="de-DE"/>
        </w:rPr>
        <w:t>.</w:t>
      </w:r>
      <w:r w:rsidRPr="003E4C9B">
        <w:rPr>
          <w:sz w:val="24"/>
          <w:szCs w:val="24"/>
          <w:lang w:val="de-DE"/>
        </w:rPr>
        <w:tab/>
      </w:r>
      <w:r w:rsidR="00DD7CDB" w:rsidRPr="00DD7CDB">
        <w:rPr>
          <w:sz w:val="24"/>
          <w:szCs w:val="24"/>
          <w:lang w:val="de-DE"/>
        </w:rPr>
        <w:t xml:space="preserve">Dudley N, Ritchie CS, Rehm RS, Chapman SA, Wallhagen MI. </w:t>
      </w:r>
      <w:r w:rsidR="00DD7CDB" w:rsidRPr="00DD7CDB">
        <w:rPr>
          <w:sz w:val="24"/>
          <w:szCs w:val="24"/>
          <w:lang w:val="en-US"/>
        </w:rPr>
        <w:t xml:space="preserve">Facilitators and Barriers to Interdisciplinary Communication between Providers in Primary Care and Palliative Care. </w:t>
      </w:r>
      <w:r w:rsidR="00DD7CDB" w:rsidRPr="00DD7CDB">
        <w:rPr>
          <w:sz w:val="24"/>
          <w:szCs w:val="24"/>
          <w:lang w:val="de-DE"/>
        </w:rPr>
        <w:t>J Palliat Med. 2019 Mar;22(3):243-249. doi: 10.1089/jpm.2018.0231. Epub 2018 Nov 1. PMID: 30383468.</w:t>
      </w:r>
    </w:p>
    <w:p w14:paraId="362C74BF" w14:textId="77777777" w:rsidR="00DD7CDB" w:rsidRDefault="00DD7CDB" w:rsidP="007615CC">
      <w:pPr>
        <w:pStyle w:val="EndNoteBibliography"/>
        <w:spacing w:after="0"/>
        <w:ind w:left="705" w:hanging="705"/>
        <w:rPr>
          <w:sz w:val="24"/>
          <w:szCs w:val="24"/>
        </w:rPr>
      </w:pPr>
    </w:p>
    <w:p w14:paraId="47A5CB17" w14:textId="435629C5" w:rsidR="007615CC" w:rsidRDefault="007615CC" w:rsidP="007615CC">
      <w:pPr>
        <w:pStyle w:val="EndNoteBibliography"/>
        <w:spacing w:after="0"/>
        <w:ind w:left="705" w:hanging="705"/>
        <w:rPr>
          <w:sz w:val="24"/>
          <w:szCs w:val="24"/>
        </w:rPr>
      </w:pPr>
      <w:r>
        <w:rPr>
          <w:sz w:val="24"/>
          <w:szCs w:val="24"/>
        </w:rPr>
        <w:t>4</w:t>
      </w:r>
      <w:r w:rsidR="003E4C9B">
        <w:rPr>
          <w:sz w:val="24"/>
          <w:szCs w:val="24"/>
        </w:rPr>
        <w:t>1</w:t>
      </w:r>
      <w:r>
        <w:rPr>
          <w:sz w:val="24"/>
          <w:szCs w:val="24"/>
        </w:rPr>
        <w:t>.</w:t>
      </w:r>
      <w:r>
        <w:rPr>
          <w:sz w:val="24"/>
          <w:szCs w:val="24"/>
        </w:rPr>
        <w:tab/>
      </w:r>
      <w:r w:rsidR="004B03A0" w:rsidRPr="004B03A0">
        <w:rPr>
          <w:sz w:val="24"/>
          <w:szCs w:val="24"/>
        </w:rPr>
        <w:t>Fouche C, Kenealy T, Mace J, Shaw J. Practitioner perspectives from seven health professional groups on core competencies in the context of chronic care. J Interprof Care. 2014 Nov;28(6):534-40. doi: 10.3109/13561820.2014.915514. Epub 2014 May 14. PMID: 24828623.</w:t>
      </w:r>
    </w:p>
    <w:p w14:paraId="3E6D183C" w14:textId="77777777" w:rsidR="007615CC" w:rsidRDefault="007615CC" w:rsidP="007615CC">
      <w:pPr>
        <w:pStyle w:val="EndNoteBibliography"/>
        <w:spacing w:after="0"/>
        <w:ind w:left="705" w:hanging="705"/>
        <w:rPr>
          <w:sz w:val="24"/>
          <w:szCs w:val="24"/>
        </w:rPr>
      </w:pPr>
    </w:p>
    <w:p w14:paraId="2050D34B" w14:textId="77777777" w:rsidR="00FB23D6" w:rsidRDefault="007615CC" w:rsidP="00E71463">
      <w:pPr>
        <w:pStyle w:val="EndNoteBibliography"/>
        <w:ind w:left="705" w:hanging="705"/>
        <w:rPr>
          <w:sz w:val="24"/>
          <w:szCs w:val="24"/>
        </w:rPr>
      </w:pPr>
      <w:r>
        <w:rPr>
          <w:sz w:val="24"/>
          <w:szCs w:val="24"/>
        </w:rPr>
        <w:t>4</w:t>
      </w:r>
      <w:r w:rsidR="003E4C9B">
        <w:rPr>
          <w:sz w:val="24"/>
          <w:szCs w:val="24"/>
        </w:rPr>
        <w:t>2</w:t>
      </w:r>
      <w:r>
        <w:rPr>
          <w:sz w:val="24"/>
          <w:szCs w:val="24"/>
        </w:rPr>
        <w:t>.</w:t>
      </w:r>
      <w:r>
        <w:rPr>
          <w:sz w:val="24"/>
          <w:szCs w:val="24"/>
        </w:rPr>
        <w:tab/>
      </w:r>
      <w:r w:rsidR="00E71463" w:rsidRPr="00E71463">
        <w:rPr>
          <w:sz w:val="24"/>
          <w:szCs w:val="24"/>
        </w:rPr>
        <w:t>Mercer SW, O'Brien R, Fitzpatrick B, Higgins M, Guthrie B, Watt G,</w:t>
      </w:r>
      <w:r w:rsidR="00E71463">
        <w:rPr>
          <w:sz w:val="24"/>
          <w:szCs w:val="24"/>
        </w:rPr>
        <w:t xml:space="preserve"> et al. </w:t>
      </w:r>
      <w:r w:rsidR="00E71463" w:rsidRPr="00E71463">
        <w:rPr>
          <w:sz w:val="24"/>
          <w:szCs w:val="24"/>
        </w:rPr>
        <w:t>The development and optimisation of a primary care-based whole system complex intervention (CARE Plus) for patients with multimorbidity living in areas of high socioeconomic deprivation. Chronic Illn. 2016 Sep;12(3):165-81. doi: 10.1177/1742395316644304. Epub 2016 Apr 10. PMID: 27068113; PMCID: PMC4995497.</w:t>
      </w:r>
    </w:p>
    <w:p w14:paraId="22E03A1C" w14:textId="0970BF02" w:rsidR="007615CC" w:rsidRPr="00DF6F04" w:rsidRDefault="007615CC" w:rsidP="00E71463">
      <w:pPr>
        <w:pStyle w:val="EndNoteBibliography"/>
        <w:ind w:left="705" w:hanging="705"/>
        <w:rPr>
          <w:sz w:val="24"/>
          <w:szCs w:val="24"/>
          <w:lang w:val="nl-NL"/>
        </w:rPr>
      </w:pPr>
      <w:r>
        <w:rPr>
          <w:sz w:val="24"/>
          <w:szCs w:val="24"/>
        </w:rPr>
        <w:t>4</w:t>
      </w:r>
      <w:r w:rsidR="003E4C9B">
        <w:rPr>
          <w:sz w:val="24"/>
          <w:szCs w:val="24"/>
        </w:rPr>
        <w:t>3</w:t>
      </w:r>
      <w:r>
        <w:rPr>
          <w:sz w:val="24"/>
          <w:szCs w:val="24"/>
        </w:rPr>
        <w:t>.</w:t>
      </w:r>
      <w:r>
        <w:rPr>
          <w:sz w:val="24"/>
          <w:szCs w:val="24"/>
        </w:rPr>
        <w:tab/>
        <w:t xml:space="preserve">Lawn S, Battersby M, Lindner H, Mathews R, Morris S, Wells L, et al. What skills do primary health care professionals need to provide  effective self-management support? Seeking consumer perspectives. Australian Journal of Primary Health. </w:t>
      </w:r>
      <w:r w:rsidRPr="00DF6F04">
        <w:rPr>
          <w:sz w:val="24"/>
          <w:szCs w:val="24"/>
          <w:lang w:val="nl-NL"/>
        </w:rPr>
        <w:t>2009(15):37–44.</w:t>
      </w:r>
      <w:r w:rsidR="00403FC7" w:rsidRPr="00DF6F04">
        <w:rPr>
          <w:sz w:val="24"/>
          <w:szCs w:val="24"/>
          <w:lang w:val="nl-NL"/>
        </w:rPr>
        <w:t xml:space="preserve"> </w:t>
      </w:r>
      <w:r w:rsidR="00DF6F04" w:rsidRPr="00DF6F04">
        <w:rPr>
          <w:sz w:val="24"/>
          <w:szCs w:val="24"/>
          <w:lang w:val="nl-NL"/>
        </w:rPr>
        <w:t>DOI:10.1071/PY08053</w:t>
      </w:r>
    </w:p>
    <w:p w14:paraId="0F2206F0" w14:textId="77777777" w:rsidR="007615CC" w:rsidRPr="00DF6F04" w:rsidRDefault="007615CC" w:rsidP="007615CC">
      <w:pPr>
        <w:pStyle w:val="EndNoteBibliography"/>
        <w:spacing w:after="0"/>
        <w:ind w:left="705" w:hanging="705"/>
        <w:rPr>
          <w:sz w:val="24"/>
          <w:szCs w:val="24"/>
          <w:lang w:val="nl-NL"/>
        </w:rPr>
      </w:pPr>
    </w:p>
    <w:p w14:paraId="12E7C395" w14:textId="417CED0B" w:rsidR="007615CC" w:rsidRDefault="007615CC" w:rsidP="00DF6F04">
      <w:pPr>
        <w:pStyle w:val="EndNoteBibliography"/>
        <w:spacing w:after="0"/>
        <w:ind w:left="705" w:hanging="705"/>
        <w:rPr>
          <w:sz w:val="24"/>
          <w:szCs w:val="24"/>
          <w:lang w:val="en-US"/>
        </w:rPr>
      </w:pPr>
      <w:r w:rsidRPr="003E4C9B">
        <w:rPr>
          <w:sz w:val="24"/>
          <w:szCs w:val="24"/>
          <w:lang w:val="nl-NL"/>
        </w:rPr>
        <w:t>4</w:t>
      </w:r>
      <w:r w:rsidR="003E4C9B" w:rsidRPr="003E4C9B">
        <w:rPr>
          <w:sz w:val="24"/>
          <w:szCs w:val="24"/>
          <w:lang w:val="nl-NL"/>
        </w:rPr>
        <w:t>4</w:t>
      </w:r>
      <w:r w:rsidRPr="003E4C9B">
        <w:rPr>
          <w:sz w:val="24"/>
          <w:szCs w:val="24"/>
          <w:lang w:val="nl-NL"/>
        </w:rPr>
        <w:t>.</w:t>
      </w:r>
      <w:r w:rsidRPr="003E4C9B">
        <w:rPr>
          <w:sz w:val="24"/>
          <w:szCs w:val="24"/>
          <w:lang w:val="nl-NL"/>
        </w:rPr>
        <w:tab/>
      </w:r>
      <w:r w:rsidR="00DF6F04" w:rsidRPr="00DF6F04">
        <w:rPr>
          <w:sz w:val="24"/>
          <w:szCs w:val="24"/>
          <w:lang w:val="nl-NL"/>
        </w:rPr>
        <w:t xml:space="preserve">van de Pol MHJ, Fluit CRMG, Lagro J, Slaats Y, Olde Rikkert MGM, Lagro-Janssen ALM. </w:t>
      </w:r>
      <w:r w:rsidR="00DF6F04" w:rsidRPr="00DF6F04">
        <w:rPr>
          <w:sz w:val="24"/>
          <w:szCs w:val="24"/>
          <w:lang w:val="en-US"/>
        </w:rPr>
        <w:t>Shared decision making with frail older patients: Proposed teaching framework and practice recommendations. Gerontol Geriatr Educ. 2017 Oct-Dec;38(4):482-495. doi: 10.1080/02701960.2016.1276014. Epub 2016 Dec 27. PMID: 28027017.</w:t>
      </w:r>
    </w:p>
    <w:p w14:paraId="709E9BD4" w14:textId="77777777" w:rsidR="00DF6F04" w:rsidRPr="00DF6F04" w:rsidRDefault="00DF6F04" w:rsidP="00DF6F04">
      <w:pPr>
        <w:pStyle w:val="EndNoteBibliography"/>
        <w:spacing w:after="0"/>
        <w:ind w:left="705" w:hanging="705"/>
        <w:rPr>
          <w:sz w:val="24"/>
          <w:szCs w:val="24"/>
          <w:lang w:val="en-US"/>
        </w:rPr>
      </w:pPr>
    </w:p>
    <w:p w14:paraId="748648B9" w14:textId="7800E6D6" w:rsidR="00454F25" w:rsidRDefault="007B2333" w:rsidP="00454F25">
      <w:pPr>
        <w:pStyle w:val="EndNoteBibliography"/>
        <w:spacing w:after="0"/>
        <w:ind w:left="705" w:hanging="705"/>
        <w:rPr>
          <w:sz w:val="24"/>
          <w:szCs w:val="24"/>
          <w:lang w:val="en-US"/>
        </w:rPr>
      </w:pPr>
      <w:r w:rsidRPr="00005CBA">
        <w:rPr>
          <w:sz w:val="24"/>
          <w:szCs w:val="24"/>
          <w:lang w:val="nl-NL"/>
        </w:rPr>
        <w:t>4</w:t>
      </w:r>
      <w:r w:rsidR="003E4C9B" w:rsidRPr="00005CBA">
        <w:rPr>
          <w:sz w:val="24"/>
          <w:szCs w:val="24"/>
          <w:lang w:val="nl-NL"/>
        </w:rPr>
        <w:t>5</w:t>
      </w:r>
      <w:r w:rsidRPr="00005CBA">
        <w:rPr>
          <w:sz w:val="24"/>
          <w:szCs w:val="24"/>
          <w:lang w:val="nl-NL"/>
        </w:rPr>
        <w:t>.</w:t>
      </w:r>
      <w:r w:rsidRPr="00005CBA">
        <w:rPr>
          <w:sz w:val="24"/>
          <w:szCs w:val="24"/>
          <w:lang w:val="nl-NL"/>
        </w:rPr>
        <w:tab/>
      </w:r>
      <w:r w:rsidR="00005CBA" w:rsidRPr="00005CBA">
        <w:rPr>
          <w:sz w:val="24"/>
          <w:szCs w:val="24"/>
          <w:lang w:val="nl-NL"/>
        </w:rPr>
        <w:t xml:space="preserve">Janssen M, Sagasser MH, Fluit CRMG, Assendelft WJJ, de Graaf J, Scherpbier ND. </w:t>
      </w:r>
      <w:r w:rsidR="00005CBA" w:rsidRPr="00005CBA">
        <w:rPr>
          <w:sz w:val="24"/>
          <w:szCs w:val="24"/>
          <w:lang w:val="en-US"/>
        </w:rPr>
        <w:t>Competencies to promote collaboration between primary and secondary care doctors: an integrative review. BMC Fam Pract. 2020 Sep 2;21(1):179. doi: 10.1186/s12875-020-01234-6. PMID: 32878620; PMCID: PMC7469099.</w:t>
      </w:r>
    </w:p>
    <w:p w14:paraId="55A49395" w14:textId="77777777" w:rsidR="00005CBA" w:rsidRDefault="00005CBA" w:rsidP="00454F25">
      <w:pPr>
        <w:pStyle w:val="EndNoteBibliography"/>
        <w:spacing w:after="0"/>
        <w:ind w:left="705" w:hanging="705"/>
        <w:rPr>
          <w:sz w:val="24"/>
          <w:szCs w:val="24"/>
        </w:rPr>
      </w:pPr>
    </w:p>
    <w:p w14:paraId="30FE849A" w14:textId="549DE154" w:rsidR="00B06697" w:rsidRPr="00FD3EC8" w:rsidRDefault="00B06697" w:rsidP="00B06697">
      <w:pPr>
        <w:pStyle w:val="EndNoteBibliography"/>
        <w:spacing w:after="0"/>
        <w:ind w:left="705" w:hanging="705"/>
        <w:rPr>
          <w:sz w:val="24"/>
          <w:szCs w:val="24"/>
        </w:rPr>
      </w:pPr>
      <w:r>
        <w:rPr>
          <w:sz w:val="24"/>
          <w:szCs w:val="24"/>
        </w:rPr>
        <w:t>4</w:t>
      </w:r>
      <w:r w:rsidR="003E4C9B">
        <w:rPr>
          <w:sz w:val="24"/>
          <w:szCs w:val="24"/>
        </w:rPr>
        <w:t>6</w:t>
      </w:r>
      <w:r>
        <w:rPr>
          <w:sz w:val="24"/>
          <w:szCs w:val="24"/>
        </w:rPr>
        <w:t>.</w:t>
      </w:r>
      <w:r>
        <w:rPr>
          <w:sz w:val="24"/>
          <w:szCs w:val="24"/>
        </w:rPr>
        <w:tab/>
      </w:r>
      <w:r w:rsidRPr="00FD3EC8">
        <w:rPr>
          <w:sz w:val="24"/>
          <w:szCs w:val="24"/>
        </w:rPr>
        <w:t>Supper I, Catala O, Lustman M, Chemla C, Bourgueil Y, Letrilliart L. Interprofessional collaboration in primary health care: a review of facilitators and barriers perceived by involved actors. J Public Health (Oxf). 2015;37(4):716-27.</w:t>
      </w:r>
    </w:p>
    <w:p w14:paraId="070F9FDD" w14:textId="2F31E096" w:rsidR="00B06697" w:rsidRDefault="00B06697" w:rsidP="00454F25">
      <w:pPr>
        <w:pStyle w:val="EndNoteBibliography"/>
        <w:spacing w:after="0"/>
        <w:ind w:left="705" w:hanging="705"/>
        <w:rPr>
          <w:sz w:val="24"/>
          <w:szCs w:val="24"/>
        </w:rPr>
      </w:pPr>
    </w:p>
    <w:p w14:paraId="24B5E34B" w14:textId="101EB907" w:rsidR="00454F25" w:rsidRDefault="00454F25" w:rsidP="00454F25">
      <w:pPr>
        <w:pStyle w:val="EndNoteBibliography"/>
        <w:spacing w:after="0"/>
        <w:ind w:left="705" w:hanging="705"/>
        <w:rPr>
          <w:sz w:val="24"/>
          <w:szCs w:val="24"/>
          <w:lang w:val="en-US"/>
        </w:rPr>
      </w:pPr>
      <w:r>
        <w:rPr>
          <w:sz w:val="24"/>
          <w:szCs w:val="24"/>
          <w:lang w:val="en-US"/>
        </w:rPr>
        <w:t>4</w:t>
      </w:r>
      <w:r w:rsidR="003E4C9B">
        <w:rPr>
          <w:sz w:val="24"/>
          <w:szCs w:val="24"/>
          <w:lang w:val="en-US"/>
        </w:rPr>
        <w:t>7</w:t>
      </w:r>
      <w:r>
        <w:rPr>
          <w:sz w:val="24"/>
          <w:szCs w:val="24"/>
          <w:lang w:val="en-US"/>
        </w:rPr>
        <w:t>.</w:t>
      </w:r>
      <w:r>
        <w:rPr>
          <w:sz w:val="24"/>
          <w:szCs w:val="24"/>
          <w:lang w:val="en-US"/>
        </w:rPr>
        <w:tab/>
      </w:r>
      <w:r w:rsidR="002C3042" w:rsidRPr="002C3042">
        <w:rPr>
          <w:sz w:val="24"/>
          <w:szCs w:val="24"/>
          <w:lang w:val="en-US"/>
        </w:rPr>
        <w:t>Levinson W. Patient-centred communication: a sophisticated procedure. BMJ Qual Saf. 2011 Oct;20(10):823-5. doi: 10.1136/bmjqs-2011-000323. Epub 2011 Aug 19. PMID: 21856961.</w:t>
      </w:r>
    </w:p>
    <w:p w14:paraId="05ACF52C" w14:textId="77777777" w:rsidR="002C3042" w:rsidRDefault="002C3042" w:rsidP="00454F25">
      <w:pPr>
        <w:pStyle w:val="EndNoteBibliography"/>
        <w:spacing w:after="0"/>
        <w:ind w:left="705" w:hanging="705"/>
        <w:rPr>
          <w:sz w:val="24"/>
          <w:szCs w:val="24"/>
          <w:lang w:val="en-US"/>
        </w:rPr>
      </w:pPr>
    </w:p>
    <w:p w14:paraId="630789C8" w14:textId="35B9DBB0" w:rsidR="00454F25" w:rsidRPr="00FD3EC8" w:rsidRDefault="00454F25" w:rsidP="00454F25">
      <w:pPr>
        <w:pStyle w:val="EndNoteBibliography"/>
        <w:spacing w:after="0"/>
        <w:ind w:left="705" w:hanging="705"/>
        <w:rPr>
          <w:sz w:val="24"/>
          <w:szCs w:val="24"/>
        </w:rPr>
      </w:pPr>
      <w:r w:rsidRPr="003E4C9B">
        <w:rPr>
          <w:sz w:val="24"/>
          <w:szCs w:val="24"/>
          <w:lang w:val="de-DE"/>
        </w:rPr>
        <w:t>4</w:t>
      </w:r>
      <w:r w:rsidR="003E4C9B" w:rsidRPr="003E4C9B">
        <w:rPr>
          <w:sz w:val="24"/>
          <w:szCs w:val="24"/>
          <w:lang w:val="de-DE"/>
        </w:rPr>
        <w:t>8</w:t>
      </w:r>
      <w:r w:rsidRPr="003E4C9B">
        <w:rPr>
          <w:sz w:val="24"/>
          <w:szCs w:val="24"/>
          <w:lang w:val="de-DE"/>
        </w:rPr>
        <w:t>.</w:t>
      </w:r>
      <w:r w:rsidRPr="003E4C9B">
        <w:rPr>
          <w:sz w:val="24"/>
          <w:szCs w:val="24"/>
          <w:lang w:val="de-DE"/>
        </w:rPr>
        <w:tab/>
        <w:t xml:space="preserve">Dugdale DC, Epstein R, Pantilat SZ. </w:t>
      </w:r>
      <w:r w:rsidRPr="005E5C84">
        <w:rPr>
          <w:sz w:val="24"/>
          <w:szCs w:val="24"/>
        </w:rPr>
        <w:t>Time and the patient-physician relationship. J Gen Intern Med. 1999;14 Suppl 1(Suppl 1):S34-S40. doi:10.1046/j.1525-1497.1999.00263.x</w:t>
      </w:r>
      <w:r>
        <w:rPr>
          <w:sz w:val="24"/>
          <w:szCs w:val="24"/>
        </w:rPr>
        <w:t xml:space="preserve"> </w:t>
      </w:r>
    </w:p>
    <w:p w14:paraId="7BC97461" w14:textId="6A158D57" w:rsidR="00454F25" w:rsidRDefault="00454F25" w:rsidP="00454F25">
      <w:pPr>
        <w:pStyle w:val="EndNoteBibliography"/>
        <w:spacing w:after="0"/>
        <w:ind w:left="705" w:hanging="705"/>
        <w:rPr>
          <w:sz w:val="24"/>
          <w:szCs w:val="24"/>
        </w:rPr>
      </w:pPr>
    </w:p>
    <w:p w14:paraId="373CE66B" w14:textId="6CE231D2" w:rsidR="006505EA" w:rsidRDefault="003E4C9B" w:rsidP="00454F25">
      <w:pPr>
        <w:pStyle w:val="EndNoteBibliography"/>
        <w:spacing w:after="0"/>
        <w:ind w:left="705" w:hanging="705"/>
        <w:rPr>
          <w:sz w:val="24"/>
          <w:szCs w:val="24"/>
        </w:rPr>
      </w:pPr>
      <w:r>
        <w:rPr>
          <w:sz w:val="24"/>
          <w:szCs w:val="24"/>
        </w:rPr>
        <w:lastRenderedPageBreak/>
        <w:t>49</w:t>
      </w:r>
      <w:r w:rsidR="006505EA">
        <w:rPr>
          <w:sz w:val="24"/>
          <w:szCs w:val="24"/>
        </w:rPr>
        <w:t>.</w:t>
      </w:r>
      <w:r w:rsidR="006505EA">
        <w:rPr>
          <w:sz w:val="24"/>
          <w:szCs w:val="24"/>
        </w:rPr>
        <w:tab/>
      </w:r>
      <w:r w:rsidR="008C165C" w:rsidRPr="008C165C">
        <w:rPr>
          <w:sz w:val="24"/>
          <w:szCs w:val="24"/>
        </w:rPr>
        <w:t>Miller R, Scherpbier N, van Amsterdam L, Guedes V, Pype P. Inter-professional education and primary care: EFPC position paper. Prim Health Care Res Dev. 2019 Oct 4;20:e138. doi: 10.1017/S1463423619000653. PMID: 31581968; PMCID: PMC6784359.</w:t>
      </w:r>
    </w:p>
    <w:p w14:paraId="26095293" w14:textId="7AEC1270" w:rsidR="006505EA" w:rsidRPr="00FD3EC8" w:rsidRDefault="006505EA" w:rsidP="006505EA">
      <w:pPr>
        <w:pStyle w:val="EndNoteBibliography"/>
        <w:spacing w:after="0"/>
        <w:ind w:left="705" w:hanging="705"/>
        <w:rPr>
          <w:sz w:val="24"/>
          <w:szCs w:val="24"/>
        </w:rPr>
      </w:pPr>
      <w:r>
        <w:rPr>
          <w:sz w:val="24"/>
          <w:szCs w:val="24"/>
        </w:rPr>
        <w:tab/>
        <w:t xml:space="preserve"> </w:t>
      </w:r>
    </w:p>
    <w:p w14:paraId="29726E97" w14:textId="77777777" w:rsidR="006505EA" w:rsidRPr="00454F25" w:rsidRDefault="006505EA" w:rsidP="00454F25">
      <w:pPr>
        <w:pStyle w:val="EndNoteBibliography"/>
        <w:spacing w:after="0"/>
        <w:ind w:left="705" w:hanging="705"/>
        <w:rPr>
          <w:sz w:val="24"/>
          <w:szCs w:val="24"/>
        </w:rPr>
      </w:pPr>
    </w:p>
    <w:sectPr w:rsidR="006505EA" w:rsidRPr="00454F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F0"/>
    <w:rsid w:val="00005CBA"/>
    <w:rsid w:val="0009303C"/>
    <w:rsid w:val="000A4694"/>
    <w:rsid w:val="000B38EC"/>
    <w:rsid w:val="001C459B"/>
    <w:rsid w:val="002217B4"/>
    <w:rsid w:val="002C3042"/>
    <w:rsid w:val="0034733E"/>
    <w:rsid w:val="00372A60"/>
    <w:rsid w:val="003E4C9B"/>
    <w:rsid w:val="003F0880"/>
    <w:rsid w:val="00403FC7"/>
    <w:rsid w:val="00454F25"/>
    <w:rsid w:val="00475958"/>
    <w:rsid w:val="00475FA7"/>
    <w:rsid w:val="004B03A0"/>
    <w:rsid w:val="005537E8"/>
    <w:rsid w:val="00557D70"/>
    <w:rsid w:val="00560D77"/>
    <w:rsid w:val="006505EA"/>
    <w:rsid w:val="006C056E"/>
    <w:rsid w:val="006D2EF0"/>
    <w:rsid w:val="006F0836"/>
    <w:rsid w:val="007615CC"/>
    <w:rsid w:val="007677DA"/>
    <w:rsid w:val="007B2333"/>
    <w:rsid w:val="007B4D89"/>
    <w:rsid w:val="007C3EA7"/>
    <w:rsid w:val="008C165C"/>
    <w:rsid w:val="008D2152"/>
    <w:rsid w:val="008F333D"/>
    <w:rsid w:val="008F6822"/>
    <w:rsid w:val="009E32E9"/>
    <w:rsid w:val="00B06697"/>
    <w:rsid w:val="00BD3A7A"/>
    <w:rsid w:val="00CF2127"/>
    <w:rsid w:val="00CF5C96"/>
    <w:rsid w:val="00D04D3B"/>
    <w:rsid w:val="00D32001"/>
    <w:rsid w:val="00D573BA"/>
    <w:rsid w:val="00D60CF3"/>
    <w:rsid w:val="00D95C57"/>
    <w:rsid w:val="00DD7CDB"/>
    <w:rsid w:val="00DF26FE"/>
    <w:rsid w:val="00DF6F04"/>
    <w:rsid w:val="00E71463"/>
    <w:rsid w:val="00EA4C04"/>
    <w:rsid w:val="00F81AD7"/>
    <w:rsid w:val="00FB23D6"/>
    <w:rsid w:val="00FD2AE8"/>
    <w:rsid w:val="00FE1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93731"/>
  <w15:chartTrackingRefBased/>
  <w15:docId w15:val="{30D65302-60D8-4D08-A71A-A3F6B13E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2EF0"/>
    <w:rPr>
      <w:color w:val="0563C1" w:themeColor="hyperlink"/>
      <w:u w:val="single"/>
    </w:rPr>
  </w:style>
  <w:style w:type="character" w:customStyle="1" w:styleId="EndNoteBibliographyChar">
    <w:name w:val="EndNote Bibliography Char"/>
    <w:basedOn w:val="DefaultParagraphFont"/>
    <w:link w:val="EndNoteBibliography"/>
    <w:locked/>
    <w:rsid w:val="006D2EF0"/>
    <w:rPr>
      <w:rFonts w:ascii="Arial" w:hAnsi="Arial" w:cs="Arial"/>
      <w:noProof/>
      <w:sz w:val="20"/>
      <w:szCs w:val="20"/>
      <w:lang w:val="en-GB"/>
    </w:rPr>
  </w:style>
  <w:style w:type="paragraph" w:customStyle="1" w:styleId="EndNoteBibliography">
    <w:name w:val="EndNote Bibliography"/>
    <w:basedOn w:val="Normal"/>
    <w:link w:val="EndNoteBibliographyChar"/>
    <w:rsid w:val="006D2EF0"/>
    <w:pPr>
      <w:spacing w:line="240" w:lineRule="auto"/>
    </w:pPr>
    <w:rPr>
      <w:rFonts w:ascii="Arial" w:hAnsi="Arial" w:cs="Arial"/>
      <w:noProof/>
      <w:sz w:val="20"/>
      <w:szCs w:val="20"/>
      <w:lang w:val="en-GB"/>
    </w:rPr>
  </w:style>
  <w:style w:type="character" w:styleId="UnresolvedMention">
    <w:name w:val="Unresolved Mention"/>
    <w:basedOn w:val="DefaultParagraphFont"/>
    <w:uiPriority w:val="99"/>
    <w:semiHidden/>
    <w:unhideWhenUsed/>
    <w:rsid w:val="006F0836"/>
    <w:rPr>
      <w:color w:val="605E5C"/>
      <w:shd w:val="clear" w:color="auto" w:fill="E1DFDD"/>
    </w:rPr>
  </w:style>
  <w:style w:type="character" w:styleId="FollowedHyperlink">
    <w:name w:val="FollowedHyperlink"/>
    <w:basedOn w:val="DefaultParagraphFont"/>
    <w:uiPriority w:val="99"/>
    <w:semiHidden/>
    <w:unhideWhenUsed/>
    <w:rsid w:val="000A46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498971">
      <w:bodyDiv w:val="1"/>
      <w:marLeft w:val="0"/>
      <w:marRight w:val="0"/>
      <w:marTop w:val="0"/>
      <w:marBottom w:val="0"/>
      <w:divBdr>
        <w:top w:val="none" w:sz="0" w:space="0" w:color="auto"/>
        <w:left w:val="none" w:sz="0" w:space="0" w:color="auto"/>
        <w:bottom w:val="none" w:sz="0" w:space="0" w:color="auto"/>
        <w:right w:val="none" w:sz="0" w:space="0" w:color="auto"/>
      </w:divBdr>
      <w:divsChild>
        <w:div w:id="1237859297">
          <w:marLeft w:val="0"/>
          <w:marRight w:val="0"/>
          <w:marTop w:val="0"/>
          <w:marBottom w:val="0"/>
          <w:divBdr>
            <w:top w:val="none" w:sz="0" w:space="0" w:color="auto"/>
            <w:left w:val="none" w:sz="0" w:space="0" w:color="auto"/>
            <w:bottom w:val="none" w:sz="0" w:space="0" w:color="auto"/>
            <w:right w:val="none" w:sz="0" w:space="0" w:color="auto"/>
          </w:divBdr>
          <w:divsChild>
            <w:div w:id="1928617389">
              <w:marLeft w:val="0"/>
              <w:marRight w:val="0"/>
              <w:marTop w:val="0"/>
              <w:marBottom w:val="0"/>
              <w:divBdr>
                <w:top w:val="none" w:sz="0" w:space="0" w:color="auto"/>
                <w:left w:val="none" w:sz="0" w:space="0" w:color="auto"/>
                <w:bottom w:val="none" w:sz="0" w:space="0" w:color="auto"/>
                <w:right w:val="none" w:sz="0" w:space="0" w:color="auto"/>
              </w:divBdr>
            </w:div>
          </w:divsChild>
        </w:div>
        <w:div w:id="1292830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who.int/__data/assets/pdf_file/0005/322475/Integrated-care-models-overview.pdf?source=post_page---------------------------" TargetMode="External"/><Relationship Id="rId3" Type="http://schemas.openxmlformats.org/officeDocument/2006/relationships/settings" Target="settings.xml"/><Relationship Id="rId7" Type="http://schemas.openxmlformats.org/officeDocument/2006/relationships/hyperlink" Target="http://healthinnovationnetwork.com/system/ckeditor_assets/attachments/41/what_is_person-centred_care_and_why_is_it_important.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cmedsci.ac.uk/file-download/82222577" TargetMode="External"/><Relationship Id="rId5" Type="http://schemas.openxmlformats.org/officeDocument/2006/relationships/hyperlink" Target="https://www.who.int/news-room/fact-sheets/detail/noncommunicable-diseas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BB624-52C8-4F30-B244-9915D68BA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1895</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Michielsen</dc:creator>
  <cp:keywords/>
  <dc:description/>
  <cp:lastModifiedBy>Leslie Michielsen</cp:lastModifiedBy>
  <cp:revision>2</cp:revision>
  <cp:lastPrinted>2022-10-10T09:35:00Z</cp:lastPrinted>
  <dcterms:created xsi:type="dcterms:W3CDTF">2022-10-16T13:49:00Z</dcterms:created>
  <dcterms:modified xsi:type="dcterms:W3CDTF">2022-10-16T13:49:00Z</dcterms:modified>
</cp:coreProperties>
</file>