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7C8" w:rsidRDefault="00B067C8" w:rsidP="00B067C8">
      <w:pPr>
        <w:pStyle w:val="NoSpacing"/>
        <w:spacing w:before="240" w:line="48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Multimedia Appendix 4</w:t>
      </w:r>
      <w:r w:rsidRPr="006903EA"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Sleep tools </w:t>
      </w:r>
      <w:r w:rsidRPr="002A30D4">
        <w:rPr>
          <w:rFonts w:ascii="Times New Roman" w:hAnsi="Times New Roman" w:cs="Times New Roman"/>
          <w:sz w:val="24"/>
          <w:szCs w:val="24"/>
        </w:rPr>
        <w:t>(</w:t>
      </w:r>
      <w:r w:rsidRPr="002A30D4">
        <w:rPr>
          <w:rFonts w:ascii="Times New Roman" w:hAnsi="Times New Roman" w:cs="Times New Roman"/>
          <w:i/>
          <w:sz w:val="24"/>
          <w:szCs w:val="24"/>
        </w:rPr>
        <w:t xml:space="preserve">n </w:t>
      </w:r>
      <w:r w:rsidRPr="002A30D4">
        <w:rPr>
          <w:rFonts w:ascii="Times New Roman" w:hAnsi="Times New Roman" w:cs="Times New Roman"/>
          <w:sz w:val="24"/>
          <w:szCs w:val="24"/>
        </w:rPr>
        <w:t>= 1)</w:t>
      </w:r>
    </w:p>
    <w:tbl>
      <w:tblPr>
        <w:tblStyle w:val="TableGrid"/>
        <w:tblW w:w="1374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992"/>
        <w:gridCol w:w="993"/>
        <w:gridCol w:w="1701"/>
        <w:gridCol w:w="1275"/>
        <w:gridCol w:w="2977"/>
        <w:gridCol w:w="1276"/>
        <w:gridCol w:w="1276"/>
        <w:gridCol w:w="850"/>
      </w:tblGrid>
      <w:tr w:rsidR="00B067C8" w:rsidRPr="00DD5892" w:rsidTr="00B067C8">
        <w:tc>
          <w:tcPr>
            <w:tcW w:w="1413" w:type="dxa"/>
            <w:vMerge w:val="restart"/>
            <w:vAlign w:val="center"/>
          </w:tcPr>
          <w:p w:rsidR="00B067C8" w:rsidRPr="008100CC" w:rsidRDefault="00B067C8" w:rsidP="00C76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892">
              <w:rPr>
                <w:rFonts w:ascii="Times New Roman" w:hAnsi="Times New Roman" w:cs="Times New Roman"/>
                <w:b/>
                <w:sz w:val="24"/>
                <w:szCs w:val="24"/>
              </w:rPr>
              <w:t>Tool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B067C8" w:rsidRPr="00DD5892" w:rsidRDefault="00B067C8" w:rsidP="00C76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User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B067C8" w:rsidRPr="00DD5892" w:rsidRDefault="00B067C8" w:rsidP="00C76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Target Population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:rsidR="00B067C8" w:rsidRPr="00DD5892" w:rsidRDefault="00B067C8" w:rsidP="00C76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892">
              <w:rPr>
                <w:rFonts w:ascii="Times New Roman" w:hAnsi="Times New Roman" w:cs="Times New Roman"/>
                <w:b/>
                <w:sz w:val="24"/>
                <w:szCs w:val="24"/>
              </w:rPr>
              <w:t>Format</w:t>
            </w:r>
          </w:p>
        </w:tc>
        <w:tc>
          <w:tcPr>
            <w:tcW w:w="5953" w:type="dxa"/>
            <w:gridSpan w:val="3"/>
            <w:vAlign w:val="center"/>
          </w:tcPr>
          <w:p w:rsidR="00B067C8" w:rsidRPr="00DD5892" w:rsidRDefault="00B067C8" w:rsidP="00C76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RQ1</w:t>
            </w:r>
          </w:p>
        </w:tc>
        <w:tc>
          <w:tcPr>
            <w:tcW w:w="1276" w:type="dxa"/>
            <w:vMerge w:val="restart"/>
            <w:vAlign w:val="center"/>
          </w:tcPr>
          <w:p w:rsidR="00B067C8" w:rsidRPr="00DD5892" w:rsidRDefault="00B067C8" w:rsidP="00C76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RQ2</w:t>
            </w:r>
          </w:p>
        </w:tc>
        <w:tc>
          <w:tcPr>
            <w:tcW w:w="1276" w:type="dxa"/>
            <w:vMerge w:val="restart"/>
            <w:vAlign w:val="center"/>
          </w:tcPr>
          <w:p w:rsidR="00B067C8" w:rsidRPr="00C72146" w:rsidRDefault="00B067C8" w:rsidP="00C76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RQ3</w:t>
            </w:r>
            <w:r w:rsidR="00C7214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B067C8" w:rsidRPr="00DD5892" w:rsidRDefault="00B067C8" w:rsidP="00C76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References</w:t>
            </w:r>
          </w:p>
        </w:tc>
      </w:tr>
      <w:tr w:rsidR="00B067C8" w:rsidRPr="00DD5892" w:rsidTr="00B067C8">
        <w:trPr>
          <w:cantSplit/>
          <w:trHeight w:val="1134"/>
        </w:trPr>
        <w:tc>
          <w:tcPr>
            <w:tcW w:w="1413" w:type="dxa"/>
            <w:vMerge/>
          </w:tcPr>
          <w:p w:rsidR="00B067C8" w:rsidRPr="00DD5892" w:rsidRDefault="00B067C8" w:rsidP="00C76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067C8" w:rsidRPr="00DD5892" w:rsidRDefault="00B067C8" w:rsidP="00C76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067C8" w:rsidRPr="00DD5892" w:rsidRDefault="00B067C8" w:rsidP="00C76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B067C8" w:rsidRPr="00DD5892" w:rsidRDefault="00B067C8" w:rsidP="00C76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067C8" w:rsidRPr="00DD5892" w:rsidRDefault="00B067C8" w:rsidP="00C76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Guideline</w:t>
            </w:r>
          </w:p>
        </w:tc>
        <w:tc>
          <w:tcPr>
            <w:tcW w:w="1275" w:type="dxa"/>
            <w:vAlign w:val="center"/>
          </w:tcPr>
          <w:p w:rsidR="00B067C8" w:rsidRPr="00DD5892" w:rsidRDefault="00B067C8" w:rsidP="00C76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TMF</w:t>
            </w:r>
          </w:p>
        </w:tc>
        <w:tc>
          <w:tcPr>
            <w:tcW w:w="2977" w:type="dxa"/>
            <w:vAlign w:val="center"/>
          </w:tcPr>
          <w:p w:rsidR="00B067C8" w:rsidRPr="006C23DC" w:rsidRDefault="00B067C8" w:rsidP="00C76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vMerge/>
          </w:tcPr>
          <w:p w:rsidR="00B067C8" w:rsidRPr="00DD5892" w:rsidRDefault="00B067C8" w:rsidP="00C76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B067C8" w:rsidRPr="00DD5892" w:rsidRDefault="00B067C8" w:rsidP="00C76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067C8" w:rsidRPr="00DD5892" w:rsidRDefault="00B067C8" w:rsidP="00C76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67C8" w:rsidRPr="00DD5892" w:rsidTr="00B067C8">
        <w:tc>
          <w:tcPr>
            <w:tcW w:w="1413" w:type="dxa"/>
          </w:tcPr>
          <w:p w:rsidR="00B067C8" w:rsidRPr="00637773" w:rsidRDefault="00B067C8" w:rsidP="00C7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Sleep Health Materials</w:t>
            </w:r>
          </w:p>
        </w:tc>
        <w:tc>
          <w:tcPr>
            <w:tcW w:w="992" w:type="dxa"/>
          </w:tcPr>
          <w:p w:rsidR="00B067C8" w:rsidRDefault="00B067C8" w:rsidP="00C7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Pharmacists</w:t>
            </w:r>
          </w:p>
        </w:tc>
        <w:tc>
          <w:tcPr>
            <w:tcW w:w="992" w:type="dxa"/>
          </w:tcPr>
          <w:p w:rsidR="00B067C8" w:rsidRDefault="00B067C8" w:rsidP="00C7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Adults 18-64 years</w:t>
            </w:r>
          </w:p>
        </w:tc>
        <w:tc>
          <w:tcPr>
            <w:tcW w:w="993" w:type="dxa"/>
          </w:tcPr>
          <w:p w:rsidR="00B067C8" w:rsidRDefault="00B067C8" w:rsidP="00C7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</w:p>
        </w:tc>
        <w:tc>
          <w:tcPr>
            <w:tcW w:w="1701" w:type="dxa"/>
          </w:tcPr>
          <w:p w:rsidR="00B067C8" w:rsidRPr="00DD5892" w:rsidRDefault="00B067C8" w:rsidP="00C769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067C8" w:rsidRPr="00DD5892" w:rsidRDefault="00B067C8" w:rsidP="00C769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067C8" w:rsidRDefault="00B067C8" w:rsidP="00C7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22542">
              <w:rPr>
                <w:rFonts w:ascii="Times New Roman" w:hAnsi="Times New Roman" w:cs="Times New Roman"/>
                <w:sz w:val="24"/>
                <w:szCs w:val="24"/>
              </w:rPr>
              <w:t>-phase 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ehaviour change protocol and a checklist to record actions taken to counsel, provide written information, or refer adults to a physician. Phase </w:t>
            </w:r>
            <w:r w:rsidRPr="007225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(motivational protocol)</w:t>
            </w:r>
            <w:r w:rsidRPr="00722542">
              <w:rPr>
                <w:rFonts w:ascii="Times New Roman" w:hAnsi="Times New Roman" w:cs="Times New Roman"/>
                <w:sz w:val="24"/>
                <w:szCs w:val="24"/>
              </w:rPr>
              <w:t>: pharmacist training, screening for sleep disorders, referral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a physician</w:t>
            </w:r>
            <w:r w:rsidRPr="00722542">
              <w:rPr>
                <w:rFonts w:ascii="Times New Roman" w:hAnsi="Times New Roman" w:cs="Times New Roman"/>
                <w:sz w:val="24"/>
                <w:szCs w:val="24"/>
              </w:rPr>
              <w:t xml:space="preserve"> for those at high risk for sleep disorder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(R)</w:t>
            </w:r>
            <w:r w:rsidRPr="00722542">
              <w:rPr>
                <w:rFonts w:ascii="Times New Roman" w:hAnsi="Times New Roman" w:cs="Times New Roman"/>
                <w:sz w:val="24"/>
                <w:szCs w:val="24"/>
              </w:rPr>
              <w:t>,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nformation provision to adults about sleep health behaviour</w:t>
            </w:r>
            <w:r w:rsidRPr="00722542">
              <w:rPr>
                <w:rFonts w:ascii="Times New Roman" w:hAnsi="Times New Roman" w:cs="Times New Roman"/>
                <w:sz w:val="24"/>
                <w:szCs w:val="24"/>
              </w:rPr>
              <w:t>, counsellin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 strategies to influence change in sleep behaviour, and arrangement of follow up (C). Phase 2 (v</w:t>
            </w:r>
            <w:r w:rsidRPr="00722542">
              <w:rPr>
                <w:rFonts w:ascii="Times New Roman" w:hAnsi="Times New Roman" w:cs="Times New Roman"/>
                <w:sz w:val="24"/>
                <w:szCs w:val="24"/>
              </w:rPr>
              <w:t>oliti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onal protocol)</w:t>
            </w:r>
            <w:r w:rsidRPr="00722542">
              <w:rPr>
                <w:rFonts w:ascii="Times New Roman" w:hAnsi="Times New Roman" w:cs="Times New Roman"/>
                <w:sz w:val="24"/>
                <w:szCs w:val="24"/>
              </w:rPr>
              <w:t>: questionnaire to assess sleep health behaviour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(A)</w:t>
            </w:r>
            <w:r w:rsidRPr="00722542">
              <w:rPr>
                <w:rFonts w:ascii="Times New Roman" w:hAnsi="Times New Roman" w:cs="Times New Roman"/>
                <w:sz w:val="24"/>
                <w:szCs w:val="24"/>
              </w:rPr>
              <w:t>, referral uptake, impact of service on confidence in sleep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Checklist includes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sections on lifestyle (incl. documenting sleep environment issues and shift work), 1 section on medical history, and 1 section on sleep health (incl. sleep duration, dissatisfaction, and quality).</w:t>
            </w:r>
          </w:p>
        </w:tc>
        <w:tc>
          <w:tcPr>
            <w:tcW w:w="1276" w:type="dxa"/>
          </w:tcPr>
          <w:p w:rsidR="00B067C8" w:rsidRDefault="00B067C8" w:rsidP="00C7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8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satisfaction</w:t>
            </w:r>
          </w:p>
        </w:tc>
        <w:tc>
          <w:tcPr>
            <w:tcW w:w="1276" w:type="dxa"/>
          </w:tcPr>
          <w:p w:rsidR="00B067C8" w:rsidRPr="008E63B7" w:rsidRDefault="00B067C8" w:rsidP="00C769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583F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knowledge, confidence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(adults accessing care)</w:t>
            </w:r>
          </w:p>
          <w:p w:rsidR="00B067C8" w:rsidRDefault="00B067C8" w:rsidP="00C7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8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knowledge, frequency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(pharmacists)</w:t>
            </w:r>
          </w:p>
        </w:tc>
        <w:tc>
          <w:tcPr>
            <w:tcW w:w="850" w:type="dxa"/>
          </w:tcPr>
          <w:p w:rsidR="00B067C8" w:rsidRDefault="00B067C8" w:rsidP="00C7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Pr="00AD7FE5">
              <w:rPr>
                <w:rFonts w:ascii="Times New Roman" w:hAnsi="Times New Roman" w:cs="Times New Roman"/>
                <w:noProof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</w:p>
        </w:tc>
      </w:tr>
    </w:tbl>
    <w:p w:rsidR="00B067C8" w:rsidRPr="009F70FD" w:rsidRDefault="00B067C8" w:rsidP="00B067C8">
      <w:pPr>
        <w:pStyle w:val="NoSpacing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5C02B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a</w:t>
      </w:r>
      <w:proofErr w:type="gramEnd"/>
      <w:r w:rsidRPr="005C02B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(A) assessment; (C) = counselling; (P) = prescription; (R) = referral; (F) = follow-up</w:t>
      </w:r>
    </w:p>
    <w:p w:rsidR="00B067C8" w:rsidRDefault="00B067C8" w:rsidP="00C72146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72146">
        <w:rPr>
          <w:rFonts w:ascii="Times New Roman" w:hAnsi="Times New Roman" w:cs="Times New Roman"/>
          <w:sz w:val="24"/>
          <w:szCs w:val="24"/>
        </w:rPr>
        <w:t>Italicized text in parentheses that follows RQ2 or RQ3 outcomes indicates the population for which those outcomes apply to</w:t>
      </w:r>
    </w:p>
    <w:p w:rsidR="00B067C8" w:rsidRDefault="00B067C8" w:rsidP="00B067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583F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= positive perceptions/association</w:t>
      </w:r>
    </w:p>
    <w:p w:rsidR="00B067C8" w:rsidRDefault="00B067C8" w:rsidP="00B067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583F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= negative perceptions/association</w:t>
      </w:r>
    </w:p>
    <w:p w:rsidR="00B067C8" w:rsidRDefault="00B067C8" w:rsidP="00B067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583F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11583F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= mixed perceptions/association</w:t>
      </w:r>
    </w:p>
    <w:p w:rsidR="00B067C8" w:rsidRDefault="00B067C8" w:rsidP="00B067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583F">
        <w:rPr>
          <w:rFonts w:ascii="Times New Roman" w:hAnsi="Times New Roman" w:cs="Times New Roman"/>
          <w:sz w:val="24"/>
          <w:szCs w:val="24"/>
        </w:rPr>
        <w:t>↑</w:t>
      </w:r>
      <w:r>
        <w:rPr>
          <w:rFonts w:ascii="Times New Roman" w:hAnsi="Times New Roman" w:cs="Times New Roman"/>
          <w:sz w:val="24"/>
          <w:szCs w:val="24"/>
        </w:rPr>
        <w:t xml:space="preserve"> = increase in variable</w:t>
      </w:r>
    </w:p>
    <w:p w:rsidR="00B067C8" w:rsidRDefault="00B067C8" w:rsidP="00B067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583F">
        <w:rPr>
          <w:rFonts w:ascii="Times New Roman" w:hAnsi="Times New Roman" w:cs="Times New Roman"/>
          <w:sz w:val="24"/>
          <w:szCs w:val="24"/>
        </w:rPr>
        <w:t>↓</w:t>
      </w:r>
      <w:r>
        <w:rPr>
          <w:rFonts w:ascii="Times New Roman" w:hAnsi="Times New Roman" w:cs="Times New Roman"/>
          <w:sz w:val="24"/>
          <w:szCs w:val="24"/>
        </w:rPr>
        <w:t xml:space="preserve"> = decrease in variable</w:t>
      </w:r>
    </w:p>
    <w:p w:rsidR="00B067C8" w:rsidRDefault="00B067C8" w:rsidP="00B067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583F">
        <w:rPr>
          <w:rFonts w:ascii="Times New Roman" w:hAnsi="Times New Roman" w:cs="Times New Roman"/>
          <w:sz w:val="24"/>
          <w:szCs w:val="24"/>
        </w:rPr>
        <w:t>Ø</w:t>
      </w:r>
      <w:r>
        <w:rPr>
          <w:rFonts w:ascii="Times New Roman" w:hAnsi="Times New Roman" w:cs="Times New Roman"/>
          <w:sz w:val="24"/>
          <w:szCs w:val="24"/>
        </w:rPr>
        <w:t xml:space="preserve"> = no change in variable</w:t>
      </w:r>
    </w:p>
    <w:p w:rsidR="00B067C8" w:rsidRDefault="00B067C8" w:rsidP="00B067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N/A = not applicable/no results</w:t>
      </w:r>
    </w:p>
    <w:p w:rsidR="00E36711" w:rsidRDefault="00B067C8" w:rsidP="00B067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incl. = including</w:t>
      </w:r>
    </w:p>
    <w:p w:rsidR="00072AAC" w:rsidRDefault="00072AAC" w:rsidP="00B067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2AAC" w:rsidRDefault="00072AAC" w:rsidP="00B067C8">
      <w:pPr>
        <w:pStyle w:val="NoSpacing"/>
      </w:pPr>
      <w:bookmarkStart w:id="0" w:name="_GoBack"/>
      <w:bookmarkEnd w:id="0"/>
      <w:r w:rsidRPr="00806CDD">
        <w:rPr>
          <w:rFonts w:ascii="Times New Roman" w:hAnsi="Times New Roman" w:cs="Times New Roman"/>
          <w:sz w:val="24"/>
          <w:szCs w:val="24"/>
        </w:rPr>
        <w:t>TMF = theories, models, and frameworks</w:t>
      </w:r>
    </w:p>
    <w:sectPr w:rsidR="00072AAC" w:rsidSect="00B067C8">
      <w:headerReference w:type="default" r:id="rId6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570" w:rsidRDefault="00623570" w:rsidP="00B067C8">
      <w:pPr>
        <w:spacing w:after="0" w:line="240" w:lineRule="auto"/>
      </w:pPr>
      <w:r>
        <w:separator/>
      </w:r>
    </w:p>
  </w:endnote>
  <w:endnote w:type="continuationSeparator" w:id="0">
    <w:p w:rsidR="00623570" w:rsidRDefault="00623570" w:rsidP="00B06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570" w:rsidRDefault="00623570" w:rsidP="00B067C8">
      <w:pPr>
        <w:spacing w:after="0" w:line="240" w:lineRule="auto"/>
      </w:pPr>
      <w:r>
        <w:separator/>
      </w:r>
    </w:p>
  </w:footnote>
  <w:footnote w:type="continuationSeparator" w:id="0">
    <w:p w:rsidR="00623570" w:rsidRDefault="00623570" w:rsidP="00B06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55231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67C8" w:rsidRDefault="00B067C8">
        <w:pPr>
          <w:pStyle w:val="Header"/>
          <w:jc w:val="right"/>
        </w:pPr>
        <w:r w:rsidRPr="00B067C8">
          <w:rPr>
            <w:rFonts w:ascii="Times New Roman" w:hAnsi="Times New Roman" w:cs="Times New Roman"/>
            <w:sz w:val="24"/>
          </w:rPr>
          <w:fldChar w:fldCharType="begin"/>
        </w:r>
        <w:r w:rsidRPr="00B067C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067C8">
          <w:rPr>
            <w:rFonts w:ascii="Times New Roman" w:hAnsi="Times New Roman" w:cs="Times New Roman"/>
            <w:sz w:val="24"/>
          </w:rPr>
          <w:fldChar w:fldCharType="separate"/>
        </w:r>
        <w:r w:rsidR="00806CDD">
          <w:rPr>
            <w:rFonts w:ascii="Times New Roman" w:hAnsi="Times New Roman" w:cs="Times New Roman"/>
            <w:noProof/>
            <w:sz w:val="24"/>
          </w:rPr>
          <w:t>2</w:t>
        </w:r>
        <w:r w:rsidRPr="00B067C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B067C8" w:rsidRDefault="00B067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7C8"/>
    <w:rsid w:val="00072AAC"/>
    <w:rsid w:val="001D4A0C"/>
    <w:rsid w:val="003C0A4B"/>
    <w:rsid w:val="00623570"/>
    <w:rsid w:val="00806CDD"/>
    <w:rsid w:val="00AA0FCB"/>
    <w:rsid w:val="00AB794F"/>
    <w:rsid w:val="00B067C8"/>
    <w:rsid w:val="00C72146"/>
    <w:rsid w:val="00CA3AB6"/>
    <w:rsid w:val="00E36711"/>
    <w:rsid w:val="00FC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408B08-4D06-4836-9619-7D2AF4D79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7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6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067C8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B067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7C8"/>
  </w:style>
  <w:style w:type="paragraph" w:styleId="Footer">
    <w:name w:val="footer"/>
    <w:basedOn w:val="Normal"/>
    <w:link w:val="FooterChar"/>
    <w:uiPriority w:val="99"/>
    <w:unhideWhenUsed/>
    <w:rsid w:val="00B067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Morgan</dc:creator>
  <cp:keywords/>
  <dc:description/>
  <cp:lastModifiedBy>Tami Morgan</cp:lastModifiedBy>
  <cp:revision>5</cp:revision>
  <dcterms:created xsi:type="dcterms:W3CDTF">2022-04-21T17:16:00Z</dcterms:created>
  <dcterms:modified xsi:type="dcterms:W3CDTF">2023-05-05T14:22:00Z</dcterms:modified>
</cp:coreProperties>
</file>