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84658" w14:textId="3CE9C591" w:rsidR="00BA6AEF" w:rsidRPr="00722AEE" w:rsidRDefault="00DB11F7" w:rsidP="00BA6AEF">
      <w:pPr>
        <w:rPr>
          <w:rFonts w:ascii="Times New Roman" w:hAnsi="Times New Roman" w:cs="Times New Roman"/>
          <w:b/>
          <w:bCs/>
          <w:sz w:val="20"/>
          <w:szCs w:val="20"/>
          <w:lang w:val="en-AU"/>
        </w:rPr>
      </w:pPr>
      <w:r w:rsidRPr="00722AEE">
        <w:rPr>
          <w:rFonts w:ascii="Times New Roman" w:hAnsi="Times New Roman" w:cs="Times New Roman"/>
          <w:b/>
          <w:bCs/>
          <w:sz w:val="20"/>
          <w:szCs w:val="20"/>
          <w:lang w:val="en-AU"/>
        </w:rPr>
        <w:t>Supplementary</w:t>
      </w:r>
      <w:r w:rsidR="00BA6AEF" w:rsidRPr="00722AEE">
        <w:rPr>
          <w:rFonts w:ascii="Times New Roman" w:hAnsi="Times New Roman" w:cs="Times New Roman"/>
          <w:b/>
          <w:bCs/>
          <w:sz w:val="20"/>
          <w:szCs w:val="20"/>
          <w:lang w:val="en-AU"/>
        </w:rPr>
        <w:t xml:space="preserve"> information </w:t>
      </w:r>
    </w:p>
    <w:p w14:paraId="7DD028AE" w14:textId="77777777" w:rsidR="00E26377" w:rsidRPr="00722AEE" w:rsidRDefault="00E26377" w:rsidP="00E26377">
      <w:pPr>
        <w:spacing w:line="240" w:lineRule="auto"/>
        <w:rPr>
          <w:rFonts w:ascii="Times New Roman" w:hAnsi="Times New Roman" w:cs="Times New Roman"/>
          <w:b/>
          <w:bCs/>
          <w:sz w:val="20"/>
          <w:szCs w:val="20"/>
        </w:rPr>
      </w:pPr>
      <w:r w:rsidRPr="00722AEE">
        <w:rPr>
          <w:rFonts w:ascii="Times New Roman" w:hAnsi="Times New Roman" w:cs="Times New Roman"/>
          <w:b/>
          <w:bCs/>
          <w:sz w:val="20"/>
          <w:szCs w:val="20"/>
          <w:lang w:val="en-GB" w:eastAsia="en-GB"/>
        </w:rPr>
        <w:t xml:space="preserve">Table S1: </w:t>
      </w:r>
      <w:r w:rsidRPr="00722AEE">
        <w:rPr>
          <w:rFonts w:ascii="Times New Roman" w:hAnsi="Times New Roman" w:cs="Times New Roman"/>
          <w:b/>
          <w:bCs/>
          <w:sz w:val="20"/>
          <w:szCs w:val="20"/>
        </w:rPr>
        <w:t>Preferred Reporting Items for Systematic reviews and Meta-Analyses extension for Scoping Reviews (PRISMA-ScR) Checklist</w:t>
      </w:r>
    </w:p>
    <w:tbl>
      <w:tblPr>
        <w:tblStyle w:val="TableGridLigh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5"/>
        <w:gridCol w:w="750"/>
        <w:gridCol w:w="5815"/>
        <w:gridCol w:w="1046"/>
      </w:tblGrid>
      <w:tr w:rsidR="00E26377" w:rsidRPr="00722AEE" w14:paraId="268F5C07" w14:textId="77777777" w:rsidTr="000F5A18">
        <w:trPr>
          <w:tblHeader/>
        </w:trPr>
        <w:tc>
          <w:tcPr>
            <w:tcW w:w="0" w:type="auto"/>
            <w:shd w:val="clear" w:color="auto" w:fill="auto"/>
            <w:vAlign w:val="center"/>
          </w:tcPr>
          <w:p w14:paraId="35B5A9F3" w14:textId="77777777" w:rsidR="00E26377" w:rsidRPr="00722AEE" w:rsidRDefault="00E26377" w:rsidP="000F5A18">
            <w:pPr>
              <w:rPr>
                <w:rFonts w:ascii="Times New Roman" w:hAnsi="Times New Roman" w:cs="Times New Roman"/>
                <w:b/>
                <w:bCs/>
                <w:sz w:val="20"/>
                <w:szCs w:val="20"/>
              </w:rPr>
            </w:pPr>
            <w:r w:rsidRPr="00722AEE">
              <w:rPr>
                <w:rFonts w:ascii="Times New Roman" w:hAnsi="Times New Roman" w:cs="Times New Roman"/>
                <w:b/>
                <w:bCs/>
                <w:sz w:val="20"/>
                <w:szCs w:val="20"/>
              </w:rPr>
              <w:t>SECTION</w:t>
            </w:r>
          </w:p>
        </w:tc>
        <w:tc>
          <w:tcPr>
            <w:tcW w:w="0" w:type="auto"/>
            <w:shd w:val="clear" w:color="auto" w:fill="auto"/>
            <w:vAlign w:val="center"/>
          </w:tcPr>
          <w:p w14:paraId="1545AA2B" w14:textId="77777777" w:rsidR="00E26377" w:rsidRPr="00722AEE" w:rsidRDefault="00E26377" w:rsidP="000F5A18">
            <w:pPr>
              <w:rPr>
                <w:rFonts w:ascii="Times New Roman" w:hAnsi="Times New Roman" w:cs="Times New Roman"/>
                <w:b/>
                <w:bCs/>
                <w:sz w:val="20"/>
                <w:szCs w:val="20"/>
              </w:rPr>
            </w:pPr>
            <w:r w:rsidRPr="00722AEE">
              <w:rPr>
                <w:rFonts w:ascii="Times New Roman" w:hAnsi="Times New Roman" w:cs="Times New Roman"/>
                <w:b/>
                <w:bCs/>
                <w:sz w:val="20"/>
                <w:szCs w:val="20"/>
              </w:rPr>
              <w:t>ITEM</w:t>
            </w:r>
          </w:p>
        </w:tc>
        <w:tc>
          <w:tcPr>
            <w:tcW w:w="9613" w:type="dxa"/>
            <w:shd w:val="clear" w:color="auto" w:fill="auto"/>
            <w:vAlign w:val="center"/>
          </w:tcPr>
          <w:p w14:paraId="2C9DF3C3" w14:textId="77777777" w:rsidR="00E26377" w:rsidRPr="00722AEE" w:rsidRDefault="00E26377" w:rsidP="000F5A18">
            <w:pPr>
              <w:rPr>
                <w:rFonts w:ascii="Times New Roman" w:hAnsi="Times New Roman" w:cs="Times New Roman"/>
                <w:b/>
                <w:bCs/>
                <w:sz w:val="20"/>
                <w:szCs w:val="20"/>
              </w:rPr>
            </w:pPr>
            <w:r w:rsidRPr="00722AEE">
              <w:rPr>
                <w:rFonts w:ascii="Times New Roman" w:hAnsi="Times New Roman" w:cs="Times New Roman"/>
                <w:b/>
                <w:bCs/>
                <w:sz w:val="20"/>
                <w:szCs w:val="20"/>
              </w:rPr>
              <w:t>PRISMA-ScR CHECKLIST ITEM</w:t>
            </w:r>
          </w:p>
        </w:tc>
        <w:tc>
          <w:tcPr>
            <w:tcW w:w="1053" w:type="dxa"/>
            <w:shd w:val="clear" w:color="auto" w:fill="auto"/>
            <w:vAlign w:val="center"/>
          </w:tcPr>
          <w:p w14:paraId="429D45E6" w14:textId="549A536F" w:rsidR="00E26377" w:rsidRPr="00564D76" w:rsidRDefault="00E26377" w:rsidP="000F5A18">
            <w:pPr>
              <w:rPr>
                <w:rFonts w:ascii="Times New Roman" w:hAnsi="Times New Roman" w:cs="Times New Roman"/>
                <w:b/>
                <w:bCs/>
                <w:sz w:val="20"/>
                <w:szCs w:val="20"/>
              </w:rPr>
            </w:pPr>
            <w:r w:rsidRPr="00564D76">
              <w:rPr>
                <w:rFonts w:ascii="Times New Roman" w:hAnsi="Times New Roman" w:cs="Times New Roman"/>
                <w:b/>
                <w:bCs/>
                <w:sz w:val="20"/>
                <w:szCs w:val="20"/>
              </w:rPr>
              <w:t>Page #</w:t>
            </w:r>
          </w:p>
        </w:tc>
      </w:tr>
      <w:tr w:rsidR="00E26377" w:rsidRPr="00722AEE" w14:paraId="3D073678" w14:textId="77777777" w:rsidTr="000F5A18">
        <w:tc>
          <w:tcPr>
            <w:tcW w:w="0" w:type="auto"/>
            <w:gridSpan w:val="4"/>
            <w:shd w:val="clear" w:color="auto" w:fill="auto"/>
            <w:vAlign w:val="center"/>
          </w:tcPr>
          <w:p w14:paraId="64CA395B" w14:textId="77777777" w:rsidR="00E26377" w:rsidRPr="00564D76" w:rsidRDefault="00E26377" w:rsidP="000F5A18">
            <w:pPr>
              <w:rPr>
                <w:rFonts w:ascii="Times New Roman" w:hAnsi="Times New Roman" w:cs="Times New Roman"/>
                <w:sz w:val="20"/>
                <w:szCs w:val="20"/>
              </w:rPr>
            </w:pPr>
            <w:r w:rsidRPr="00564D76">
              <w:rPr>
                <w:rFonts w:ascii="Times New Roman" w:hAnsi="Times New Roman" w:cs="Times New Roman"/>
                <w:sz w:val="20"/>
                <w:szCs w:val="20"/>
              </w:rPr>
              <w:t>TITLE</w:t>
            </w:r>
          </w:p>
        </w:tc>
      </w:tr>
      <w:tr w:rsidR="00E26377" w:rsidRPr="00722AEE" w14:paraId="365C003A" w14:textId="77777777" w:rsidTr="000F5A18">
        <w:tc>
          <w:tcPr>
            <w:tcW w:w="0" w:type="auto"/>
            <w:shd w:val="clear" w:color="auto" w:fill="auto"/>
            <w:vAlign w:val="center"/>
          </w:tcPr>
          <w:p w14:paraId="58C16E56"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Title</w:t>
            </w:r>
          </w:p>
        </w:tc>
        <w:tc>
          <w:tcPr>
            <w:tcW w:w="0" w:type="auto"/>
            <w:shd w:val="clear" w:color="auto" w:fill="auto"/>
            <w:vAlign w:val="center"/>
          </w:tcPr>
          <w:p w14:paraId="0FB2C3CB"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1</w:t>
            </w:r>
          </w:p>
        </w:tc>
        <w:tc>
          <w:tcPr>
            <w:tcW w:w="9613" w:type="dxa"/>
            <w:shd w:val="clear" w:color="auto" w:fill="auto"/>
            <w:vAlign w:val="center"/>
          </w:tcPr>
          <w:p w14:paraId="580E0176"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Identify the report as a scoping review.</w:t>
            </w:r>
          </w:p>
        </w:tc>
        <w:tc>
          <w:tcPr>
            <w:tcW w:w="1053" w:type="dxa"/>
            <w:shd w:val="clear" w:color="auto" w:fill="auto"/>
            <w:vAlign w:val="center"/>
          </w:tcPr>
          <w:p w14:paraId="2C5AE6FB" w14:textId="16FA2B97" w:rsidR="00E26377" w:rsidRPr="00564D76" w:rsidRDefault="00E26377" w:rsidP="000F5A18">
            <w:pPr>
              <w:rPr>
                <w:rFonts w:ascii="Times New Roman" w:hAnsi="Times New Roman" w:cs="Times New Roman"/>
                <w:sz w:val="20"/>
                <w:szCs w:val="20"/>
              </w:rPr>
            </w:pPr>
            <w:r w:rsidRPr="00564D76">
              <w:rPr>
                <w:rFonts w:ascii="Times New Roman" w:hAnsi="Times New Roman" w:cs="Times New Roman"/>
                <w:sz w:val="20"/>
                <w:szCs w:val="20"/>
              </w:rPr>
              <w:t>Page 1,</w:t>
            </w:r>
          </w:p>
        </w:tc>
      </w:tr>
      <w:tr w:rsidR="00E26377" w:rsidRPr="00722AEE" w14:paraId="3FA97395" w14:textId="77777777" w:rsidTr="000F5A18">
        <w:tc>
          <w:tcPr>
            <w:tcW w:w="0" w:type="auto"/>
            <w:gridSpan w:val="4"/>
            <w:shd w:val="clear" w:color="auto" w:fill="auto"/>
            <w:vAlign w:val="center"/>
          </w:tcPr>
          <w:p w14:paraId="02819122" w14:textId="77777777" w:rsidR="00E26377" w:rsidRPr="00564D76" w:rsidRDefault="00E26377" w:rsidP="000F5A18">
            <w:pPr>
              <w:rPr>
                <w:rFonts w:ascii="Times New Roman" w:hAnsi="Times New Roman" w:cs="Times New Roman"/>
                <w:sz w:val="20"/>
                <w:szCs w:val="20"/>
              </w:rPr>
            </w:pPr>
            <w:r w:rsidRPr="00564D76">
              <w:rPr>
                <w:rFonts w:ascii="Times New Roman" w:hAnsi="Times New Roman" w:cs="Times New Roman"/>
                <w:sz w:val="20"/>
                <w:szCs w:val="20"/>
              </w:rPr>
              <w:t>ABSTRACT</w:t>
            </w:r>
          </w:p>
        </w:tc>
      </w:tr>
      <w:tr w:rsidR="00E26377" w:rsidRPr="00722AEE" w14:paraId="5EA26411" w14:textId="77777777" w:rsidTr="000F5A18">
        <w:tc>
          <w:tcPr>
            <w:tcW w:w="0" w:type="auto"/>
            <w:shd w:val="clear" w:color="auto" w:fill="auto"/>
            <w:vAlign w:val="center"/>
          </w:tcPr>
          <w:p w14:paraId="62C3F7BE"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Structured summary</w:t>
            </w:r>
          </w:p>
        </w:tc>
        <w:tc>
          <w:tcPr>
            <w:tcW w:w="0" w:type="auto"/>
            <w:shd w:val="clear" w:color="auto" w:fill="auto"/>
            <w:vAlign w:val="center"/>
          </w:tcPr>
          <w:p w14:paraId="130411FD"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2</w:t>
            </w:r>
          </w:p>
        </w:tc>
        <w:tc>
          <w:tcPr>
            <w:tcW w:w="9613" w:type="dxa"/>
            <w:shd w:val="clear" w:color="auto" w:fill="auto"/>
            <w:vAlign w:val="center"/>
          </w:tcPr>
          <w:p w14:paraId="1E32C1D9"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Provide a structured summary that includes (as applicable): background, objectives, eligibility criteria, sources of evidence, charting methods, results, and conclusions that relate to the review questions and objectives.</w:t>
            </w:r>
          </w:p>
        </w:tc>
        <w:sdt>
          <w:sdtPr>
            <w:rPr>
              <w:rFonts w:ascii="Times New Roman" w:hAnsi="Times New Roman" w:cs="Times New Roman"/>
              <w:sz w:val="20"/>
              <w:szCs w:val="20"/>
            </w:rPr>
            <w:id w:val="1190178197"/>
            <w:placeholder>
              <w:docPart w:val="37A2DBC88CDA4ADB87A37E9180B4ED03"/>
            </w:placeholder>
          </w:sdtPr>
          <w:sdtEndPr/>
          <w:sdtContent>
            <w:tc>
              <w:tcPr>
                <w:tcW w:w="1053" w:type="dxa"/>
                <w:shd w:val="clear" w:color="auto" w:fill="auto"/>
                <w:vAlign w:val="center"/>
              </w:tcPr>
              <w:p w14:paraId="1C435862" w14:textId="77777777" w:rsidR="00E26377" w:rsidRPr="00564D76" w:rsidRDefault="00E107A0" w:rsidP="000F5A18">
                <w:pPr>
                  <w:rPr>
                    <w:rFonts w:ascii="Times New Roman" w:hAnsi="Times New Roman" w:cs="Times New Roman"/>
                    <w:sz w:val="20"/>
                    <w:szCs w:val="20"/>
                  </w:rPr>
                </w:pPr>
                <w:sdt>
                  <w:sdtPr>
                    <w:rPr>
                      <w:rFonts w:ascii="Times New Roman" w:hAnsi="Times New Roman" w:cs="Times New Roman"/>
                      <w:sz w:val="20"/>
                      <w:szCs w:val="20"/>
                    </w:rPr>
                    <w:id w:val="-1886790070"/>
                    <w:placeholder>
                      <w:docPart w:val="9EC70F6910B147B18F074C1BC738FD3C"/>
                    </w:placeholder>
                  </w:sdtPr>
                  <w:sdtEndPr/>
                  <w:sdtContent>
                    <w:r w:rsidR="00E26377" w:rsidRPr="00564D76">
                      <w:rPr>
                        <w:rFonts w:ascii="Times New Roman" w:hAnsi="Times New Roman" w:cs="Times New Roman"/>
                        <w:sz w:val="20"/>
                        <w:szCs w:val="20"/>
                      </w:rPr>
                      <w:t>Page 2</w:t>
                    </w:r>
                  </w:sdtContent>
                </w:sdt>
              </w:p>
            </w:tc>
          </w:sdtContent>
        </w:sdt>
      </w:tr>
      <w:tr w:rsidR="00E26377" w:rsidRPr="00722AEE" w14:paraId="09797676" w14:textId="77777777" w:rsidTr="000F5A18">
        <w:tc>
          <w:tcPr>
            <w:tcW w:w="0" w:type="auto"/>
            <w:gridSpan w:val="4"/>
            <w:shd w:val="clear" w:color="auto" w:fill="auto"/>
            <w:vAlign w:val="center"/>
          </w:tcPr>
          <w:p w14:paraId="16E5D06C" w14:textId="77777777" w:rsidR="00E26377" w:rsidRPr="00564D76" w:rsidRDefault="00E26377" w:rsidP="000F5A18">
            <w:pPr>
              <w:rPr>
                <w:rFonts w:ascii="Times New Roman" w:hAnsi="Times New Roman" w:cs="Times New Roman"/>
                <w:sz w:val="20"/>
                <w:szCs w:val="20"/>
              </w:rPr>
            </w:pPr>
            <w:r w:rsidRPr="00564D76">
              <w:rPr>
                <w:rFonts w:ascii="Times New Roman" w:hAnsi="Times New Roman" w:cs="Times New Roman"/>
                <w:sz w:val="20"/>
                <w:szCs w:val="20"/>
              </w:rPr>
              <w:t>INTRODUCTION</w:t>
            </w:r>
          </w:p>
        </w:tc>
      </w:tr>
      <w:tr w:rsidR="00E26377" w:rsidRPr="00722AEE" w14:paraId="24B5E0D2" w14:textId="77777777" w:rsidTr="000F5A18">
        <w:trPr>
          <w:trHeight w:val="530"/>
        </w:trPr>
        <w:tc>
          <w:tcPr>
            <w:tcW w:w="0" w:type="auto"/>
            <w:shd w:val="clear" w:color="auto" w:fill="auto"/>
            <w:vAlign w:val="center"/>
          </w:tcPr>
          <w:p w14:paraId="13C23B53"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Rationale</w:t>
            </w:r>
          </w:p>
        </w:tc>
        <w:tc>
          <w:tcPr>
            <w:tcW w:w="0" w:type="auto"/>
            <w:shd w:val="clear" w:color="auto" w:fill="auto"/>
            <w:vAlign w:val="center"/>
          </w:tcPr>
          <w:p w14:paraId="1D6AAA4F"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3</w:t>
            </w:r>
          </w:p>
        </w:tc>
        <w:tc>
          <w:tcPr>
            <w:tcW w:w="9613" w:type="dxa"/>
            <w:shd w:val="clear" w:color="auto" w:fill="auto"/>
            <w:vAlign w:val="center"/>
          </w:tcPr>
          <w:p w14:paraId="2014534C"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Describe the rationale for the review in the context of what is already known. Explain why the review questions/objectives lend themselves to a scoping review approach.</w:t>
            </w:r>
          </w:p>
        </w:tc>
        <w:sdt>
          <w:sdtPr>
            <w:rPr>
              <w:rFonts w:ascii="Times New Roman" w:hAnsi="Times New Roman" w:cs="Times New Roman"/>
              <w:sz w:val="20"/>
              <w:szCs w:val="20"/>
            </w:rPr>
            <w:id w:val="56057269"/>
            <w:placeholder>
              <w:docPart w:val="37A2DBC88CDA4ADB87A37E9180B4ED03"/>
            </w:placeholder>
          </w:sdtPr>
          <w:sdtEndPr/>
          <w:sdtContent>
            <w:tc>
              <w:tcPr>
                <w:tcW w:w="1053" w:type="dxa"/>
                <w:shd w:val="clear" w:color="auto" w:fill="auto"/>
                <w:vAlign w:val="center"/>
              </w:tcPr>
              <w:p w14:paraId="46CC3FBC" w14:textId="06781827" w:rsidR="00E26377" w:rsidRPr="00564D76" w:rsidRDefault="00E26377" w:rsidP="000F5A18">
                <w:pPr>
                  <w:rPr>
                    <w:rFonts w:ascii="Times New Roman" w:hAnsi="Times New Roman" w:cs="Times New Roman"/>
                    <w:sz w:val="20"/>
                    <w:szCs w:val="20"/>
                  </w:rPr>
                </w:pPr>
                <w:r w:rsidRPr="00564D76">
                  <w:rPr>
                    <w:rFonts w:ascii="Times New Roman" w:hAnsi="Times New Roman" w:cs="Times New Roman"/>
                    <w:sz w:val="20"/>
                    <w:szCs w:val="20"/>
                  </w:rPr>
                  <w:t xml:space="preserve">Page </w:t>
                </w:r>
                <w:r w:rsidR="00815BBF" w:rsidRPr="00564D76">
                  <w:rPr>
                    <w:rFonts w:ascii="Times New Roman" w:hAnsi="Times New Roman" w:cs="Times New Roman"/>
                    <w:sz w:val="20"/>
                    <w:szCs w:val="20"/>
                    <w:lang w:val="en-AU"/>
                  </w:rPr>
                  <w:t>4</w:t>
                </w:r>
              </w:p>
            </w:tc>
          </w:sdtContent>
        </w:sdt>
      </w:tr>
      <w:tr w:rsidR="00E26377" w:rsidRPr="00722AEE" w14:paraId="41FA4F93" w14:textId="77777777" w:rsidTr="000F5A18">
        <w:trPr>
          <w:trHeight w:val="800"/>
        </w:trPr>
        <w:tc>
          <w:tcPr>
            <w:tcW w:w="0" w:type="auto"/>
            <w:shd w:val="clear" w:color="auto" w:fill="auto"/>
            <w:vAlign w:val="center"/>
          </w:tcPr>
          <w:p w14:paraId="707EA3BD"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Objectives</w:t>
            </w:r>
          </w:p>
        </w:tc>
        <w:tc>
          <w:tcPr>
            <w:tcW w:w="0" w:type="auto"/>
            <w:shd w:val="clear" w:color="auto" w:fill="auto"/>
            <w:vAlign w:val="center"/>
          </w:tcPr>
          <w:p w14:paraId="455C867E"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4</w:t>
            </w:r>
          </w:p>
        </w:tc>
        <w:tc>
          <w:tcPr>
            <w:tcW w:w="9613" w:type="dxa"/>
            <w:shd w:val="clear" w:color="auto" w:fill="auto"/>
            <w:vAlign w:val="center"/>
          </w:tcPr>
          <w:p w14:paraId="09A05AEE"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Times New Roman" w:hAnsi="Times New Roman" w:cs="Times New Roman"/>
              <w:sz w:val="20"/>
              <w:szCs w:val="20"/>
            </w:rPr>
            <w:id w:val="-1797599034"/>
            <w:placeholder>
              <w:docPart w:val="37A2DBC88CDA4ADB87A37E9180B4ED03"/>
            </w:placeholder>
          </w:sdtPr>
          <w:sdtEndPr/>
          <w:sdtContent>
            <w:sdt>
              <w:sdtPr>
                <w:rPr>
                  <w:rFonts w:ascii="Times New Roman" w:hAnsi="Times New Roman" w:cs="Times New Roman"/>
                  <w:sz w:val="20"/>
                  <w:szCs w:val="20"/>
                </w:rPr>
                <w:id w:val="-398823119"/>
                <w:placeholder>
                  <w:docPart w:val="DBA25F150BFC483CB1B49F10F37ECC1E"/>
                </w:placeholder>
              </w:sdtPr>
              <w:sdtEndPr/>
              <w:sdtContent>
                <w:tc>
                  <w:tcPr>
                    <w:tcW w:w="1053" w:type="dxa"/>
                    <w:shd w:val="clear" w:color="auto" w:fill="auto"/>
                    <w:vAlign w:val="center"/>
                  </w:tcPr>
                  <w:p w14:paraId="67CD170E" w14:textId="10C4AE9E" w:rsidR="00E26377" w:rsidRPr="00564D76" w:rsidRDefault="00E26377" w:rsidP="000F5A18">
                    <w:pPr>
                      <w:rPr>
                        <w:rFonts w:ascii="Times New Roman" w:hAnsi="Times New Roman" w:cs="Times New Roman"/>
                        <w:sz w:val="20"/>
                        <w:szCs w:val="20"/>
                      </w:rPr>
                    </w:pPr>
                    <w:r w:rsidRPr="00564D76">
                      <w:rPr>
                        <w:rFonts w:ascii="Times New Roman" w:hAnsi="Times New Roman" w:cs="Times New Roman"/>
                        <w:sz w:val="20"/>
                        <w:szCs w:val="20"/>
                      </w:rPr>
                      <w:t xml:space="preserve">Page </w:t>
                    </w:r>
                    <w:r w:rsidR="00815BBF" w:rsidRPr="00564D76">
                      <w:rPr>
                        <w:rFonts w:ascii="Times New Roman" w:hAnsi="Times New Roman" w:cs="Times New Roman"/>
                        <w:sz w:val="20"/>
                        <w:szCs w:val="20"/>
                        <w:lang w:val="en-AU"/>
                      </w:rPr>
                      <w:t>4</w:t>
                    </w:r>
                  </w:p>
                </w:tc>
              </w:sdtContent>
            </w:sdt>
          </w:sdtContent>
        </w:sdt>
      </w:tr>
      <w:tr w:rsidR="00E26377" w:rsidRPr="00722AEE" w14:paraId="2DC3CE8D" w14:textId="77777777" w:rsidTr="000F5A18">
        <w:tc>
          <w:tcPr>
            <w:tcW w:w="0" w:type="auto"/>
            <w:gridSpan w:val="4"/>
            <w:shd w:val="clear" w:color="auto" w:fill="auto"/>
            <w:vAlign w:val="center"/>
          </w:tcPr>
          <w:p w14:paraId="3ACB8BED" w14:textId="77777777" w:rsidR="00E26377" w:rsidRPr="00564D76" w:rsidRDefault="00E26377" w:rsidP="000F5A18">
            <w:pPr>
              <w:rPr>
                <w:rFonts w:ascii="Times New Roman" w:hAnsi="Times New Roman" w:cs="Times New Roman"/>
                <w:sz w:val="20"/>
                <w:szCs w:val="20"/>
              </w:rPr>
            </w:pPr>
            <w:r w:rsidRPr="00564D76">
              <w:rPr>
                <w:rFonts w:ascii="Times New Roman" w:hAnsi="Times New Roman" w:cs="Times New Roman"/>
                <w:sz w:val="20"/>
                <w:szCs w:val="20"/>
              </w:rPr>
              <w:t>METHODS</w:t>
            </w:r>
          </w:p>
        </w:tc>
      </w:tr>
      <w:tr w:rsidR="00E26377" w:rsidRPr="00722AEE" w14:paraId="605D9127" w14:textId="77777777" w:rsidTr="000F5A18">
        <w:tc>
          <w:tcPr>
            <w:tcW w:w="0" w:type="auto"/>
            <w:shd w:val="clear" w:color="auto" w:fill="auto"/>
            <w:vAlign w:val="center"/>
          </w:tcPr>
          <w:p w14:paraId="4BD7CDB1"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Protocol and registration</w:t>
            </w:r>
          </w:p>
        </w:tc>
        <w:tc>
          <w:tcPr>
            <w:tcW w:w="0" w:type="auto"/>
            <w:shd w:val="clear" w:color="auto" w:fill="auto"/>
            <w:vAlign w:val="center"/>
          </w:tcPr>
          <w:p w14:paraId="30FACA4E"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5</w:t>
            </w:r>
          </w:p>
        </w:tc>
        <w:tc>
          <w:tcPr>
            <w:tcW w:w="9613" w:type="dxa"/>
            <w:shd w:val="clear" w:color="auto" w:fill="auto"/>
            <w:vAlign w:val="center"/>
          </w:tcPr>
          <w:p w14:paraId="202FE55C"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Indicate whether a review protocol exists; state if and where it can be accessed (e.g., a Web address); and if available, provide registration information, including the registration number.</w:t>
            </w:r>
          </w:p>
        </w:tc>
        <w:sdt>
          <w:sdtPr>
            <w:rPr>
              <w:rFonts w:ascii="Times New Roman" w:hAnsi="Times New Roman" w:cs="Times New Roman"/>
              <w:sz w:val="20"/>
              <w:szCs w:val="20"/>
            </w:rPr>
            <w:id w:val="-1888323895"/>
            <w:placeholder>
              <w:docPart w:val="37A2DBC88CDA4ADB87A37E9180B4ED03"/>
            </w:placeholder>
          </w:sdtPr>
          <w:sdtEndPr/>
          <w:sdtContent>
            <w:tc>
              <w:tcPr>
                <w:tcW w:w="1053" w:type="dxa"/>
                <w:shd w:val="clear" w:color="auto" w:fill="auto"/>
                <w:vAlign w:val="center"/>
              </w:tcPr>
              <w:p w14:paraId="687EB7C9" w14:textId="77777777" w:rsidR="00E26377" w:rsidRPr="00564D76" w:rsidRDefault="00E26377" w:rsidP="000F5A18">
                <w:pPr>
                  <w:rPr>
                    <w:rFonts w:ascii="Times New Roman" w:hAnsi="Times New Roman" w:cs="Times New Roman"/>
                    <w:sz w:val="20"/>
                    <w:szCs w:val="20"/>
                  </w:rPr>
                </w:pPr>
                <w:r w:rsidRPr="00564D76">
                  <w:rPr>
                    <w:rFonts w:ascii="Times New Roman" w:hAnsi="Times New Roman" w:cs="Times New Roman"/>
                    <w:sz w:val="20"/>
                    <w:szCs w:val="20"/>
                  </w:rPr>
                  <w:t>NA</w:t>
                </w:r>
              </w:p>
            </w:tc>
          </w:sdtContent>
        </w:sdt>
      </w:tr>
      <w:tr w:rsidR="00E26377" w:rsidRPr="00722AEE" w14:paraId="6667343E" w14:textId="77777777" w:rsidTr="000F5A18">
        <w:tc>
          <w:tcPr>
            <w:tcW w:w="0" w:type="auto"/>
            <w:shd w:val="clear" w:color="auto" w:fill="auto"/>
            <w:vAlign w:val="center"/>
          </w:tcPr>
          <w:p w14:paraId="00967E08"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Eligibility criteria</w:t>
            </w:r>
          </w:p>
        </w:tc>
        <w:tc>
          <w:tcPr>
            <w:tcW w:w="0" w:type="auto"/>
            <w:shd w:val="clear" w:color="auto" w:fill="auto"/>
            <w:vAlign w:val="center"/>
          </w:tcPr>
          <w:p w14:paraId="286DABDC"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6</w:t>
            </w:r>
          </w:p>
        </w:tc>
        <w:tc>
          <w:tcPr>
            <w:tcW w:w="9613" w:type="dxa"/>
            <w:shd w:val="clear" w:color="auto" w:fill="auto"/>
            <w:vAlign w:val="center"/>
          </w:tcPr>
          <w:p w14:paraId="1266DE2F"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Specify characteristics of the sources of evidence used as eligibility criteria (e.g., years considered, language, and publication status), and provide a rationale.</w:t>
            </w:r>
          </w:p>
        </w:tc>
        <w:sdt>
          <w:sdtPr>
            <w:rPr>
              <w:rFonts w:ascii="Times New Roman" w:hAnsi="Times New Roman" w:cs="Times New Roman"/>
              <w:sz w:val="20"/>
              <w:szCs w:val="20"/>
            </w:rPr>
            <w:id w:val="623510431"/>
            <w:placeholder>
              <w:docPart w:val="37A2DBC88CDA4ADB87A37E9180B4ED03"/>
            </w:placeholder>
          </w:sdtPr>
          <w:sdtEndPr/>
          <w:sdtContent>
            <w:tc>
              <w:tcPr>
                <w:tcW w:w="1053" w:type="dxa"/>
                <w:shd w:val="clear" w:color="auto" w:fill="auto"/>
                <w:vAlign w:val="center"/>
              </w:tcPr>
              <w:p w14:paraId="0F666617" w14:textId="0F328D61" w:rsidR="00E26377" w:rsidRPr="00564D76" w:rsidRDefault="00E107A0" w:rsidP="000F5A18">
                <w:pPr>
                  <w:rPr>
                    <w:rFonts w:ascii="Times New Roman" w:hAnsi="Times New Roman" w:cs="Times New Roman"/>
                    <w:sz w:val="20"/>
                    <w:szCs w:val="20"/>
                  </w:rPr>
                </w:pPr>
                <w:sdt>
                  <w:sdtPr>
                    <w:rPr>
                      <w:rFonts w:ascii="Times New Roman" w:hAnsi="Times New Roman" w:cs="Times New Roman"/>
                      <w:sz w:val="20"/>
                      <w:szCs w:val="20"/>
                    </w:rPr>
                    <w:id w:val="-565648778"/>
                    <w:placeholder>
                      <w:docPart w:val="778294D2C92C4205A828FB26C9CE1BEC"/>
                    </w:placeholder>
                  </w:sdtPr>
                  <w:sdtEndPr/>
                  <w:sdtContent>
                    <w:r w:rsidR="00E26377" w:rsidRPr="00564D76">
                      <w:rPr>
                        <w:rFonts w:ascii="Times New Roman" w:hAnsi="Times New Roman" w:cs="Times New Roman"/>
                        <w:sz w:val="20"/>
                        <w:szCs w:val="20"/>
                      </w:rPr>
                      <w:t xml:space="preserve">Page </w:t>
                    </w:r>
                    <w:r w:rsidR="00815BBF" w:rsidRPr="00564D76">
                      <w:rPr>
                        <w:rFonts w:ascii="Times New Roman" w:hAnsi="Times New Roman" w:cs="Times New Roman"/>
                        <w:sz w:val="20"/>
                        <w:szCs w:val="20"/>
                        <w:lang w:val="en-AU"/>
                      </w:rPr>
                      <w:t>5</w:t>
                    </w:r>
                    <w:r w:rsidR="00E26377" w:rsidRPr="00564D76">
                      <w:rPr>
                        <w:rFonts w:ascii="Times New Roman" w:hAnsi="Times New Roman" w:cs="Times New Roman"/>
                        <w:sz w:val="20"/>
                        <w:szCs w:val="20"/>
                      </w:rPr>
                      <w:t xml:space="preserve"> </w:t>
                    </w:r>
                  </w:sdtContent>
                </w:sdt>
              </w:p>
            </w:tc>
          </w:sdtContent>
        </w:sdt>
      </w:tr>
      <w:tr w:rsidR="00E26377" w:rsidRPr="00722AEE" w14:paraId="1149A515" w14:textId="77777777" w:rsidTr="000F5A18">
        <w:trPr>
          <w:trHeight w:val="260"/>
        </w:trPr>
        <w:tc>
          <w:tcPr>
            <w:tcW w:w="0" w:type="auto"/>
            <w:shd w:val="clear" w:color="auto" w:fill="auto"/>
            <w:vAlign w:val="center"/>
          </w:tcPr>
          <w:p w14:paraId="204C1357"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Information sources*</w:t>
            </w:r>
          </w:p>
        </w:tc>
        <w:tc>
          <w:tcPr>
            <w:tcW w:w="0" w:type="auto"/>
            <w:shd w:val="clear" w:color="auto" w:fill="auto"/>
            <w:vAlign w:val="center"/>
          </w:tcPr>
          <w:p w14:paraId="218EC67A"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7</w:t>
            </w:r>
          </w:p>
        </w:tc>
        <w:tc>
          <w:tcPr>
            <w:tcW w:w="9613" w:type="dxa"/>
            <w:shd w:val="clear" w:color="auto" w:fill="auto"/>
            <w:vAlign w:val="center"/>
          </w:tcPr>
          <w:p w14:paraId="7D60EFF0"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Describe all information sources in the search (e.g., databases with dates of coverage and contact with authors to identify additional sources), as well as the date the most recent search was executed.</w:t>
            </w:r>
          </w:p>
        </w:tc>
        <w:sdt>
          <w:sdtPr>
            <w:rPr>
              <w:rFonts w:ascii="Times New Roman" w:hAnsi="Times New Roman" w:cs="Times New Roman"/>
              <w:sz w:val="20"/>
              <w:szCs w:val="20"/>
            </w:rPr>
            <w:id w:val="1510949160"/>
            <w:placeholder>
              <w:docPart w:val="37A2DBC88CDA4ADB87A37E9180B4ED03"/>
            </w:placeholder>
          </w:sdtPr>
          <w:sdtEndPr/>
          <w:sdtContent>
            <w:sdt>
              <w:sdtPr>
                <w:rPr>
                  <w:rFonts w:ascii="Times New Roman" w:hAnsi="Times New Roman" w:cs="Times New Roman"/>
                  <w:sz w:val="20"/>
                  <w:szCs w:val="20"/>
                </w:rPr>
                <w:id w:val="1818768546"/>
                <w:placeholder>
                  <w:docPart w:val="560046AF0B4148D8BFDB0A1D9FD7396E"/>
                </w:placeholder>
              </w:sdtPr>
              <w:sdtEndPr/>
              <w:sdtContent>
                <w:tc>
                  <w:tcPr>
                    <w:tcW w:w="1053" w:type="dxa"/>
                    <w:shd w:val="clear" w:color="auto" w:fill="auto"/>
                    <w:vAlign w:val="center"/>
                  </w:tcPr>
                  <w:p w14:paraId="0AE1BE2E" w14:textId="7662153F" w:rsidR="00E26377" w:rsidRPr="00564D76" w:rsidRDefault="00E107A0" w:rsidP="000F5A18">
                    <w:pPr>
                      <w:rPr>
                        <w:rFonts w:ascii="Times New Roman" w:hAnsi="Times New Roman" w:cs="Times New Roman"/>
                        <w:sz w:val="20"/>
                        <w:szCs w:val="20"/>
                      </w:rPr>
                    </w:pPr>
                    <w:sdt>
                      <w:sdtPr>
                        <w:rPr>
                          <w:rFonts w:ascii="Times New Roman" w:hAnsi="Times New Roman" w:cs="Times New Roman"/>
                          <w:sz w:val="20"/>
                          <w:szCs w:val="20"/>
                        </w:rPr>
                        <w:id w:val="2092581972"/>
                        <w:placeholder>
                          <w:docPart w:val="E387165AD22641CBBC931A9AC31B6E19"/>
                        </w:placeholder>
                      </w:sdtPr>
                      <w:sdtEndPr/>
                      <w:sdtContent>
                        <w:r w:rsidR="00E26377" w:rsidRPr="00564D76">
                          <w:rPr>
                            <w:rFonts w:ascii="Times New Roman" w:hAnsi="Times New Roman" w:cs="Times New Roman"/>
                            <w:sz w:val="20"/>
                            <w:szCs w:val="20"/>
                          </w:rPr>
                          <w:t xml:space="preserve">Page </w:t>
                        </w:r>
                        <w:r w:rsidR="00815BBF" w:rsidRPr="00564D76">
                          <w:rPr>
                            <w:rFonts w:ascii="Times New Roman" w:hAnsi="Times New Roman" w:cs="Times New Roman"/>
                            <w:sz w:val="20"/>
                            <w:szCs w:val="20"/>
                            <w:lang w:val="en-AU"/>
                          </w:rPr>
                          <w:t>5</w:t>
                        </w:r>
                      </w:sdtContent>
                    </w:sdt>
                    <w:r w:rsidR="00E26377" w:rsidRPr="00564D76">
                      <w:rPr>
                        <w:rFonts w:ascii="Times New Roman" w:hAnsi="Times New Roman" w:cs="Times New Roman"/>
                        <w:sz w:val="20"/>
                        <w:szCs w:val="20"/>
                      </w:rPr>
                      <w:t xml:space="preserve"> </w:t>
                    </w:r>
                  </w:p>
                </w:tc>
              </w:sdtContent>
            </w:sdt>
          </w:sdtContent>
        </w:sdt>
      </w:tr>
      <w:tr w:rsidR="00E26377" w:rsidRPr="00722AEE" w14:paraId="280EB2D6" w14:textId="77777777" w:rsidTr="000F5A18">
        <w:tc>
          <w:tcPr>
            <w:tcW w:w="0" w:type="auto"/>
            <w:shd w:val="clear" w:color="auto" w:fill="auto"/>
            <w:vAlign w:val="center"/>
          </w:tcPr>
          <w:p w14:paraId="514EDD36"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Search</w:t>
            </w:r>
          </w:p>
        </w:tc>
        <w:tc>
          <w:tcPr>
            <w:tcW w:w="0" w:type="auto"/>
            <w:shd w:val="clear" w:color="auto" w:fill="auto"/>
            <w:vAlign w:val="center"/>
          </w:tcPr>
          <w:p w14:paraId="59893E80"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8</w:t>
            </w:r>
          </w:p>
        </w:tc>
        <w:tc>
          <w:tcPr>
            <w:tcW w:w="9613" w:type="dxa"/>
            <w:shd w:val="clear" w:color="auto" w:fill="auto"/>
            <w:vAlign w:val="center"/>
          </w:tcPr>
          <w:p w14:paraId="012FA532"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Present the full electronic search strategy for at least 1 database, including any limits used, such that it could be repeated.</w:t>
            </w:r>
          </w:p>
        </w:tc>
        <w:sdt>
          <w:sdtPr>
            <w:rPr>
              <w:rFonts w:ascii="Times New Roman" w:hAnsi="Times New Roman" w:cs="Times New Roman"/>
              <w:sz w:val="20"/>
              <w:szCs w:val="20"/>
            </w:rPr>
            <w:id w:val="964171142"/>
            <w:placeholder>
              <w:docPart w:val="37A2DBC88CDA4ADB87A37E9180B4ED03"/>
            </w:placeholder>
          </w:sdtPr>
          <w:sdtEndPr/>
          <w:sdtContent>
            <w:sdt>
              <w:sdtPr>
                <w:rPr>
                  <w:rFonts w:ascii="Times New Roman" w:hAnsi="Times New Roman" w:cs="Times New Roman"/>
                  <w:sz w:val="20"/>
                  <w:szCs w:val="20"/>
                </w:rPr>
                <w:id w:val="-1579509337"/>
                <w:placeholder>
                  <w:docPart w:val="39435FCB00764D2DB3E688682BD0216E"/>
                </w:placeholder>
              </w:sdtPr>
              <w:sdtEndPr/>
              <w:sdtContent>
                <w:tc>
                  <w:tcPr>
                    <w:tcW w:w="1053" w:type="dxa"/>
                    <w:shd w:val="clear" w:color="auto" w:fill="auto"/>
                    <w:vAlign w:val="center"/>
                  </w:tcPr>
                  <w:p w14:paraId="1BE129D6" w14:textId="40BC0972" w:rsidR="00E26377" w:rsidRPr="00564D76" w:rsidRDefault="00815BBF" w:rsidP="000F5A18">
                    <w:pPr>
                      <w:rPr>
                        <w:rFonts w:ascii="Times New Roman" w:hAnsi="Times New Roman" w:cs="Times New Roman"/>
                        <w:sz w:val="20"/>
                        <w:szCs w:val="20"/>
                      </w:rPr>
                    </w:pPr>
                    <w:r w:rsidRPr="00564D76">
                      <w:rPr>
                        <w:rFonts w:ascii="Times New Roman" w:hAnsi="Times New Roman" w:cs="Times New Roman"/>
                        <w:sz w:val="20"/>
                        <w:szCs w:val="20"/>
                        <w:lang w:val="en-AU"/>
                      </w:rPr>
                      <w:t>Page 5</w:t>
                    </w:r>
                  </w:p>
                </w:tc>
              </w:sdtContent>
            </w:sdt>
          </w:sdtContent>
        </w:sdt>
      </w:tr>
      <w:tr w:rsidR="00E26377" w:rsidRPr="00722AEE" w14:paraId="6A3EA748" w14:textId="77777777" w:rsidTr="000F5A18">
        <w:tc>
          <w:tcPr>
            <w:tcW w:w="0" w:type="auto"/>
            <w:shd w:val="clear" w:color="auto" w:fill="auto"/>
            <w:vAlign w:val="center"/>
          </w:tcPr>
          <w:p w14:paraId="56EF94A5"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Selection of sources of evidence†</w:t>
            </w:r>
          </w:p>
        </w:tc>
        <w:tc>
          <w:tcPr>
            <w:tcW w:w="0" w:type="auto"/>
            <w:shd w:val="clear" w:color="auto" w:fill="auto"/>
            <w:vAlign w:val="center"/>
          </w:tcPr>
          <w:p w14:paraId="4026586B"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9</w:t>
            </w:r>
          </w:p>
        </w:tc>
        <w:tc>
          <w:tcPr>
            <w:tcW w:w="9613" w:type="dxa"/>
            <w:shd w:val="clear" w:color="auto" w:fill="auto"/>
            <w:vAlign w:val="center"/>
          </w:tcPr>
          <w:p w14:paraId="1A1AD432"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State the process for selecting sources of evidence (i.e., screening and eligibility) included in the scoping review.</w:t>
            </w:r>
          </w:p>
        </w:tc>
        <w:sdt>
          <w:sdtPr>
            <w:rPr>
              <w:rFonts w:ascii="Times New Roman" w:hAnsi="Times New Roman" w:cs="Times New Roman"/>
              <w:sz w:val="20"/>
              <w:szCs w:val="20"/>
            </w:rPr>
            <w:id w:val="-2090377787"/>
            <w:placeholder>
              <w:docPart w:val="37A2DBC88CDA4ADB87A37E9180B4ED03"/>
            </w:placeholder>
          </w:sdtPr>
          <w:sdtEndPr/>
          <w:sdtContent>
            <w:tc>
              <w:tcPr>
                <w:tcW w:w="1053" w:type="dxa"/>
                <w:shd w:val="clear" w:color="auto" w:fill="auto"/>
                <w:vAlign w:val="center"/>
              </w:tcPr>
              <w:p w14:paraId="124B350B" w14:textId="0CC02025" w:rsidR="00E26377" w:rsidRPr="00564D76" w:rsidRDefault="00E26377" w:rsidP="000F5A18">
                <w:pPr>
                  <w:rPr>
                    <w:rFonts w:ascii="Times New Roman" w:hAnsi="Times New Roman" w:cs="Times New Roman"/>
                    <w:sz w:val="20"/>
                    <w:szCs w:val="20"/>
                  </w:rPr>
                </w:pPr>
                <w:r w:rsidRPr="00564D76">
                  <w:rPr>
                    <w:rFonts w:ascii="Times New Roman" w:hAnsi="Times New Roman" w:cs="Times New Roman"/>
                    <w:sz w:val="20"/>
                    <w:szCs w:val="20"/>
                  </w:rPr>
                  <w:t xml:space="preserve">Page </w:t>
                </w:r>
                <w:r w:rsidR="00815BBF" w:rsidRPr="00564D76">
                  <w:rPr>
                    <w:rFonts w:ascii="Times New Roman" w:hAnsi="Times New Roman" w:cs="Times New Roman"/>
                    <w:sz w:val="20"/>
                    <w:szCs w:val="20"/>
                    <w:lang w:val="en-AU"/>
                  </w:rPr>
                  <w:t>6</w:t>
                </w:r>
              </w:p>
            </w:tc>
          </w:sdtContent>
        </w:sdt>
      </w:tr>
      <w:tr w:rsidR="00E26377" w:rsidRPr="00722AEE" w14:paraId="4806503D" w14:textId="77777777" w:rsidTr="000F5A18">
        <w:tc>
          <w:tcPr>
            <w:tcW w:w="0" w:type="auto"/>
            <w:shd w:val="clear" w:color="auto" w:fill="auto"/>
            <w:vAlign w:val="center"/>
          </w:tcPr>
          <w:p w14:paraId="00A46F85"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Data charting process‡</w:t>
            </w:r>
          </w:p>
        </w:tc>
        <w:tc>
          <w:tcPr>
            <w:tcW w:w="0" w:type="auto"/>
            <w:shd w:val="clear" w:color="auto" w:fill="auto"/>
            <w:vAlign w:val="center"/>
          </w:tcPr>
          <w:p w14:paraId="3F56E62E"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10</w:t>
            </w:r>
          </w:p>
        </w:tc>
        <w:tc>
          <w:tcPr>
            <w:tcW w:w="9613" w:type="dxa"/>
            <w:shd w:val="clear" w:color="auto" w:fill="auto"/>
            <w:vAlign w:val="center"/>
          </w:tcPr>
          <w:p w14:paraId="03C95AA4"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Times New Roman" w:hAnsi="Times New Roman" w:cs="Times New Roman"/>
              <w:sz w:val="20"/>
              <w:szCs w:val="20"/>
            </w:rPr>
            <w:id w:val="1943252725"/>
            <w:placeholder>
              <w:docPart w:val="37A2DBC88CDA4ADB87A37E9180B4ED03"/>
            </w:placeholder>
          </w:sdtPr>
          <w:sdtEndPr/>
          <w:sdtContent>
            <w:tc>
              <w:tcPr>
                <w:tcW w:w="1053" w:type="dxa"/>
                <w:shd w:val="clear" w:color="auto" w:fill="auto"/>
                <w:vAlign w:val="center"/>
              </w:tcPr>
              <w:p w14:paraId="5EA7020B" w14:textId="08F03B6F" w:rsidR="00E26377" w:rsidRPr="00564D76" w:rsidRDefault="00E26377" w:rsidP="000F5A18">
                <w:pPr>
                  <w:rPr>
                    <w:rFonts w:ascii="Times New Roman" w:hAnsi="Times New Roman" w:cs="Times New Roman"/>
                    <w:sz w:val="20"/>
                    <w:szCs w:val="20"/>
                  </w:rPr>
                </w:pPr>
                <w:r w:rsidRPr="00564D76">
                  <w:rPr>
                    <w:rFonts w:ascii="Times New Roman" w:hAnsi="Times New Roman" w:cs="Times New Roman"/>
                    <w:sz w:val="20"/>
                    <w:szCs w:val="20"/>
                  </w:rPr>
                  <w:t xml:space="preserve">Page </w:t>
                </w:r>
                <w:r w:rsidR="00815BBF" w:rsidRPr="00564D76">
                  <w:rPr>
                    <w:rFonts w:ascii="Times New Roman" w:hAnsi="Times New Roman" w:cs="Times New Roman"/>
                    <w:sz w:val="20"/>
                    <w:szCs w:val="20"/>
                    <w:lang w:val="en-AU"/>
                  </w:rPr>
                  <w:t>6</w:t>
                </w:r>
              </w:p>
            </w:tc>
          </w:sdtContent>
        </w:sdt>
      </w:tr>
      <w:tr w:rsidR="00E26377" w:rsidRPr="00722AEE" w14:paraId="527CCD26" w14:textId="77777777" w:rsidTr="000F5A18">
        <w:trPr>
          <w:trHeight w:val="260"/>
        </w:trPr>
        <w:tc>
          <w:tcPr>
            <w:tcW w:w="0" w:type="auto"/>
            <w:shd w:val="clear" w:color="auto" w:fill="auto"/>
            <w:vAlign w:val="center"/>
          </w:tcPr>
          <w:p w14:paraId="354111BF"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Data items</w:t>
            </w:r>
          </w:p>
        </w:tc>
        <w:tc>
          <w:tcPr>
            <w:tcW w:w="0" w:type="auto"/>
            <w:shd w:val="clear" w:color="auto" w:fill="auto"/>
            <w:vAlign w:val="center"/>
          </w:tcPr>
          <w:p w14:paraId="1C52A135"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11</w:t>
            </w:r>
          </w:p>
        </w:tc>
        <w:tc>
          <w:tcPr>
            <w:tcW w:w="9613" w:type="dxa"/>
            <w:shd w:val="clear" w:color="auto" w:fill="auto"/>
            <w:vAlign w:val="center"/>
          </w:tcPr>
          <w:p w14:paraId="28FF3969"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List and define all variables for which data were sought and any assumptions and simplifications made.</w:t>
            </w:r>
          </w:p>
        </w:tc>
        <w:sdt>
          <w:sdtPr>
            <w:rPr>
              <w:rFonts w:ascii="Times New Roman" w:hAnsi="Times New Roman" w:cs="Times New Roman"/>
              <w:sz w:val="20"/>
              <w:szCs w:val="20"/>
            </w:rPr>
            <w:id w:val="667444934"/>
            <w:placeholder>
              <w:docPart w:val="37A2DBC88CDA4ADB87A37E9180B4ED03"/>
            </w:placeholder>
          </w:sdtPr>
          <w:sdtEndPr/>
          <w:sdtContent>
            <w:tc>
              <w:tcPr>
                <w:tcW w:w="1053" w:type="dxa"/>
                <w:shd w:val="clear" w:color="auto" w:fill="auto"/>
                <w:vAlign w:val="center"/>
              </w:tcPr>
              <w:p w14:paraId="624A2BBD" w14:textId="77777777" w:rsidR="00E26377" w:rsidRPr="00564D76" w:rsidRDefault="00E26377" w:rsidP="000F5A18">
                <w:pPr>
                  <w:rPr>
                    <w:rFonts w:ascii="Times New Roman" w:hAnsi="Times New Roman" w:cs="Times New Roman"/>
                    <w:sz w:val="20"/>
                    <w:szCs w:val="20"/>
                  </w:rPr>
                </w:pPr>
                <w:r w:rsidRPr="00564D76">
                  <w:rPr>
                    <w:rFonts w:ascii="Times New Roman" w:hAnsi="Times New Roman" w:cs="Times New Roman"/>
                    <w:sz w:val="20"/>
                    <w:szCs w:val="20"/>
                  </w:rPr>
                  <w:t>Page 7, 11-16</w:t>
                </w:r>
              </w:p>
            </w:tc>
          </w:sdtContent>
        </w:sdt>
      </w:tr>
      <w:tr w:rsidR="00E26377" w:rsidRPr="00722AEE" w14:paraId="6A201A85" w14:textId="77777777" w:rsidTr="000F5A18">
        <w:tc>
          <w:tcPr>
            <w:tcW w:w="0" w:type="auto"/>
            <w:shd w:val="clear" w:color="auto" w:fill="auto"/>
            <w:vAlign w:val="center"/>
          </w:tcPr>
          <w:p w14:paraId="18D6FC54"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Critical appraisal of individual sources of evidence§</w:t>
            </w:r>
          </w:p>
        </w:tc>
        <w:tc>
          <w:tcPr>
            <w:tcW w:w="0" w:type="auto"/>
            <w:shd w:val="clear" w:color="auto" w:fill="auto"/>
            <w:vAlign w:val="center"/>
          </w:tcPr>
          <w:p w14:paraId="0A9AEDF9"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12</w:t>
            </w:r>
          </w:p>
        </w:tc>
        <w:tc>
          <w:tcPr>
            <w:tcW w:w="9613" w:type="dxa"/>
            <w:shd w:val="clear" w:color="auto" w:fill="auto"/>
            <w:vAlign w:val="center"/>
          </w:tcPr>
          <w:p w14:paraId="74A8198F"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If done, provide a rationale for conducting a critical appraisal of included sources of evidence; describe the methods used and how this information was used in any data synthesis (if appropriate).</w:t>
            </w:r>
          </w:p>
        </w:tc>
        <w:sdt>
          <w:sdtPr>
            <w:rPr>
              <w:rFonts w:ascii="Times New Roman" w:hAnsi="Times New Roman" w:cs="Times New Roman"/>
              <w:sz w:val="20"/>
              <w:szCs w:val="20"/>
            </w:rPr>
            <w:id w:val="-336618198"/>
            <w:placeholder>
              <w:docPart w:val="37A2DBC88CDA4ADB87A37E9180B4ED03"/>
            </w:placeholder>
          </w:sdtPr>
          <w:sdtEndPr/>
          <w:sdtContent>
            <w:tc>
              <w:tcPr>
                <w:tcW w:w="1053" w:type="dxa"/>
                <w:shd w:val="clear" w:color="auto" w:fill="auto"/>
                <w:vAlign w:val="center"/>
              </w:tcPr>
              <w:p w14:paraId="6FE97450" w14:textId="77777777" w:rsidR="00E26377" w:rsidRPr="00564D76" w:rsidRDefault="00E26377" w:rsidP="000F5A18">
                <w:pPr>
                  <w:rPr>
                    <w:rFonts w:ascii="Times New Roman" w:hAnsi="Times New Roman" w:cs="Times New Roman"/>
                    <w:sz w:val="20"/>
                    <w:szCs w:val="20"/>
                  </w:rPr>
                </w:pPr>
                <w:r w:rsidRPr="00564D76">
                  <w:rPr>
                    <w:rFonts w:ascii="Times New Roman" w:hAnsi="Times New Roman" w:cs="Times New Roman"/>
                    <w:sz w:val="20"/>
                    <w:szCs w:val="20"/>
                  </w:rPr>
                  <w:t>NA</w:t>
                </w:r>
              </w:p>
            </w:tc>
          </w:sdtContent>
        </w:sdt>
      </w:tr>
      <w:tr w:rsidR="00E26377" w:rsidRPr="00722AEE" w14:paraId="286E02C0" w14:textId="77777777" w:rsidTr="000F5A18">
        <w:tc>
          <w:tcPr>
            <w:tcW w:w="0" w:type="auto"/>
            <w:shd w:val="clear" w:color="auto" w:fill="auto"/>
            <w:vAlign w:val="center"/>
          </w:tcPr>
          <w:p w14:paraId="6CA64B16"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Synthesis of results</w:t>
            </w:r>
          </w:p>
        </w:tc>
        <w:tc>
          <w:tcPr>
            <w:tcW w:w="0" w:type="auto"/>
            <w:shd w:val="clear" w:color="auto" w:fill="auto"/>
            <w:vAlign w:val="center"/>
          </w:tcPr>
          <w:p w14:paraId="429B84FA"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13</w:t>
            </w:r>
          </w:p>
        </w:tc>
        <w:tc>
          <w:tcPr>
            <w:tcW w:w="9613" w:type="dxa"/>
            <w:shd w:val="clear" w:color="auto" w:fill="auto"/>
            <w:vAlign w:val="center"/>
          </w:tcPr>
          <w:p w14:paraId="63493991"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Describe the methods of handling and summarizing the data that were charted.</w:t>
            </w:r>
          </w:p>
        </w:tc>
        <w:tc>
          <w:tcPr>
            <w:tcW w:w="1053" w:type="dxa"/>
            <w:shd w:val="clear" w:color="auto" w:fill="auto"/>
            <w:vAlign w:val="center"/>
          </w:tcPr>
          <w:p w14:paraId="0B326C36" w14:textId="6D87392A" w:rsidR="00E26377" w:rsidRPr="00564D76" w:rsidRDefault="00E26377" w:rsidP="000F5A18">
            <w:pPr>
              <w:rPr>
                <w:rFonts w:ascii="Times New Roman" w:hAnsi="Times New Roman" w:cs="Times New Roman"/>
                <w:sz w:val="20"/>
                <w:szCs w:val="20"/>
                <w:lang w:val="en-AU"/>
              </w:rPr>
            </w:pPr>
            <w:r w:rsidRPr="00564D76">
              <w:rPr>
                <w:rFonts w:ascii="Times New Roman" w:hAnsi="Times New Roman" w:cs="Times New Roman"/>
                <w:sz w:val="20"/>
                <w:szCs w:val="20"/>
              </w:rPr>
              <w:t xml:space="preserve">Page </w:t>
            </w:r>
            <w:r w:rsidR="00815BBF" w:rsidRPr="00564D76">
              <w:rPr>
                <w:rFonts w:ascii="Times New Roman" w:hAnsi="Times New Roman" w:cs="Times New Roman"/>
                <w:sz w:val="20"/>
                <w:szCs w:val="20"/>
                <w:lang w:val="en-AU"/>
              </w:rPr>
              <w:t>6</w:t>
            </w:r>
          </w:p>
        </w:tc>
      </w:tr>
      <w:tr w:rsidR="00E26377" w:rsidRPr="00722AEE" w14:paraId="1668D910" w14:textId="77777777" w:rsidTr="000F5A18">
        <w:tc>
          <w:tcPr>
            <w:tcW w:w="0" w:type="auto"/>
            <w:gridSpan w:val="4"/>
            <w:shd w:val="clear" w:color="auto" w:fill="auto"/>
            <w:vAlign w:val="center"/>
          </w:tcPr>
          <w:p w14:paraId="1F6C3CE5" w14:textId="77777777" w:rsidR="00E26377" w:rsidRPr="00564D76" w:rsidRDefault="00E26377" w:rsidP="000F5A18">
            <w:pPr>
              <w:rPr>
                <w:rFonts w:ascii="Times New Roman" w:hAnsi="Times New Roman" w:cs="Times New Roman"/>
                <w:sz w:val="20"/>
                <w:szCs w:val="20"/>
              </w:rPr>
            </w:pPr>
            <w:r w:rsidRPr="00564D76">
              <w:rPr>
                <w:rFonts w:ascii="Times New Roman" w:hAnsi="Times New Roman" w:cs="Times New Roman"/>
                <w:sz w:val="20"/>
                <w:szCs w:val="20"/>
              </w:rPr>
              <w:t>RESULTS</w:t>
            </w:r>
          </w:p>
        </w:tc>
      </w:tr>
      <w:tr w:rsidR="00E26377" w:rsidRPr="00722AEE" w14:paraId="0199FCD7" w14:textId="77777777" w:rsidTr="000F5A18">
        <w:tc>
          <w:tcPr>
            <w:tcW w:w="0" w:type="auto"/>
            <w:shd w:val="clear" w:color="auto" w:fill="auto"/>
            <w:vAlign w:val="center"/>
          </w:tcPr>
          <w:p w14:paraId="4F5BF34F"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Selection of sources of evidence</w:t>
            </w:r>
          </w:p>
        </w:tc>
        <w:tc>
          <w:tcPr>
            <w:tcW w:w="0" w:type="auto"/>
            <w:shd w:val="clear" w:color="auto" w:fill="auto"/>
            <w:vAlign w:val="center"/>
          </w:tcPr>
          <w:p w14:paraId="1591F5E5"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14</w:t>
            </w:r>
          </w:p>
        </w:tc>
        <w:tc>
          <w:tcPr>
            <w:tcW w:w="9613" w:type="dxa"/>
            <w:shd w:val="clear" w:color="auto" w:fill="auto"/>
            <w:vAlign w:val="center"/>
          </w:tcPr>
          <w:p w14:paraId="1B92FDA7"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Give numbers of sources of evidence screened, assessed for eligibility, and included in the review, with reasons for exclusions at each stage, ideally using a flow diagram.</w:t>
            </w:r>
          </w:p>
        </w:tc>
        <w:sdt>
          <w:sdtPr>
            <w:rPr>
              <w:rFonts w:ascii="Times New Roman" w:hAnsi="Times New Roman" w:cs="Times New Roman"/>
              <w:sz w:val="20"/>
              <w:szCs w:val="20"/>
            </w:rPr>
            <w:id w:val="-83771692"/>
            <w:placeholder>
              <w:docPart w:val="37A2DBC88CDA4ADB87A37E9180B4ED03"/>
            </w:placeholder>
          </w:sdtPr>
          <w:sdtEndPr/>
          <w:sdtContent>
            <w:tc>
              <w:tcPr>
                <w:tcW w:w="1053" w:type="dxa"/>
                <w:shd w:val="clear" w:color="auto" w:fill="auto"/>
                <w:vAlign w:val="center"/>
              </w:tcPr>
              <w:p w14:paraId="7119B0A1" w14:textId="77777777" w:rsidR="00E26377" w:rsidRPr="00564D76" w:rsidRDefault="00E26377" w:rsidP="000F5A18">
                <w:pPr>
                  <w:rPr>
                    <w:rFonts w:ascii="Times New Roman" w:hAnsi="Times New Roman" w:cs="Times New Roman"/>
                    <w:sz w:val="20"/>
                    <w:szCs w:val="20"/>
                  </w:rPr>
                </w:pPr>
                <w:r w:rsidRPr="00564D76">
                  <w:rPr>
                    <w:rFonts w:ascii="Times New Roman" w:hAnsi="Times New Roman" w:cs="Times New Roman"/>
                    <w:sz w:val="20"/>
                    <w:szCs w:val="20"/>
                  </w:rPr>
                  <w:t xml:space="preserve">Page 7, flow chart </w:t>
                </w:r>
              </w:p>
            </w:tc>
          </w:sdtContent>
        </w:sdt>
      </w:tr>
      <w:tr w:rsidR="00E26377" w:rsidRPr="00722AEE" w14:paraId="012C4F95" w14:textId="77777777" w:rsidTr="000F5A18">
        <w:tc>
          <w:tcPr>
            <w:tcW w:w="0" w:type="auto"/>
            <w:shd w:val="clear" w:color="auto" w:fill="auto"/>
            <w:vAlign w:val="center"/>
          </w:tcPr>
          <w:p w14:paraId="0B856A66"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Characteristics of sources of evidence</w:t>
            </w:r>
          </w:p>
        </w:tc>
        <w:tc>
          <w:tcPr>
            <w:tcW w:w="0" w:type="auto"/>
            <w:shd w:val="clear" w:color="auto" w:fill="auto"/>
            <w:vAlign w:val="center"/>
          </w:tcPr>
          <w:p w14:paraId="184F7791"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15</w:t>
            </w:r>
          </w:p>
        </w:tc>
        <w:tc>
          <w:tcPr>
            <w:tcW w:w="9613" w:type="dxa"/>
            <w:shd w:val="clear" w:color="auto" w:fill="auto"/>
            <w:vAlign w:val="center"/>
          </w:tcPr>
          <w:p w14:paraId="3BAAB09C"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For each source of evidence, present characteristics for which data were charted and provide the citations.</w:t>
            </w:r>
          </w:p>
        </w:tc>
        <w:sdt>
          <w:sdtPr>
            <w:rPr>
              <w:rFonts w:ascii="Times New Roman" w:hAnsi="Times New Roman" w:cs="Times New Roman"/>
              <w:sz w:val="20"/>
              <w:szCs w:val="20"/>
            </w:rPr>
            <w:id w:val="-137040765"/>
            <w:placeholder>
              <w:docPart w:val="37A2DBC88CDA4ADB87A37E9180B4ED03"/>
            </w:placeholder>
          </w:sdtPr>
          <w:sdtEndPr/>
          <w:sdtContent>
            <w:tc>
              <w:tcPr>
                <w:tcW w:w="1053" w:type="dxa"/>
                <w:shd w:val="clear" w:color="auto" w:fill="auto"/>
                <w:vAlign w:val="center"/>
              </w:tcPr>
              <w:p w14:paraId="1E4611F9" w14:textId="77777777" w:rsidR="00E26377" w:rsidRPr="00564D76" w:rsidRDefault="00E26377" w:rsidP="000F5A18">
                <w:pPr>
                  <w:rPr>
                    <w:rFonts w:ascii="Times New Roman" w:hAnsi="Times New Roman" w:cs="Times New Roman"/>
                    <w:sz w:val="20"/>
                    <w:szCs w:val="20"/>
                  </w:rPr>
                </w:pPr>
                <w:r w:rsidRPr="00564D76">
                  <w:rPr>
                    <w:rFonts w:ascii="Times New Roman" w:hAnsi="Times New Roman" w:cs="Times New Roman"/>
                    <w:sz w:val="20"/>
                    <w:szCs w:val="20"/>
                  </w:rPr>
                  <w:t xml:space="preserve">Page 7-19, references </w:t>
                </w:r>
              </w:p>
            </w:tc>
          </w:sdtContent>
        </w:sdt>
      </w:tr>
      <w:tr w:rsidR="00E26377" w:rsidRPr="00722AEE" w14:paraId="23419928" w14:textId="77777777" w:rsidTr="000F5A18">
        <w:tc>
          <w:tcPr>
            <w:tcW w:w="0" w:type="auto"/>
            <w:shd w:val="clear" w:color="auto" w:fill="auto"/>
            <w:vAlign w:val="center"/>
          </w:tcPr>
          <w:p w14:paraId="1BF5BD9B"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 xml:space="preserve">Critical appraisal </w:t>
            </w:r>
            <w:r w:rsidRPr="00722AEE">
              <w:rPr>
                <w:rFonts w:ascii="Times New Roman" w:hAnsi="Times New Roman" w:cs="Times New Roman"/>
                <w:sz w:val="20"/>
                <w:szCs w:val="20"/>
              </w:rPr>
              <w:lastRenderedPageBreak/>
              <w:t>within sources of evidence</w:t>
            </w:r>
          </w:p>
        </w:tc>
        <w:tc>
          <w:tcPr>
            <w:tcW w:w="0" w:type="auto"/>
            <w:shd w:val="clear" w:color="auto" w:fill="auto"/>
            <w:vAlign w:val="center"/>
          </w:tcPr>
          <w:p w14:paraId="3D7798CF"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lastRenderedPageBreak/>
              <w:t>16</w:t>
            </w:r>
          </w:p>
        </w:tc>
        <w:tc>
          <w:tcPr>
            <w:tcW w:w="9613" w:type="dxa"/>
            <w:shd w:val="clear" w:color="auto" w:fill="auto"/>
            <w:vAlign w:val="center"/>
          </w:tcPr>
          <w:p w14:paraId="302E16B4"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If done, present data on critical appraisal of included sources of evidence (see item 12).</w:t>
            </w:r>
          </w:p>
        </w:tc>
        <w:sdt>
          <w:sdtPr>
            <w:rPr>
              <w:rFonts w:ascii="Times New Roman" w:hAnsi="Times New Roman" w:cs="Times New Roman"/>
              <w:sz w:val="20"/>
              <w:szCs w:val="20"/>
            </w:rPr>
            <w:id w:val="945268124"/>
            <w:placeholder>
              <w:docPart w:val="37A2DBC88CDA4ADB87A37E9180B4ED03"/>
            </w:placeholder>
          </w:sdtPr>
          <w:sdtEndPr/>
          <w:sdtContent>
            <w:tc>
              <w:tcPr>
                <w:tcW w:w="1053" w:type="dxa"/>
                <w:shd w:val="clear" w:color="auto" w:fill="auto"/>
                <w:vAlign w:val="center"/>
              </w:tcPr>
              <w:p w14:paraId="7329BCEC" w14:textId="77777777" w:rsidR="00E26377" w:rsidRPr="00564D76" w:rsidRDefault="00E26377" w:rsidP="000F5A18">
                <w:pPr>
                  <w:rPr>
                    <w:rFonts w:ascii="Times New Roman" w:hAnsi="Times New Roman" w:cs="Times New Roman"/>
                    <w:sz w:val="20"/>
                    <w:szCs w:val="20"/>
                  </w:rPr>
                </w:pPr>
                <w:r w:rsidRPr="00564D76">
                  <w:rPr>
                    <w:rFonts w:ascii="Times New Roman" w:hAnsi="Times New Roman" w:cs="Times New Roman"/>
                    <w:sz w:val="20"/>
                    <w:szCs w:val="20"/>
                  </w:rPr>
                  <w:t>NA</w:t>
                </w:r>
              </w:p>
            </w:tc>
          </w:sdtContent>
        </w:sdt>
      </w:tr>
      <w:tr w:rsidR="00E26377" w:rsidRPr="00722AEE" w14:paraId="583BB463" w14:textId="77777777" w:rsidTr="000F5A18">
        <w:tc>
          <w:tcPr>
            <w:tcW w:w="0" w:type="auto"/>
            <w:shd w:val="clear" w:color="auto" w:fill="auto"/>
            <w:vAlign w:val="center"/>
          </w:tcPr>
          <w:p w14:paraId="269D4AE8"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Results of individual sources of evidence</w:t>
            </w:r>
          </w:p>
        </w:tc>
        <w:tc>
          <w:tcPr>
            <w:tcW w:w="0" w:type="auto"/>
            <w:shd w:val="clear" w:color="auto" w:fill="auto"/>
            <w:vAlign w:val="center"/>
          </w:tcPr>
          <w:p w14:paraId="7B4F62AC"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17</w:t>
            </w:r>
          </w:p>
        </w:tc>
        <w:tc>
          <w:tcPr>
            <w:tcW w:w="9613" w:type="dxa"/>
            <w:shd w:val="clear" w:color="auto" w:fill="auto"/>
            <w:vAlign w:val="center"/>
          </w:tcPr>
          <w:p w14:paraId="2F8949C3"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For each included source of evidence, present the relevant data that were charted that relate to the review questions and objectives.</w:t>
            </w:r>
          </w:p>
        </w:tc>
        <w:sdt>
          <w:sdtPr>
            <w:rPr>
              <w:rFonts w:ascii="Times New Roman" w:hAnsi="Times New Roman" w:cs="Times New Roman"/>
              <w:sz w:val="20"/>
              <w:szCs w:val="20"/>
            </w:rPr>
            <w:id w:val="-1628242984"/>
            <w:placeholder>
              <w:docPart w:val="37A2DBC88CDA4ADB87A37E9180B4ED03"/>
            </w:placeholder>
          </w:sdtPr>
          <w:sdtEndPr/>
          <w:sdtContent>
            <w:tc>
              <w:tcPr>
                <w:tcW w:w="1053" w:type="dxa"/>
                <w:shd w:val="clear" w:color="auto" w:fill="auto"/>
                <w:vAlign w:val="center"/>
              </w:tcPr>
              <w:p w14:paraId="40DF7942" w14:textId="66C27639" w:rsidR="00E26377" w:rsidRPr="00564D76" w:rsidRDefault="00E26377" w:rsidP="000F5A18">
                <w:pPr>
                  <w:rPr>
                    <w:rFonts w:ascii="Times New Roman" w:hAnsi="Times New Roman" w:cs="Times New Roman"/>
                    <w:sz w:val="20"/>
                    <w:szCs w:val="20"/>
                  </w:rPr>
                </w:pPr>
                <w:r w:rsidRPr="00564D76">
                  <w:rPr>
                    <w:rFonts w:ascii="Times New Roman" w:hAnsi="Times New Roman" w:cs="Times New Roman"/>
                    <w:sz w:val="20"/>
                    <w:szCs w:val="20"/>
                  </w:rPr>
                  <w:t>Page 8</w:t>
                </w:r>
                <w:r w:rsidR="00815BBF" w:rsidRPr="00564D76">
                  <w:rPr>
                    <w:rFonts w:ascii="Times New Roman" w:hAnsi="Times New Roman" w:cs="Times New Roman"/>
                    <w:sz w:val="20"/>
                    <w:szCs w:val="20"/>
                    <w:lang w:val="en-AU"/>
                  </w:rPr>
                  <w:t>-</w:t>
                </w:r>
                <w:r w:rsidRPr="00564D76">
                  <w:rPr>
                    <w:rFonts w:ascii="Times New Roman" w:hAnsi="Times New Roman" w:cs="Times New Roman"/>
                    <w:sz w:val="20"/>
                    <w:szCs w:val="20"/>
                  </w:rPr>
                  <w:t xml:space="preserve">9 </w:t>
                </w:r>
              </w:p>
            </w:tc>
          </w:sdtContent>
        </w:sdt>
      </w:tr>
      <w:tr w:rsidR="00E26377" w:rsidRPr="00722AEE" w14:paraId="6F637987" w14:textId="77777777" w:rsidTr="000F5A18">
        <w:tc>
          <w:tcPr>
            <w:tcW w:w="0" w:type="auto"/>
            <w:shd w:val="clear" w:color="auto" w:fill="auto"/>
            <w:vAlign w:val="center"/>
          </w:tcPr>
          <w:p w14:paraId="05842AE3"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Synthesis of results</w:t>
            </w:r>
          </w:p>
        </w:tc>
        <w:tc>
          <w:tcPr>
            <w:tcW w:w="0" w:type="auto"/>
            <w:shd w:val="clear" w:color="auto" w:fill="auto"/>
            <w:vAlign w:val="center"/>
          </w:tcPr>
          <w:p w14:paraId="3A6DEFAD"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18</w:t>
            </w:r>
          </w:p>
        </w:tc>
        <w:tc>
          <w:tcPr>
            <w:tcW w:w="9613" w:type="dxa"/>
            <w:shd w:val="clear" w:color="auto" w:fill="auto"/>
            <w:vAlign w:val="center"/>
          </w:tcPr>
          <w:p w14:paraId="269095F1"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Summarize and/or present the charting results as they relate to the review questions and objectives.</w:t>
            </w:r>
          </w:p>
        </w:tc>
        <w:sdt>
          <w:sdtPr>
            <w:rPr>
              <w:rFonts w:ascii="Times New Roman" w:hAnsi="Times New Roman" w:cs="Times New Roman"/>
              <w:sz w:val="20"/>
              <w:szCs w:val="20"/>
            </w:rPr>
            <w:id w:val="547573417"/>
            <w:placeholder>
              <w:docPart w:val="37A2DBC88CDA4ADB87A37E9180B4ED03"/>
            </w:placeholder>
          </w:sdtPr>
          <w:sdtEndPr/>
          <w:sdtContent>
            <w:tc>
              <w:tcPr>
                <w:tcW w:w="1053" w:type="dxa"/>
                <w:shd w:val="clear" w:color="auto" w:fill="auto"/>
                <w:vAlign w:val="center"/>
              </w:tcPr>
              <w:p w14:paraId="13D50D14" w14:textId="77777777" w:rsidR="00E26377" w:rsidRPr="00564D76" w:rsidRDefault="00E26377" w:rsidP="000F5A18">
                <w:pPr>
                  <w:rPr>
                    <w:rFonts w:ascii="Times New Roman" w:hAnsi="Times New Roman" w:cs="Times New Roman"/>
                    <w:sz w:val="20"/>
                    <w:szCs w:val="20"/>
                  </w:rPr>
                </w:pPr>
                <w:r w:rsidRPr="00564D76">
                  <w:rPr>
                    <w:rFonts w:ascii="Times New Roman" w:hAnsi="Times New Roman" w:cs="Times New Roman"/>
                    <w:sz w:val="20"/>
                    <w:szCs w:val="20"/>
                  </w:rPr>
                  <w:t>Page 9-19</w:t>
                </w:r>
              </w:p>
            </w:tc>
          </w:sdtContent>
        </w:sdt>
      </w:tr>
      <w:tr w:rsidR="00E26377" w:rsidRPr="00722AEE" w14:paraId="0CCD8717" w14:textId="77777777" w:rsidTr="000F5A18">
        <w:tc>
          <w:tcPr>
            <w:tcW w:w="0" w:type="auto"/>
            <w:gridSpan w:val="4"/>
            <w:shd w:val="clear" w:color="auto" w:fill="auto"/>
            <w:vAlign w:val="center"/>
          </w:tcPr>
          <w:p w14:paraId="563A11E6" w14:textId="77777777" w:rsidR="00E26377" w:rsidRPr="00564D76" w:rsidRDefault="00E26377" w:rsidP="000F5A18">
            <w:pPr>
              <w:rPr>
                <w:rFonts w:ascii="Times New Roman" w:hAnsi="Times New Roman" w:cs="Times New Roman"/>
                <w:sz w:val="20"/>
                <w:szCs w:val="20"/>
              </w:rPr>
            </w:pPr>
            <w:r w:rsidRPr="00564D76">
              <w:rPr>
                <w:rFonts w:ascii="Times New Roman" w:hAnsi="Times New Roman" w:cs="Times New Roman"/>
                <w:sz w:val="20"/>
                <w:szCs w:val="20"/>
              </w:rPr>
              <w:t>DISCUSSION</w:t>
            </w:r>
          </w:p>
        </w:tc>
      </w:tr>
      <w:tr w:rsidR="00E26377" w:rsidRPr="00722AEE" w14:paraId="7C6875A7" w14:textId="77777777" w:rsidTr="000F5A18">
        <w:tc>
          <w:tcPr>
            <w:tcW w:w="0" w:type="auto"/>
            <w:shd w:val="clear" w:color="auto" w:fill="auto"/>
            <w:vAlign w:val="center"/>
          </w:tcPr>
          <w:p w14:paraId="43C42B5D"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Summary of evidence</w:t>
            </w:r>
          </w:p>
        </w:tc>
        <w:tc>
          <w:tcPr>
            <w:tcW w:w="0" w:type="auto"/>
            <w:shd w:val="clear" w:color="auto" w:fill="auto"/>
            <w:vAlign w:val="center"/>
          </w:tcPr>
          <w:p w14:paraId="57C0567E"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19</w:t>
            </w:r>
          </w:p>
        </w:tc>
        <w:tc>
          <w:tcPr>
            <w:tcW w:w="9613" w:type="dxa"/>
            <w:shd w:val="clear" w:color="auto" w:fill="auto"/>
            <w:vAlign w:val="center"/>
          </w:tcPr>
          <w:p w14:paraId="08C2F319"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Summarize the main results (including an overview of concepts, themes, and types of evidence available), link to the review questions and objectives, and consider the relevance to key groups.</w:t>
            </w:r>
          </w:p>
        </w:tc>
        <w:sdt>
          <w:sdtPr>
            <w:rPr>
              <w:rFonts w:ascii="Times New Roman" w:hAnsi="Times New Roman" w:cs="Times New Roman"/>
              <w:sz w:val="20"/>
              <w:szCs w:val="20"/>
            </w:rPr>
            <w:id w:val="1890606668"/>
            <w:placeholder>
              <w:docPart w:val="37A2DBC88CDA4ADB87A37E9180B4ED03"/>
            </w:placeholder>
          </w:sdtPr>
          <w:sdtEndPr/>
          <w:sdtContent>
            <w:tc>
              <w:tcPr>
                <w:tcW w:w="1053" w:type="dxa"/>
                <w:shd w:val="clear" w:color="auto" w:fill="auto"/>
                <w:vAlign w:val="center"/>
              </w:tcPr>
              <w:p w14:paraId="39F4B8F6" w14:textId="1C881711" w:rsidR="00E26377" w:rsidRPr="00564D76" w:rsidRDefault="00E26377" w:rsidP="000F5A18">
                <w:pPr>
                  <w:rPr>
                    <w:rFonts w:ascii="Times New Roman" w:hAnsi="Times New Roman" w:cs="Times New Roman"/>
                    <w:sz w:val="20"/>
                    <w:szCs w:val="20"/>
                  </w:rPr>
                </w:pPr>
                <w:r w:rsidRPr="00564D76">
                  <w:rPr>
                    <w:rFonts w:ascii="Times New Roman" w:hAnsi="Times New Roman" w:cs="Times New Roman"/>
                    <w:sz w:val="20"/>
                    <w:szCs w:val="20"/>
                  </w:rPr>
                  <w:t xml:space="preserve">Page </w:t>
                </w:r>
                <w:r w:rsidR="00815BBF" w:rsidRPr="00564D76">
                  <w:rPr>
                    <w:rFonts w:ascii="Times New Roman" w:hAnsi="Times New Roman" w:cs="Times New Roman"/>
                    <w:sz w:val="20"/>
                    <w:szCs w:val="20"/>
                    <w:lang w:val="en-AU"/>
                  </w:rPr>
                  <w:t>16</w:t>
                </w:r>
              </w:p>
            </w:tc>
          </w:sdtContent>
        </w:sdt>
      </w:tr>
      <w:tr w:rsidR="00E26377" w:rsidRPr="00722AEE" w14:paraId="316EA62E" w14:textId="77777777" w:rsidTr="000F5A18">
        <w:tc>
          <w:tcPr>
            <w:tcW w:w="0" w:type="auto"/>
            <w:shd w:val="clear" w:color="auto" w:fill="auto"/>
            <w:vAlign w:val="center"/>
          </w:tcPr>
          <w:p w14:paraId="4E768206"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Limitations</w:t>
            </w:r>
          </w:p>
        </w:tc>
        <w:tc>
          <w:tcPr>
            <w:tcW w:w="0" w:type="auto"/>
            <w:shd w:val="clear" w:color="auto" w:fill="auto"/>
            <w:vAlign w:val="center"/>
          </w:tcPr>
          <w:p w14:paraId="336711D9"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20</w:t>
            </w:r>
          </w:p>
        </w:tc>
        <w:tc>
          <w:tcPr>
            <w:tcW w:w="9613" w:type="dxa"/>
            <w:shd w:val="clear" w:color="auto" w:fill="auto"/>
            <w:vAlign w:val="center"/>
          </w:tcPr>
          <w:p w14:paraId="14247A5E"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Discuss the limitations of the scoping review process.</w:t>
            </w:r>
          </w:p>
        </w:tc>
        <w:tc>
          <w:tcPr>
            <w:tcW w:w="1053" w:type="dxa"/>
            <w:shd w:val="clear" w:color="auto" w:fill="auto"/>
            <w:vAlign w:val="center"/>
          </w:tcPr>
          <w:p w14:paraId="56771508" w14:textId="08D237AE" w:rsidR="00E26377" w:rsidRPr="00564D76" w:rsidRDefault="00E26377" w:rsidP="000F5A18">
            <w:pPr>
              <w:rPr>
                <w:rFonts w:ascii="Times New Roman" w:hAnsi="Times New Roman" w:cs="Times New Roman"/>
                <w:sz w:val="20"/>
                <w:szCs w:val="20"/>
              </w:rPr>
            </w:pPr>
            <w:r w:rsidRPr="00564D76">
              <w:rPr>
                <w:rFonts w:ascii="Times New Roman" w:hAnsi="Times New Roman" w:cs="Times New Roman"/>
                <w:sz w:val="20"/>
                <w:szCs w:val="20"/>
              </w:rPr>
              <w:t xml:space="preserve">Page </w:t>
            </w:r>
            <w:r w:rsidR="00815BBF" w:rsidRPr="00564D76">
              <w:rPr>
                <w:rFonts w:ascii="Times New Roman" w:hAnsi="Times New Roman" w:cs="Times New Roman"/>
                <w:sz w:val="20"/>
                <w:szCs w:val="20"/>
                <w:lang w:val="en-AU"/>
              </w:rPr>
              <w:t>18</w:t>
            </w:r>
            <w:r w:rsidRPr="00564D76">
              <w:rPr>
                <w:rFonts w:ascii="Times New Roman" w:hAnsi="Times New Roman" w:cs="Times New Roman"/>
                <w:sz w:val="20"/>
                <w:szCs w:val="20"/>
              </w:rPr>
              <w:t>-19</w:t>
            </w:r>
          </w:p>
        </w:tc>
      </w:tr>
      <w:tr w:rsidR="00E26377" w:rsidRPr="00722AEE" w14:paraId="6EE4AD47" w14:textId="77777777" w:rsidTr="000F5A18">
        <w:tc>
          <w:tcPr>
            <w:tcW w:w="0" w:type="auto"/>
            <w:shd w:val="clear" w:color="auto" w:fill="auto"/>
            <w:vAlign w:val="center"/>
          </w:tcPr>
          <w:p w14:paraId="7CE9F71E"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Conclusions</w:t>
            </w:r>
          </w:p>
        </w:tc>
        <w:tc>
          <w:tcPr>
            <w:tcW w:w="0" w:type="auto"/>
            <w:shd w:val="clear" w:color="auto" w:fill="auto"/>
            <w:vAlign w:val="center"/>
          </w:tcPr>
          <w:p w14:paraId="36BA33E2"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21</w:t>
            </w:r>
          </w:p>
        </w:tc>
        <w:tc>
          <w:tcPr>
            <w:tcW w:w="9613" w:type="dxa"/>
            <w:shd w:val="clear" w:color="auto" w:fill="auto"/>
            <w:vAlign w:val="center"/>
          </w:tcPr>
          <w:p w14:paraId="206533DA"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Provide a general interpretation of the results with respect to the review questions and objectives, as well as potential implications and/or next steps.</w:t>
            </w:r>
          </w:p>
        </w:tc>
        <w:sdt>
          <w:sdtPr>
            <w:rPr>
              <w:rFonts w:ascii="Times New Roman" w:hAnsi="Times New Roman" w:cs="Times New Roman"/>
              <w:sz w:val="20"/>
              <w:szCs w:val="20"/>
            </w:rPr>
            <w:id w:val="-1052302124"/>
            <w:placeholder>
              <w:docPart w:val="37A2DBC88CDA4ADB87A37E9180B4ED03"/>
            </w:placeholder>
          </w:sdtPr>
          <w:sdtEndPr/>
          <w:sdtContent>
            <w:tc>
              <w:tcPr>
                <w:tcW w:w="1053" w:type="dxa"/>
                <w:shd w:val="clear" w:color="auto" w:fill="auto"/>
                <w:vAlign w:val="center"/>
              </w:tcPr>
              <w:p w14:paraId="6583085C" w14:textId="70B30079" w:rsidR="00E26377" w:rsidRPr="00564D76" w:rsidRDefault="00E26377" w:rsidP="000F5A18">
                <w:pPr>
                  <w:rPr>
                    <w:rFonts w:ascii="Times New Roman" w:hAnsi="Times New Roman" w:cs="Times New Roman"/>
                    <w:sz w:val="20"/>
                    <w:szCs w:val="20"/>
                  </w:rPr>
                </w:pPr>
                <w:r w:rsidRPr="00564D76">
                  <w:rPr>
                    <w:rFonts w:ascii="Times New Roman" w:hAnsi="Times New Roman" w:cs="Times New Roman"/>
                    <w:sz w:val="20"/>
                    <w:szCs w:val="20"/>
                  </w:rPr>
                  <w:t xml:space="preserve">Page </w:t>
                </w:r>
                <w:r w:rsidR="00815BBF" w:rsidRPr="00564D76">
                  <w:rPr>
                    <w:rFonts w:ascii="Times New Roman" w:hAnsi="Times New Roman" w:cs="Times New Roman"/>
                    <w:sz w:val="20"/>
                    <w:szCs w:val="20"/>
                    <w:lang w:val="en-AU"/>
                  </w:rPr>
                  <w:t>19</w:t>
                </w:r>
              </w:p>
            </w:tc>
          </w:sdtContent>
        </w:sdt>
      </w:tr>
      <w:tr w:rsidR="00E26377" w:rsidRPr="00722AEE" w14:paraId="68F325D7" w14:textId="77777777" w:rsidTr="000F5A18">
        <w:tc>
          <w:tcPr>
            <w:tcW w:w="0" w:type="auto"/>
            <w:gridSpan w:val="4"/>
            <w:shd w:val="clear" w:color="auto" w:fill="auto"/>
            <w:vAlign w:val="center"/>
          </w:tcPr>
          <w:p w14:paraId="55D8604C" w14:textId="77777777" w:rsidR="00E26377" w:rsidRPr="00564D76" w:rsidRDefault="00E26377" w:rsidP="000F5A18">
            <w:pPr>
              <w:rPr>
                <w:rFonts w:ascii="Times New Roman" w:hAnsi="Times New Roman" w:cs="Times New Roman"/>
                <w:sz w:val="20"/>
                <w:szCs w:val="20"/>
              </w:rPr>
            </w:pPr>
            <w:r w:rsidRPr="00564D76">
              <w:rPr>
                <w:rFonts w:ascii="Times New Roman" w:hAnsi="Times New Roman" w:cs="Times New Roman"/>
                <w:sz w:val="20"/>
                <w:szCs w:val="20"/>
              </w:rPr>
              <w:t>FUNDING</w:t>
            </w:r>
          </w:p>
        </w:tc>
      </w:tr>
      <w:tr w:rsidR="00E26377" w:rsidRPr="00722AEE" w14:paraId="73F5F210" w14:textId="77777777" w:rsidTr="000F5A18">
        <w:tc>
          <w:tcPr>
            <w:tcW w:w="0" w:type="auto"/>
            <w:shd w:val="clear" w:color="auto" w:fill="auto"/>
            <w:vAlign w:val="center"/>
          </w:tcPr>
          <w:p w14:paraId="52FF87F7"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Funding</w:t>
            </w:r>
          </w:p>
        </w:tc>
        <w:tc>
          <w:tcPr>
            <w:tcW w:w="0" w:type="auto"/>
            <w:shd w:val="clear" w:color="auto" w:fill="auto"/>
            <w:vAlign w:val="center"/>
          </w:tcPr>
          <w:p w14:paraId="300FE6EC"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22</w:t>
            </w:r>
          </w:p>
        </w:tc>
        <w:tc>
          <w:tcPr>
            <w:tcW w:w="9613" w:type="dxa"/>
            <w:shd w:val="clear" w:color="auto" w:fill="auto"/>
            <w:vAlign w:val="center"/>
          </w:tcPr>
          <w:p w14:paraId="6D1ABD8E" w14:textId="77777777" w:rsidR="00E26377" w:rsidRPr="00722AEE" w:rsidRDefault="00E26377" w:rsidP="000F5A18">
            <w:pPr>
              <w:rPr>
                <w:rFonts w:ascii="Times New Roman" w:hAnsi="Times New Roman" w:cs="Times New Roman"/>
                <w:sz w:val="20"/>
                <w:szCs w:val="20"/>
              </w:rPr>
            </w:pPr>
            <w:r w:rsidRPr="00722AEE">
              <w:rPr>
                <w:rFonts w:ascii="Times New Roman" w:hAnsi="Times New Roman" w:cs="Times New Roman"/>
                <w:sz w:val="20"/>
                <w:szCs w:val="20"/>
              </w:rPr>
              <w:t>Describe sources of funding for the included sources of evidence, as well as sources of funding for the scoping review. Describe the role of the funders of the scoping review.</w:t>
            </w:r>
          </w:p>
        </w:tc>
        <w:sdt>
          <w:sdtPr>
            <w:rPr>
              <w:rFonts w:ascii="Times New Roman" w:hAnsi="Times New Roman" w:cs="Times New Roman"/>
              <w:sz w:val="20"/>
              <w:szCs w:val="20"/>
            </w:rPr>
            <w:id w:val="-1660921886"/>
            <w:placeholder>
              <w:docPart w:val="37A2DBC88CDA4ADB87A37E9180B4ED03"/>
            </w:placeholder>
          </w:sdtPr>
          <w:sdtEndPr/>
          <w:sdtContent>
            <w:tc>
              <w:tcPr>
                <w:tcW w:w="1053" w:type="dxa"/>
                <w:shd w:val="clear" w:color="auto" w:fill="auto"/>
                <w:vAlign w:val="center"/>
              </w:tcPr>
              <w:p w14:paraId="35E6D7EA" w14:textId="53D839D5" w:rsidR="00E26377" w:rsidRPr="00564D76" w:rsidRDefault="00E26377" w:rsidP="000F5A18">
                <w:pPr>
                  <w:rPr>
                    <w:rFonts w:ascii="Times New Roman" w:hAnsi="Times New Roman" w:cs="Times New Roman"/>
                    <w:sz w:val="20"/>
                    <w:szCs w:val="20"/>
                  </w:rPr>
                </w:pPr>
                <w:r w:rsidRPr="00564D76">
                  <w:rPr>
                    <w:rFonts w:ascii="Times New Roman" w:hAnsi="Times New Roman" w:cs="Times New Roman"/>
                    <w:sz w:val="20"/>
                    <w:szCs w:val="20"/>
                  </w:rPr>
                  <w:t xml:space="preserve">Page </w:t>
                </w:r>
                <w:r w:rsidR="00815BBF" w:rsidRPr="00564D76">
                  <w:rPr>
                    <w:rFonts w:ascii="Times New Roman" w:hAnsi="Times New Roman" w:cs="Times New Roman"/>
                    <w:sz w:val="20"/>
                    <w:szCs w:val="20"/>
                    <w:lang w:val="en-AU"/>
                  </w:rPr>
                  <w:t>19</w:t>
                </w:r>
              </w:p>
            </w:tc>
          </w:sdtContent>
        </w:sdt>
      </w:tr>
    </w:tbl>
    <w:p w14:paraId="6F4D26A3" w14:textId="77777777" w:rsidR="00E26377" w:rsidRPr="00722AEE" w:rsidRDefault="00E26377" w:rsidP="00BA6AEF">
      <w:pPr>
        <w:rPr>
          <w:rFonts w:ascii="Times New Roman" w:hAnsi="Times New Roman" w:cs="Times New Roman"/>
          <w:b/>
          <w:bCs/>
          <w:sz w:val="20"/>
          <w:szCs w:val="20"/>
          <w:lang w:val="en-AU"/>
        </w:rPr>
      </w:pPr>
    </w:p>
    <w:p w14:paraId="36FED64A" w14:textId="3F555A7E" w:rsidR="00117735" w:rsidRPr="00722AEE" w:rsidRDefault="006F65D3" w:rsidP="00BA6AEF">
      <w:pPr>
        <w:rPr>
          <w:rFonts w:ascii="Times New Roman" w:hAnsi="Times New Roman" w:cs="Times New Roman"/>
          <w:sz w:val="20"/>
          <w:szCs w:val="20"/>
          <w:lang w:val="en-AU"/>
        </w:rPr>
      </w:pPr>
      <w:r w:rsidRPr="00722AEE">
        <w:rPr>
          <w:rFonts w:ascii="Times New Roman" w:hAnsi="Times New Roman" w:cs="Times New Roman"/>
          <w:sz w:val="20"/>
          <w:szCs w:val="20"/>
          <w:lang w:val="en-AU"/>
        </w:rPr>
        <w:t>Table</w:t>
      </w:r>
      <w:r w:rsidR="00305E8E" w:rsidRPr="00722AEE">
        <w:rPr>
          <w:rFonts w:ascii="Times New Roman" w:hAnsi="Times New Roman" w:cs="Times New Roman"/>
          <w:sz w:val="20"/>
          <w:szCs w:val="20"/>
          <w:lang w:val="en-AU"/>
        </w:rPr>
        <w:t xml:space="preserve"> S</w:t>
      </w:r>
      <w:r w:rsidR="00ED2F70" w:rsidRPr="00722AEE">
        <w:rPr>
          <w:rFonts w:ascii="Times New Roman" w:hAnsi="Times New Roman" w:cs="Times New Roman"/>
          <w:sz w:val="20"/>
          <w:szCs w:val="20"/>
          <w:lang w:val="en-AU"/>
        </w:rPr>
        <w:t>2</w:t>
      </w:r>
      <w:r w:rsidRPr="00722AEE">
        <w:rPr>
          <w:rFonts w:ascii="Times New Roman" w:hAnsi="Times New Roman" w:cs="Times New Roman"/>
          <w:sz w:val="20"/>
          <w:szCs w:val="20"/>
          <w:lang w:val="en-AU"/>
        </w:rPr>
        <w:t xml:space="preserve">: </w:t>
      </w:r>
      <w:r w:rsidR="00ED2F70" w:rsidRPr="00722AEE">
        <w:rPr>
          <w:rFonts w:ascii="Times New Roman" w:hAnsi="Times New Roman" w:cs="Times New Roman"/>
          <w:sz w:val="20"/>
          <w:szCs w:val="20"/>
          <w:lang w:val="en-AU"/>
        </w:rPr>
        <w:t xml:space="preserve">a summary of </w:t>
      </w:r>
      <w:r w:rsidRPr="00722AEE">
        <w:rPr>
          <w:rFonts w:ascii="Times New Roman" w:hAnsi="Times New Roman" w:cs="Times New Roman"/>
          <w:sz w:val="20"/>
          <w:szCs w:val="20"/>
          <w:lang w:val="en-AU"/>
        </w:rPr>
        <w:t>studies included in the review</w:t>
      </w:r>
      <w:r w:rsidR="007130D0" w:rsidRPr="00722AEE">
        <w:rPr>
          <w:rFonts w:ascii="Times New Roman" w:hAnsi="Times New Roman" w:cs="Times New Roman"/>
          <w:sz w:val="20"/>
          <w:szCs w:val="20"/>
          <w:lang w:val="en-AU"/>
        </w:rPr>
        <w:t xml:space="preserve">. </w:t>
      </w:r>
    </w:p>
    <w:tbl>
      <w:tblPr>
        <w:tblW w:w="47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6"/>
        <w:gridCol w:w="4677"/>
        <w:gridCol w:w="1134"/>
        <w:gridCol w:w="1263"/>
      </w:tblGrid>
      <w:tr w:rsidR="00D16652" w:rsidRPr="00722AEE" w14:paraId="2C090050" w14:textId="77777777" w:rsidTr="00D929C1">
        <w:trPr>
          <w:trHeight w:val="245"/>
        </w:trPr>
        <w:tc>
          <w:tcPr>
            <w:tcW w:w="901" w:type="pct"/>
            <w:shd w:val="clear" w:color="auto" w:fill="auto"/>
            <w:hideMark/>
          </w:tcPr>
          <w:p w14:paraId="1FBF197D" w14:textId="2965C3D2" w:rsidR="00D16652" w:rsidRPr="00722AEE" w:rsidRDefault="00305E8E" w:rsidP="00117735">
            <w:pPr>
              <w:spacing w:after="0" w:line="240" w:lineRule="auto"/>
              <w:rPr>
                <w:rFonts w:ascii="Times New Roman" w:eastAsia="Times New Roman" w:hAnsi="Times New Roman" w:cs="Times New Roman"/>
                <w:b/>
                <w:bCs/>
                <w:color w:val="000000"/>
                <w:sz w:val="20"/>
                <w:szCs w:val="20"/>
                <w:lang w:val="en-AU" w:eastAsia="en-AU"/>
              </w:rPr>
            </w:pPr>
            <w:r w:rsidRPr="00722AEE">
              <w:rPr>
                <w:rFonts w:ascii="Times New Roman" w:eastAsia="Times New Roman" w:hAnsi="Times New Roman" w:cs="Times New Roman"/>
                <w:b/>
                <w:bCs/>
                <w:color w:val="000000"/>
                <w:sz w:val="20"/>
                <w:szCs w:val="20"/>
                <w:lang w:val="en-AU" w:eastAsia="en-AU"/>
              </w:rPr>
              <w:t xml:space="preserve">Authors </w:t>
            </w:r>
          </w:p>
        </w:tc>
        <w:tc>
          <w:tcPr>
            <w:tcW w:w="2710" w:type="pct"/>
            <w:shd w:val="clear" w:color="auto" w:fill="auto"/>
            <w:hideMark/>
          </w:tcPr>
          <w:p w14:paraId="01418DDB" w14:textId="2B12813C" w:rsidR="00D16652" w:rsidRPr="00722AEE" w:rsidRDefault="00305E8E" w:rsidP="00117735">
            <w:pPr>
              <w:spacing w:after="0" w:line="240" w:lineRule="auto"/>
              <w:rPr>
                <w:rFonts w:ascii="Times New Roman" w:eastAsia="Times New Roman" w:hAnsi="Times New Roman" w:cs="Times New Roman"/>
                <w:b/>
                <w:bCs/>
                <w:color w:val="000000"/>
                <w:sz w:val="20"/>
                <w:szCs w:val="20"/>
                <w:lang w:val="en-AU" w:eastAsia="en-AU"/>
              </w:rPr>
            </w:pPr>
            <w:r w:rsidRPr="00722AEE">
              <w:rPr>
                <w:rFonts w:ascii="Times New Roman" w:eastAsia="Times New Roman" w:hAnsi="Times New Roman" w:cs="Times New Roman"/>
                <w:b/>
                <w:bCs/>
                <w:color w:val="000000"/>
                <w:sz w:val="20"/>
                <w:szCs w:val="20"/>
                <w:lang w:val="en-AU" w:eastAsia="en-AU"/>
              </w:rPr>
              <w:t xml:space="preserve">Aim </w:t>
            </w:r>
          </w:p>
        </w:tc>
        <w:tc>
          <w:tcPr>
            <w:tcW w:w="657" w:type="pct"/>
            <w:shd w:val="clear" w:color="auto" w:fill="auto"/>
            <w:hideMark/>
          </w:tcPr>
          <w:p w14:paraId="4AEBBBF0" w14:textId="664D4AB8" w:rsidR="00D16652" w:rsidRPr="00722AEE" w:rsidRDefault="00305E8E" w:rsidP="00117735">
            <w:pPr>
              <w:spacing w:after="0" w:line="240" w:lineRule="auto"/>
              <w:rPr>
                <w:rFonts w:ascii="Times New Roman" w:eastAsia="Times New Roman" w:hAnsi="Times New Roman" w:cs="Times New Roman"/>
                <w:b/>
                <w:bCs/>
                <w:color w:val="000000"/>
                <w:sz w:val="20"/>
                <w:szCs w:val="20"/>
                <w:lang w:val="en-AU" w:eastAsia="en-AU"/>
              </w:rPr>
            </w:pPr>
            <w:r w:rsidRPr="00722AEE">
              <w:rPr>
                <w:rFonts w:ascii="Times New Roman" w:eastAsia="Times New Roman" w:hAnsi="Times New Roman" w:cs="Times New Roman"/>
                <w:b/>
                <w:bCs/>
                <w:color w:val="000000"/>
                <w:sz w:val="20"/>
                <w:szCs w:val="20"/>
                <w:lang w:val="en-AU" w:eastAsia="en-AU"/>
              </w:rPr>
              <w:t xml:space="preserve">Country </w:t>
            </w:r>
          </w:p>
        </w:tc>
        <w:tc>
          <w:tcPr>
            <w:tcW w:w="732" w:type="pct"/>
            <w:shd w:val="clear" w:color="auto" w:fill="auto"/>
            <w:hideMark/>
          </w:tcPr>
          <w:p w14:paraId="5095B490" w14:textId="25416E0A" w:rsidR="00D16652" w:rsidRPr="00722AEE" w:rsidRDefault="00D929C1" w:rsidP="00117735">
            <w:pPr>
              <w:spacing w:after="0" w:line="240" w:lineRule="auto"/>
              <w:rPr>
                <w:rFonts w:ascii="Times New Roman" w:eastAsia="Times New Roman" w:hAnsi="Times New Roman" w:cs="Times New Roman"/>
                <w:b/>
                <w:bCs/>
                <w:color w:val="000000"/>
                <w:sz w:val="20"/>
                <w:szCs w:val="20"/>
                <w:lang w:val="en-AU" w:eastAsia="en-AU"/>
              </w:rPr>
            </w:pPr>
            <w:r w:rsidRPr="00722AEE">
              <w:rPr>
                <w:rFonts w:ascii="Times New Roman" w:eastAsia="Times New Roman" w:hAnsi="Times New Roman" w:cs="Times New Roman"/>
                <w:b/>
                <w:bCs/>
                <w:color w:val="000000"/>
                <w:sz w:val="20"/>
                <w:szCs w:val="20"/>
                <w:lang w:val="en-AU" w:eastAsia="en-AU"/>
              </w:rPr>
              <w:t xml:space="preserve">Study </w:t>
            </w:r>
            <w:r>
              <w:rPr>
                <w:rFonts w:ascii="Times New Roman" w:eastAsia="Times New Roman" w:hAnsi="Times New Roman" w:cs="Times New Roman"/>
                <w:b/>
                <w:bCs/>
                <w:color w:val="000000"/>
                <w:sz w:val="20"/>
                <w:szCs w:val="20"/>
                <w:lang w:val="en-AU" w:eastAsia="en-AU"/>
              </w:rPr>
              <w:t>t</w:t>
            </w:r>
            <w:r w:rsidRPr="00722AEE">
              <w:rPr>
                <w:rFonts w:ascii="Times New Roman" w:eastAsia="Times New Roman" w:hAnsi="Times New Roman" w:cs="Times New Roman"/>
                <w:b/>
                <w:bCs/>
                <w:color w:val="000000"/>
                <w:sz w:val="20"/>
                <w:szCs w:val="20"/>
                <w:lang w:val="en-AU" w:eastAsia="en-AU"/>
              </w:rPr>
              <w:t>ype</w:t>
            </w:r>
          </w:p>
        </w:tc>
      </w:tr>
      <w:tr w:rsidR="00D16652" w:rsidRPr="00722AEE" w14:paraId="61D882F0" w14:textId="77777777" w:rsidTr="00D929C1">
        <w:trPr>
          <w:trHeight w:val="780"/>
        </w:trPr>
        <w:tc>
          <w:tcPr>
            <w:tcW w:w="901" w:type="pct"/>
            <w:shd w:val="clear" w:color="auto" w:fill="auto"/>
            <w:hideMark/>
          </w:tcPr>
          <w:p w14:paraId="705DCDFC" w14:textId="6968B85C"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Scott</w:t>
            </w:r>
            <w:r w:rsidR="00397D16"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59B41CFA" w14:textId="77777777"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To define the joint principles of the patient-</w:t>
            </w:r>
            <w:r w:rsidRPr="00722AEE">
              <w:rPr>
                <w:rFonts w:ascii="Times New Roman" w:eastAsia="Times New Roman" w:hAnsi="Times New Roman" w:cs="Times New Roman"/>
                <w:color w:val="000000"/>
                <w:sz w:val="20"/>
                <w:szCs w:val="20"/>
                <w:lang w:val="en-AU" w:eastAsia="en-AU"/>
              </w:rPr>
              <w:softHyphen/>
              <w:t>‐centered medical home (PCMH) and describe the integration of pharmacists into a PCMH</w:t>
            </w:r>
          </w:p>
        </w:tc>
        <w:tc>
          <w:tcPr>
            <w:tcW w:w="657" w:type="pct"/>
            <w:shd w:val="clear" w:color="auto" w:fill="auto"/>
            <w:noWrap/>
            <w:hideMark/>
          </w:tcPr>
          <w:p w14:paraId="6DC89A54" w14:textId="4A099F29"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US</w:t>
            </w:r>
          </w:p>
        </w:tc>
        <w:tc>
          <w:tcPr>
            <w:tcW w:w="732" w:type="pct"/>
            <w:shd w:val="clear" w:color="auto" w:fill="auto"/>
            <w:hideMark/>
          </w:tcPr>
          <w:p w14:paraId="43D57DDA" w14:textId="3583FFF8"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Qualitative </w:t>
            </w:r>
          </w:p>
        </w:tc>
      </w:tr>
      <w:tr w:rsidR="00D16652" w:rsidRPr="00722AEE" w14:paraId="6CF6B71D" w14:textId="77777777" w:rsidTr="00D929C1">
        <w:trPr>
          <w:trHeight w:val="780"/>
        </w:trPr>
        <w:tc>
          <w:tcPr>
            <w:tcW w:w="901" w:type="pct"/>
            <w:shd w:val="clear" w:color="auto" w:fill="auto"/>
            <w:hideMark/>
          </w:tcPr>
          <w:p w14:paraId="4A240DB9" w14:textId="5B0C997A"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Council</w:t>
            </w:r>
            <w:r w:rsidR="00397D16" w:rsidRPr="00722AEE">
              <w:rPr>
                <w:rFonts w:ascii="Times New Roman" w:eastAsia="Times New Roman" w:hAnsi="Times New Roman" w:cs="Times New Roman"/>
                <w:color w:val="000000"/>
                <w:sz w:val="20"/>
                <w:szCs w:val="20"/>
                <w:lang w:val="en-AU" w:eastAsia="en-AU"/>
              </w:rPr>
              <w:t xml:space="preserve"> et al </w:t>
            </w:r>
          </w:p>
        </w:tc>
        <w:tc>
          <w:tcPr>
            <w:tcW w:w="2710" w:type="pct"/>
            <w:shd w:val="clear" w:color="auto" w:fill="auto"/>
            <w:hideMark/>
          </w:tcPr>
          <w:p w14:paraId="642F588F" w14:textId="42F59B35" w:rsidR="00D16652" w:rsidRPr="00722AEE" w:rsidRDefault="00163C80"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To describe</w:t>
            </w:r>
            <w:r w:rsidR="00D16652" w:rsidRPr="00722AEE">
              <w:rPr>
                <w:rFonts w:ascii="Times New Roman" w:eastAsia="Times New Roman" w:hAnsi="Times New Roman" w:cs="Times New Roman"/>
                <w:color w:val="000000"/>
                <w:sz w:val="20"/>
                <w:szCs w:val="20"/>
                <w:lang w:val="en-AU" w:eastAsia="en-AU"/>
              </w:rPr>
              <w:t xml:space="preserve"> how the adoption and use of a patient-centered care plan (PCCP) document enhanced care for complex patients and changed the relationships with health team members</w:t>
            </w:r>
          </w:p>
        </w:tc>
        <w:tc>
          <w:tcPr>
            <w:tcW w:w="657" w:type="pct"/>
            <w:shd w:val="clear" w:color="auto" w:fill="auto"/>
            <w:noWrap/>
            <w:hideMark/>
          </w:tcPr>
          <w:p w14:paraId="07654470" w14:textId="1E1ECD35"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US</w:t>
            </w:r>
          </w:p>
        </w:tc>
        <w:tc>
          <w:tcPr>
            <w:tcW w:w="732" w:type="pct"/>
            <w:shd w:val="clear" w:color="auto" w:fill="auto"/>
            <w:hideMark/>
          </w:tcPr>
          <w:p w14:paraId="52FF3209" w14:textId="20975D4D"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Qualitative </w:t>
            </w:r>
          </w:p>
        </w:tc>
      </w:tr>
      <w:tr w:rsidR="00D16652" w:rsidRPr="00722AEE" w14:paraId="2D78C728" w14:textId="77777777" w:rsidTr="00D929C1">
        <w:trPr>
          <w:trHeight w:val="780"/>
        </w:trPr>
        <w:tc>
          <w:tcPr>
            <w:tcW w:w="901" w:type="pct"/>
            <w:shd w:val="clear" w:color="auto" w:fill="auto"/>
            <w:hideMark/>
          </w:tcPr>
          <w:p w14:paraId="4FDBD17D" w14:textId="48B09517"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Hudon</w:t>
            </w:r>
            <w:r w:rsidR="00397D16" w:rsidRPr="00722AEE">
              <w:rPr>
                <w:rFonts w:ascii="Times New Roman" w:eastAsia="Times New Roman" w:hAnsi="Times New Roman" w:cs="Times New Roman"/>
                <w:color w:val="000000"/>
                <w:sz w:val="20"/>
                <w:szCs w:val="20"/>
                <w:lang w:val="en-AU" w:eastAsia="en-AU"/>
              </w:rPr>
              <w:t xml:space="preserve"> et al </w:t>
            </w:r>
          </w:p>
        </w:tc>
        <w:tc>
          <w:tcPr>
            <w:tcW w:w="2710" w:type="pct"/>
            <w:shd w:val="clear" w:color="auto" w:fill="auto"/>
            <w:hideMark/>
          </w:tcPr>
          <w:p w14:paraId="3F008F49" w14:textId="77777777"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The objective was to provide a synthesis of the results of the research and discourse lines on main dimensions of patient-centered care in the context of chronic disease management in family medicine, building on Stewart et al.'s model.</w:t>
            </w:r>
          </w:p>
        </w:tc>
        <w:tc>
          <w:tcPr>
            <w:tcW w:w="657" w:type="pct"/>
            <w:shd w:val="clear" w:color="auto" w:fill="auto"/>
            <w:noWrap/>
            <w:hideMark/>
          </w:tcPr>
          <w:p w14:paraId="1385CC6C" w14:textId="77777777"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p>
        </w:tc>
        <w:tc>
          <w:tcPr>
            <w:tcW w:w="732" w:type="pct"/>
            <w:shd w:val="clear" w:color="auto" w:fill="auto"/>
            <w:hideMark/>
          </w:tcPr>
          <w:p w14:paraId="0F000A1A" w14:textId="49103232"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Review</w:t>
            </w:r>
          </w:p>
        </w:tc>
      </w:tr>
      <w:tr w:rsidR="00D16652" w:rsidRPr="00722AEE" w14:paraId="6A61F627" w14:textId="77777777" w:rsidTr="00D929C1">
        <w:trPr>
          <w:trHeight w:val="780"/>
        </w:trPr>
        <w:tc>
          <w:tcPr>
            <w:tcW w:w="901" w:type="pct"/>
            <w:shd w:val="clear" w:color="auto" w:fill="auto"/>
            <w:hideMark/>
          </w:tcPr>
          <w:p w14:paraId="0D7D03FB" w14:textId="3F4B5AAB"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Leventhal</w:t>
            </w:r>
            <w:r w:rsidR="00397D16"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100E5B60" w14:textId="77777777"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To demonstrate that concepts of patient-centeredness and technology-centeredness must work together within the context of the transformation to the patient-centered medical home (PCMH)</w:t>
            </w:r>
          </w:p>
        </w:tc>
        <w:tc>
          <w:tcPr>
            <w:tcW w:w="657" w:type="pct"/>
            <w:shd w:val="clear" w:color="auto" w:fill="auto"/>
            <w:noWrap/>
            <w:hideMark/>
          </w:tcPr>
          <w:p w14:paraId="11D42547" w14:textId="5951978D"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US</w:t>
            </w:r>
          </w:p>
        </w:tc>
        <w:tc>
          <w:tcPr>
            <w:tcW w:w="732" w:type="pct"/>
            <w:shd w:val="clear" w:color="auto" w:fill="auto"/>
            <w:hideMark/>
          </w:tcPr>
          <w:p w14:paraId="12A6DF80" w14:textId="15872488"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Qualitative </w:t>
            </w:r>
          </w:p>
        </w:tc>
      </w:tr>
      <w:tr w:rsidR="00D16652" w:rsidRPr="00722AEE" w14:paraId="5D671504" w14:textId="77777777" w:rsidTr="00D929C1">
        <w:trPr>
          <w:trHeight w:val="780"/>
        </w:trPr>
        <w:tc>
          <w:tcPr>
            <w:tcW w:w="901" w:type="pct"/>
            <w:shd w:val="clear" w:color="auto" w:fill="auto"/>
            <w:hideMark/>
          </w:tcPr>
          <w:p w14:paraId="4B2D2BCE" w14:textId="2475F3CE"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 Reed</w:t>
            </w:r>
            <w:r w:rsidR="00397D16"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1EF65E6C" w14:textId="48C61E1C" w:rsidR="00D16652" w:rsidRPr="00722AEE" w:rsidRDefault="00163C80"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To </w:t>
            </w:r>
            <w:r w:rsidR="00D16652" w:rsidRPr="00722AEE">
              <w:rPr>
                <w:rFonts w:ascii="Times New Roman" w:eastAsia="Times New Roman" w:hAnsi="Times New Roman" w:cs="Times New Roman"/>
                <w:color w:val="000000"/>
                <w:sz w:val="20"/>
                <w:szCs w:val="20"/>
                <w:lang w:val="en-AU" w:eastAsia="en-AU"/>
              </w:rPr>
              <w:t>understand the process of patient-centered care innovation undertaken by innovative health care organizations - from strategic planning to goal selection to implementation to maintenance.</w:t>
            </w:r>
          </w:p>
        </w:tc>
        <w:tc>
          <w:tcPr>
            <w:tcW w:w="657" w:type="pct"/>
            <w:shd w:val="clear" w:color="auto" w:fill="auto"/>
            <w:noWrap/>
            <w:hideMark/>
          </w:tcPr>
          <w:p w14:paraId="6C910DE1" w14:textId="0AE5D673"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US</w:t>
            </w:r>
          </w:p>
        </w:tc>
        <w:tc>
          <w:tcPr>
            <w:tcW w:w="732" w:type="pct"/>
            <w:shd w:val="clear" w:color="auto" w:fill="auto"/>
            <w:hideMark/>
          </w:tcPr>
          <w:p w14:paraId="13CE56DE" w14:textId="69DCC09F"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Qualitative </w:t>
            </w:r>
          </w:p>
        </w:tc>
      </w:tr>
      <w:tr w:rsidR="00D16652" w:rsidRPr="00722AEE" w14:paraId="4287F515" w14:textId="77777777" w:rsidTr="00D929C1">
        <w:trPr>
          <w:trHeight w:val="475"/>
        </w:trPr>
        <w:tc>
          <w:tcPr>
            <w:tcW w:w="901" w:type="pct"/>
            <w:shd w:val="clear" w:color="auto" w:fill="auto"/>
            <w:hideMark/>
          </w:tcPr>
          <w:p w14:paraId="569E1BC9" w14:textId="477D3406"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Van Berckelaer</w:t>
            </w:r>
            <w:r w:rsidR="00397D16"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0A9CC5FD" w14:textId="02F34B8D"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 little is known about how patients view aspects of the PCMH or how they define patient-centeredness.</w:t>
            </w:r>
          </w:p>
        </w:tc>
        <w:tc>
          <w:tcPr>
            <w:tcW w:w="657" w:type="pct"/>
            <w:shd w:val="clear" w:color="auto" w:fill="auto"/>
            <w:noWrap/>
            <w:hideMark/>
          </w:tcPr>
          <w:p w14:paraId="3B6437D4" w14:textId="4F141A93"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US</w:t>
            </w:r>
          </w:p>
        </w:tc>
        <w:tc>
          <w:tcPr>
            <w:tcW w:w="732" w:type="pct"/>
            <w:shd w:val="clear" w:color="auto" w:fill="auto"/>
            <w:hideMark/>
          </w:tcPr>
          <w:p w14:paraId="0EBE8D58" w14:textId="45988C2E"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Qualitative </w:t>
            </w:r>
          </w:p>
        </w:tc>
      </w:tr>
      <w:tr w:rsidR="00D16652" w:rsidRPr="00722AEE" w14:paraId="234926A9" w14:textId="77777777" w:rsidTr="00D929C1">
        <w:trPr>
          <w:trHeight w:val="780"/>
        </w:trPr>
        <w:tc>
          <w:tcPr>
            <w:tcW w:w="901" w:type="pct"/>
            <w:shd w:val="clear" w:color="auto" w:fill="auto"/>
            <w:hideMark/>
          </w:tcPr>
          <w:p w14:paraId="74D20303" w14:textId="0D23F25C"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 Lavoie</w:t>
            </w:r>
            <w:r w:rsidR="00397D16"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37CA88DF" w14:textId="330D6679"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T</w:t>
            </w:r>
            <w:r w:rsidR="00D16652" w:rsidRPr="00722AEE">
              <w:rPr>
                <w:rFonts w:ascii="Times New Roman" w:eastAsia="Times New Roman" w:hAnsi="Times New Roman" w:cs="Times New Roman"/>
                <w:color w:val="000000"/>
                <w:sz w:val="20"/>
                <w:szCs w:val="20"/>
                <w:lang w:val="en-AU" w:eastAsia="en-AU"/>
              </w:rPr>
              <w:t>o explore dimensions identified as key in the patient-centred literature in the context of primary health care services delivered in a group setting</w:t>
            </w:r>
          </w:p>
        </w:tc>
        <w:tc>
          <w:tcPr>
            <w:tcW w:w="657" w:type="pct"/>
            <w:shd w:val="clear" w:color="auto" w:fill="auto"/>
            <w:noWrap/>
            <w:hideMark/>
          </w:tcPr>
          <w:p w14:paraId="6FF1935F" w14:textId="632407CF"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Canada</w:t>
            </w:r>
          </w:p>
        </w:tc>
        <w:tc>
          <w:tcPr>
            <w:tcW w:w="732" w:type="pct"/>
            <w:shd w:val="clear" w:color="auto" w:fill="auto"/>
            <w:hideMark/>
          </w:tcPr>
          <w:p w14:paraId="21AFA4D7" w14:textId="182DDEB1"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Qualitative </w:t>
            </w:r>
          </w:p>
        </w:tc>
      </w:tr>
      <w:tr w:rsidR="00D16652" w:rsidRPr="00722AEE" w14:paraId="66D2F353" w14:textId="77777777" w:rsidTr="00D929C1">
        <w:trPr>
          <w:trHeight w:val="780"/>
        </w:trPr>
        <w:tc>
          <w:tcPr>
            <w:tcW w:w="901" w:type="pct"/>
            <w:shd w:val="clear" w:color="auto" w:fill="auto"/>
            <w:hideMark/>
          </w:tcPr>
          <w:p w14:paraId="485CECFF" w14:textId="1844B4D5"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Rosstad</w:t>
            </w:r>
            <w:r w:rsidR="00397D16"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2FFCD70B" w14:textId="77777777"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to develop pathways for patients diagnosed with heart failure, COPD and stroke. The aim of this paper is to investigate the process and the experiences of the participants in this developmental work.</w:t>
            </w:r>
          </w:p>
        </w:tc>
        <w:tc>
          <w:tcPr>
            <w:tcW w:w="657" w:type="pct"/>
            <w:shd w:val="clear" w:color="auto" w:fill="auto"/>
            <w:noWrap/>
            <w:hideMark/>
          </w:tcPr>
          <w:p w14:paraId="11D283C3" w14:textId="274A8AC5"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Norway</w:t>
            </w:r>
          </w:p>
        </w:tc>
        <w:tc>
          <w:tcPr>
            <w:tcW w:w="732" w:type="pct"/>
            <w:shd w:val="clear" w:color="auto" w:fill="auto"/>
            <w:hideMark/>
          </w:tcPr>
          <w:p w14:paraId="54157D3F" w14:textId="44D27216"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Qualitative </w:t>
            </w:r>
          </w:p>
        </w:tc>
      </w:tr>
      <w:tr w:rsidR="00D16652" w:rsidRPr="00722AEE" w14:paraId="256C4681" w14:textId="77777777" w:rsidTr="00D929C1">
        <w:trPr>
          <w:trHeight w:val="780"/>
        </w:trPr>
        <w:tc>
          <w:tcPr>
            <w:tcW w:w="901" w:type="pct"/>
            <w:shd w:val="clear" w:color="auto" w:fill="auto"/>
            <w:hideMark/>
          </w:tcPr>
          <w:p w14:paraId="45CDB3C2" w14:textId="135B0CC0"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lastRenderedPageBreak/>
              <w:t xml:space="preserve">Akinci </w:t>
            </w:r>
            <w:r w:rsidR="00305E8E" w:rsidRPr="00722AEE">
              <w:rPr>
                <w:rFonts w:ascii="Times New Roman" w:eastAsia="Times New Roman" w:hAnsi="Times New Roman" w:cs="Times New Roman"/>
                <w:color w:val="000000"/>
                <w:sz w:val="20"/>
                <w:szCs w:val="20"/>
                <w:lang w:val="en-AU" w:eastAsia="en-AU"/>
              </w:rPr>
              <w:t>and Patel</w:t>
            </w:r>
          </w:p>
        </w:tc>
        <w:tc>
          <w:tcPr>
            <w:tcW w:w="2710" w:type="pct"/>
            <w:shd w:val="clear" w:color="auto" w:fill="auto"/>
            <w:hideMark/>
          </w:tcPr>
          <w:p w14:paraId="7F75F5EF" w14:textId="4BA77AA3"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to breakdown and demonstrate the need for quality improvement in the U.S. delivery </w:t>
            </w:r>
            <w:r w:rsidR="00305E8E" w:rsidRPr="00722AEE">
              <w:rPr>
                <w:rFonts w:ascii="Times New Roman" w:eastAsia="Times New Roman" w:hAnsi="Times New Roman" w:cs="Times New Roman"/>
                <w:color w:val="000000"/>
                <w:sz w:val="20"/>
                <w:szCs w:val="20"/>
                <w:lang w:val="en-AU" w:eastAsia="en-AU"/>
              </w:rPr>
              <w:t>of healthcare</w:t>
            </w:r>
            <w:r w:rsidRPr="00722AEE">
              <w:rPr>
                <w:rFonts w:ascii="Times New Roman" w:eastAsia="Times New Roman" w:hAnsi="Times New Roman" w:cs="Times New Roman"/>
                <w:color w:val="000000"/>
                <w:sz w:val="20"/>
                <w:szCs w:val="20"/>
                <w:lang w:val="en-AU" w:eastAsia="en-AU"/>
              </w:rPr>
              <w:t xml:space="preserve"> by examining the PCMH. </w:t>
            </w:r>
          </w:p>
        </w:tc>
        <w:tc>
          <w:tcPr>
            <w:tcW w:w="657" w:type="pct"/>
            <w:shd w:val="clear" w:color="auto" w:fill="auto"/>
            <w:noWrap/>
            <w:hideMark/>
          </w:tcPr>
          <w:p w14:paraId="6B68D792" w14:textId="09998D7A"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US</w:t>
            </w:r>
          </w:p>
        </w:tc>
        <w:tc>
          <w:tcPr>
            <w:tcW w:w="732" w:type="pct"/>
            <w:shd w:val="clear" w:color="auto" w:fill="auto"/>
            <w:hideMark/>
          </w:tcPr>
          <w:p w14:paraId="3022DEB9" w14:textId="4C3B210C"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Qualitative </w:t>
            </w:r>
          </w:p>
        </w:tc>
      </w:tr>
      <w:tr w:rsidR="00D16652" w:rsidRPr="00722AEE" w14:paraId="3883B7FF" w14:textId="77777777" w:rsidTr="00D929C1">
        <w:trPr>
          <w:trHeight w:val="780"/>
        </w:trPr>
        <w:tc>
          <w:tcPr>
            <w:tcW w:w="901" w:type="pct"/>
            <w:shd w:val="clear" w:color="auto" w:fill="auto"/>
            <w:hideMark/>
          </w:tcPr>
          <w:p w14:paraId="45D992D0" w14:textId="17935145"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 Grace</w:t>
            </w:r>
            <w:r w:rsidR="00397D16"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46E20822" w14:textId="21788E64" w:rsidR="00D16652" w:rsidRPr="00722AEE" w:rsidRDefault="00945055"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To examine</w:t>
            </w:r>
            <w:r w:rsidR="00D16652" w:rsidRPr="00722AEE">
              <w:rPr>
                <w:rFonts w:ascii="Times New Roman" w:eastAsia="Times New Roman" w:hAnsi="Times New Roman" w:cs="Times New Roman"/>
                <w:color w:val="000000"/>
                <w:sz w:val="20"/>
                <w:szCs w:val="20"/>
                <w:lang w:val="en-AU" w:eastAsia="en-AU"/>
              </w:rPr>
              <w:t xml:space="preserve"> the facilitators and barriers of implementing a primary care team redesign intended to augment physician-medical assistant dyads by adding two new care team members</w:t>
            </w:r>
          </w:p>
        </w:tc>
        <w:tc>
          <w:tcPr>
            <w:tcW w:w="657" w:type="pct"/>
            <w:shd w:val="clear" w:color="auto" w:fill="auto"/>
            <w:noWrap/>
            <w:hideMark/>
          </w:tcPr>
          <w:p w14:paraId="685EE0A2" w14:textId="26083660"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US</w:t>
            </w:r>
          </w:p>
        </w:tc>
        <w:tc>
          <w:tcPr>
            <w:tcW w:w="732" w:type="pct"/>
            <w:shd w:val="clear" w:color="auto" w:fill="auto"/>
            <w:hideMark/>
          </w:tcPr>
          <w:p w14:paraId="1ADC905A" w14:textId="3FDCCA48"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Qualitative </w:t>
            </w:r>
          </w:p>
        </w:tc>
      </w:tr>
      <w:tr w:rsidR="00D16652" w:rsidRPr="00722AEE" w14:paraId="6FADA77C" w14:textId="77777777" w:rsidTr="00D929C1">
        <w:trPr>
          <w:trHeight w:val="780"/>
        </w:trPr>
        <w:tc>
          <w:tcPr>
            <w:tcW w:w="901" w:type="pct"/>
            <w:shd w:val="clear" w:color="auto" w:fill="auto"/>
            <w:hideMark/>
          </w:tcPr>
          <w:p w14:paraId="30368170" w14:textId="5C725E1A"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Mead</w:t>
            </w:r>
            <w:r w:rsidR="003C4406"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36106A53" w14:textId="77777777"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 to investigate underserved, chronically ill patients' preferences for care and develops a patient-centered framework of priorities. </w:t>
            </w:r>
          </w:p>
        </w:tc>
        <w:tc>
          <w:tcPr>
            <w:tcW w:w="657" w:type="pct"/>
            <w:shd w:val="clear" w:color="auto" w:fill="auto"/>
            <w:noWrap/>
            <w:hideMark/>
          </w:tcPr>
          <w:p w14:paraId="2ECBB451" w14:textId="338DA3F1"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US</w:t>
            </w:r>
          </w:p>
        </w:tc>
        <w:tc>
          <w:tcPr>
            <w:tcW w:w="732" w:type="pct"/>
            <w:shd w:val="clear" w:color="auto" w:fill="auto"/>
            <w:hideMark/>
          </w:tcPr>
          <w:p w14:paraId="57D149D0" w14:textId="5060DA58"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Qualitative </w:t>
            </w:r>
          </w:p>
        </w:tc>
      </w:tr>
      <w:tr w:rsidR="00D16652" w:rsidRPr="00722AEE" w14:paraId="1FC6810B" w14:textId="77777777" w:rsidTr="00D929C1">
        <w:trPr>
          <w:trHeight w:val="780"/>
        </w:trPr>
        <w:tc>
          <w:tcPr>
            <w:tcW w:w="901" w:type="pct"/>
            <w:shd w:val="clear" w:color="auto" w:fill="auto"/>
            <w:hideMark/>
          </w:tcPr>
          <w:p w14:paraId="73FF3276" w14:textId="062CA1B0"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Flink</w:t>
            </w:r>
            <w:r w:rsidR="003C4406"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203FC0CC" w14:textId="112A08D9"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To</w:t>
            </w:r>
            <w:r w:rsidR="00D16652" w:rsidRPr="00722AEE">
              <w:rPr>
                <w:rFonts w:ascii="Times New Roman" w:eastAsia="Times New Roman" w:hAnsi="Times New Roman" w:cs="Times New Roman"/>
                <w:color w:val="000000"/>
                <w:sz w:val="20"/>
                <w:szCs w:val="20"/>
                <w:lang w:val="en-AU" w:eastAsia="en-AU"/>
              </w:rPr>
              <w:t xml:space="preserve"> explore patient handovers between primary and secondary care by assessing the levels of patient-centeredness of medical records used for communication between care settings and by assessing continuity of patient care</w:t>
            </w:r>
          </w:p>
        </w:tc>
        <w:tc>
          <w:tcPr>
            <w:tcW w:w="657" w:type="pct"/>
            <w:shd w:val="clear" w:color="auto" w:fill="auto"/>
            <w:noWrap/>
            <w:hideMark/>
          </w:tcPr>
          <w:p w14:paraId="48D40330" w14:textId="5A9F4E9A" w:rsidR="00D16652" w:rsidRPr="00722AEE" w:rsidRDefault="00945055"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Sweden</w:t>
            </w:r>
            <w:r w:rsidR="00305E8E" w:rsidRPr="00722AEE">
              <w:rPr>
                <w:rFonts w:ascii="Times New Roman" w:eastAsia="Times New Roman" w:hAnsi="Times New Roman" w:cs="Times New Roman"/>
                <w:color w:val="000000"/>
                <w:sz w:val="20"/>
                <w:szCs w:val="20"/>
                <w:lang w:val="en-AU" w:eastAsia="en-AU"/>
              </w:rPr>
              <w:t xml:space="preserve"> </w:t>
            </w:r>
          </w:p>
        </w:tc>
        <w:tc>
          <w:tcPr>
            <w:tcW w:w="732" w:type="pct"/>
            <w:shd w:val="clear" w:color="auto" w:fill="auto"/>
            <w:hideMark/>
          </w:tcPr>
          <w:p w14:paraId="088B214E" w14:textId="13140FF6"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Quantitative </w:t>
            </w:r>
          </w:p>
        </w:tc>
      </w:tr>
      <w:tr w:rsidR="00D16652" w:rsidRPr="00722AEE" w14:paraId="796E8FB4" w14:textId="77777777" w:rsidTr="00D929C1">
        <w:trPr>
          <w:trHeight w:val="580"/>
        </w:trPr>
        <w:tc>
          <w:tcPr>
            <w:tcW w:w="901" w:type="pct"/>
            <w:shd w:val="clear" w:color="auto" w:fill="auto"/>
            <w:hideMark/>
          </w:tcPr>
          <w:p w14:paraId="1D514C5A" w14:textId="19AA8530"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 Brown</w:t>
            </w:r>
            <w:r w:rsidR="003C4406"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52EAEBDD" w14:textId="77777777"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to evaluate how these processes are enacted by 1 primary care model, Family Health Teams, in Ontario.</w:t>
            </w:r>
          </w:p>
        </w:tc>
        <w:tc>
          <w:tcPr>
            <w:tcW w:w="657" w:type="pct"/>
            <w:shd w:val="clear" w:color="auto" w:fill="auto"/>
            <w:noWrap/>
            <w:hideMark/>
          </w:tcPr>
          <w:p w14:paraId="19676EF4" w14:textId="212877D5"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Canada</w:t>
            </w:r>
          </w:p>
        </w:tc>
        <w:tc>
          <w:tcPr>
            <w:tcW w:w="732" w:type="pct"/>
            <w:shd w:val="clear" w:color="auto" w:fill="auto"/>
            <w:hideMark/>
          </w:tcPr>
          <w:p w14:paraId="30184F2C" w14:textId="547DAED4"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Qualitative</w:t>
            </w:r>
          </w:p>
        </w:tc>
      </w:tr>
      <w:tr w:rsidR="00D16652" w:rsidRPr="00722AEE" w14:paraId="3957B5DA" w14:textId="77777777" w:rsidTr="00D929C1">
        <w:trPr>
          <w:trHeight w:val="780"/>
        </w:trPr>
        <w:tc>
          <w:tcPr>
            <w:tcW w:w="901" w:type="pct"/>
            <w:shd w:val="clear" w:color="auto" w:fill="auto"/>
            <w:hideMark/>
          </w:tcPr>
          <w:p w14:paraId="218BD72A" w14:textId="451B5642"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Doubova</w:t>
            </w:r>
            <w:r w:rsidR="003C4406"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0CCA39F5" w14:textId="77777777"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study evaluated primary care attributes of patient-centered care associated with the public perception of good quality in Brazil, Colombia, Mexico and El Salvador. </w:t>
            </w:r>
          </w:p>
        </w:tc>
        <w:tc>
          <w:tcPr>
            <w:tcW w:w="657" w:type="pct"/>
            <w:shd w:val="clear" w:color="auto" w:fill="auto"/>
            <w:noWrap/>
            <w:hideMark/>
          </w:tcPr>
          <w:p w14:paraId="451E1B5C" w14:textId="5D69C98C"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Latin America.</w:t>
            </w:r>
          </w:p>
        </w:tc>
        <w:tc>
          <w:tcPr>
            <w:tcW w:w="732" w:type="pct"/>
            <w:shd w:val="clear" w:color="auto" w:fill="auto"/>
            <w:hideMark/>
          </w:tcPr>
          <w:p w14:paraId="2F0C6A78" w14:textId="0AC9F4F1"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Quantitative </w:t>
            </w:r>
          </w:p>
        </w:tc>
      </w:tr>
      <w:tr w:rsidR="00D16652" w:rsidRPr="00722AEE" w14:paraId="79211DC9" w14:textId="77777777" w:rsidTr="00D929C1">
        <w:trPr>
          <w:trHeight w:val="420"/>
        </w:trPr>
        <w:tc>
          <w:tcPr>
            <w:tcW w:w="901" w:type="pct"/>
            <w:shd w:val="clear" w:color="auto" w:fill="auto"/>
            <w:hideMark/>
          </w:tcPr>
          <w:p w14:paraId="74E839D1" w14:textId="2C4F2A08"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Friedman</w:t>
            </w:r>
            <w:r w:rsidR="003C4406"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0BFF0E06" w14:textId="0256E8AE" w:rsidR="00D16652" w:rsidRPr="00722AEE" w:rsidRDefault="00945055"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To describe experiences</w:t>
            </w:r>
            <w:r w:rsidR="00D16652" w:rsidRPr="00722AEE">
              <w:rPr>
                <w:rFonts w:ascii="Times New Roman" w:eastAsia="Times New Roman" w:hAnsi="Times New Roman" w:cs="Times New Roman"/>
                <w:color w:val="000000"/>
                <w:sz w:val="20"/>
                <w:szCs w:val="20"/>
                <w:lang w:val="en-AU" w:eastAsia="en-AU"/>
              </w:rPr>
              <w:t xml:space="preserve"> of care coordinators across the US from their own perspectives. </w:t>
            </w:r>
          </w:p>
        </w:tc>
        <w:tc>
          <w:tcPr>
            <w:tcW w:w="657" w:type="pct"/>
            <w:shd w:val="clear" w:color="auto" w:fill="auto"/>
            <w:noWrap/>
            <w:hideMark/>
          </w:tcPr>
          <w:p w14:paraId="52C9C2D6" w14:textId="50958E14" w:rsidR="00D16652" w:rsidRPr="00722AEE" w:rsidRDefault="00945055"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US</w:t>
            </w:r>
          </w:p>
        </w:tc>
        <w:tc>
          <w:tcPr>
            <w:tcW w:w="732" w:type="pct"/>
            <w:shd w:val="clear" w:color="auto" w:fill="auto"/>
            <w:hideMark/>
          </w:tcPr>
          <w:p w14:paraId="21447099" w14:textId="5AAC4662"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Qualitative </w:t>
            </w:r>
          </w:p>
        </w:tc>
      </w:tr>
      <w:tr w:rsidR="00D16652" w:rsidRPr="00722AEE" w14:paraId="6F8A2AC7" w14:textId="77777777" w:rsidTr="00D929C1">
        <w:trPr>
          <w:trHeight w:val="780"/>
        </w:trPr>
        <w:tc>
          <w:tcPr>
            <w:tcW w:w="901" w:type="pct"/>
            <w:shd w:val="clear" w:color="auto" w:fill="auto"/>
            <w:hideMark/>
          </w:tcPr>
          <w:p w14:paraId="0680AD52" w14:textId="01A867B0"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Hansen</w:t>
            </w:r>
            <w:r w:rsidR="00194ABC"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1185DBAA" w14:textId="016A6719" w:rsidR="00D16652" w:rsidRPr="00722AEE" w:rsidRDefault="00945055"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To contribute </w:t>
            </w:r>
            <w:r w:rsidR="00D16652" w:rsidRPr="00722AEE">
              <w:rPr>
                <w:rFonts w:ascii="Times New Roman" w:eastAsia="Times New Roman" w:hAnsi="Times New Roman" w:cs="Times New Roman"/>
                <w:color w:val="000000"/>
                <w:sz w:val="20"/>
                <w:szCs w:val="20"/>
                <w:lang w:val="en-AU" w:eastAsia="en-AU"/>
              </w:rPr>
              <w:t xml:space="preserve">to the debates about GPs and CPGs by reflecting on three different Australian studies conducted by the authors </w:t>
            </w:r>
            <w:r w:rsidR="00305E8E" w:rsidRPr="00722AEE">
              <w:rPr>
                <w:rFonts w:ascii="Times New Roman" w:eastAsia="Times New Roman" w:hAnsi="Times New Roman" w:cs="Times New Roman"/>
                <w:color w:val="000000"/>
                <w:sz w:val="20"/>
                <w:szCs w:val="20"/>
                <w:lang w:val="en-AU" w:eastAsia="en-AU"/>
              </w:rPr>
              <w:t>to</w:t>
            </w:r>
            <w:r w:rsidR="00D16652" w:rsidRPr="00722AEE">
              <w:rPr>
                <w:rFonts w:ascii="Times New Roman" w:eastAsia="Times New Roman" w:hAnsi="Times New Roman" w:cs="Times New Roman"/>
                <w:color w:val="000000"/>
                <w:sz w:val="20"/>
                <w:szCs w:val="20"/>
                <w:lang w:val="en-AU" w:eastAsia="en-AU"/>
              </w:rPr>
              <w:t xml:space="preserve"> better understand variations</w:t>
            </w:r>
          </w:p>
        </w:tc>
        <w:tc>
          <w:tcPr>
            <w:tcW w:w="657" w:type="pct"/>
            <w:shd w:val="clear" w:color="auto" w:fill="auto"/>
            <w:noWrap/>
            <w:hideMark/>
          </w:tcPr>
          <w:p w14:paraId="5748B710" w14:textId="368B6DAB"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Australia</w:t>
            </w:r>
          </w:p>
        </w:tc>
        <w:tc>
          <w:tcPr>
            <w:tcW w:w="732" w:type="pct"/>
            <w:shd w:val="clear" w:color="auto" w:fill="auto"/>
            <w:hideMark/>
          </w:tcPr>
          <w:p w14:paraId="1BA3C465" w14:textId="277C2F22"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Qualitative</w:t>
            </w:r>
          </w:p>
        </w:tc>
      </w:tr>
      <w:tr w:rsidR="00D16652" w:rsidRPr="00722AEE" w14:paraId="40C2DB72" w14:textId="77777777" w:rsidTr="00D929C1">
        <w:trPr>
          <w:trHeight w:val="780"/>
        </w:trPr>
        <w:tc>
          <w:tcPr>
            <w:tcW w:w="901" w:type="pct"/>
            <w:shd w:val="clear" w:color="auto" w:fill="auto"/>
            <w:hideMark/>
          </w:tcPr>
          <w:p w14:paraId="2298134C" w14:textId="27FCFDA2"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Kogan</w:t>
            </w:r>
            <w:r w:rsidR="00194ABC"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3F291FF4" w14:textId="780758D2" w:rsidR="00D16652" w:rsidRPr="00722AEE" w:rsidRDefault="00945055"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To describe </w:t>
            </w:r>
            <w:r w:rsidR="00D16652" w:rsidRPr="00722AEE">
              <w:rPr>
                <w:rFonts w:ascii="Times New Roman" w:eastAsia="Times New Roman" w:hAnsi="Times New Roman" w:cs="Times New Roman"/>
                <w:color w:val="000000"/>
                <w:sz w:val="20"/>
                <w:szCs w:val="20"/>
                <w:lang w:val="en-AU" w:eastAsia="en-AU"/>
              </w:rPr>
              <w:t xml:space="preserve">PCC </w:t>
            </w:r>
            <w:r w:rsidRPr="00722AEE">
              <w:rPr>
                <w:rFonts w:ascii="Times New Roman" w:eastAsia="Times New Roman" w:hAnsi="Times New Roman" w:cs="Times New Roman"/>
                <w:color w:val="000000"/>
                <w:sz w:val="20"/>
                <w:szCs w:val="20"/>
                <w:lang w:val="en-AU" w:eastAsia="en-AU"/>
              </w:rPr>
              <w:t>shifts,</w:t>
            </w:r>
            <w:r w:rsidR="00D16652" w:rsidRPr="00722AEE">
              <w:rPr>
                <w:rFonts w:ascii="Times New Roman" w:eastAsia="Times New Roman" w:hAnsi="Times New Roman" w:cs="Times New Roman"/>
                <w:color w:val="000000"/>
                <w:sz w:val="20"/>
                <w:szCs w:val="20"/>
                <w:lang w:val="en-AU" w:eastAsia="en-AU"/>
              </w:rPr>
              <w:t xml:space="preserve"> focus away from the traditional biomedical model in </w:t>
            </w:r>
            <w:r w:rsidR="00305E8E" w:rsidRPr="00722AEE">
              <w:rPr>
                <w:rFonts w:ascii="Times New Roman" w:eastAsia="Times New Roman" w:hAnsi="Times New Roman" w:cs="Times New Roman"/>
                <w:color w:val="000000"/>
                <w:sz w:val="20"/>
                <w:szCs w:val="20"/>
                <w:lang w:val="en-AU" w:eastAsia="en-AU"/>
              </w:rPr>
              <w:t>favour</w:t>
            </w:r>
            <w:r w:rsidR="00D16652" w:rsidRPr="00722AEE">
              <w:rPr>
                <w:rFonts w:ascii="Times New Roman" w:eastAsia="Times New Roman" w:hAnsi="Times New Roman" w:cs="Times New Roman"/>
                <w:color w:val="000000"/>
                <w:sz w:val="20"/>
                <w:szCs w:val="20"/>
                <w:lang w:val="en-AU" w:eastAsia="en-AU"/>
              </w:rPr>
              <w:t xml:space="preserve"> of embracing personal choice and autonomy for people receiving health services.</w:t>
            </w:r>
          </w:p>
        </w:tc>
        <w:tc>
          <w:tcPr>
            <w:tcW w:w="657" w:type="pct"/>
            <w:shd w:val="clear" w:color="auto" w:fill="auto"/>
            <w:noWrap/>
            <w:hideMark/>
          </w:tcPr>
          <w:p w14:paraId="27BBA936" w14:textId="386A06D7"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US</w:t>
            </w:r>
          </w:p>
        </w:tc>
        <w:tc>
          <w:tcPr>
            <w:tcW w:w="732" w:type="pct"/>
            <w:shd w:val="clear" w:color="auto" w:fill="auto"/>
            <w:hideMark/>
          </w:tcPr>
          <w:p w14:paraId="655740BA" w14:textId="5990E7CB"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Review </w:t>
            </w:r>
          </w:p>
        </w:tc>
      </w:tr>
      <w:tr w:rsidR="00D16652" w:rsidRPr="00722AEE" w14:paraId="7B5B8AA2" w14:textId="77777777" w:rsidTr="00D929C1">
        <w:trPr>
          <w:trHeight w:val="780"/>
        </w:trPr>
        <w:tc>
          <w:tcPr>
            <w:tcW w:w="901" w:type="pct"/>
            <w:shd w:val="clear" w:color="auto" w:fill="auto"/>
            <w:hideMark/>
          </w:tcPr>
          <w:p w14:paraId="0E697916" w14:textId="423C0624"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Zhang</w:t>
            </w:r>
            <w:r w:rsidR="00194ABC"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7F56FE34" w14:textId="582DBAC1" w:rsidR="00D16652" w:rsidRPr="00722AEE" w:rsidRDefault="00945055"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To describe electronic health records and their</w:t>
            </w:r>
            <w:r w:rsidR="00D16652" w:rsidRPr="00722AEE">
              <w:rPr>
                <w:rFonts w:ascii="Times New Roman" w:eastAsia="Times New Roman" w:hAnsi="Times New Roman" w:cs="Times New Roman"/>
                <w:color w:val="000000"/>
                <w:sz w:val="20"/>
                <w:szCs w:val="20"/>
                <w:lang w:val="en-AU" w:eastAsia="en-AU"/>
              </w:rPr>
              <w:t xml:space="preserve"> use may diminish "patient-centeredness" in exam rooms by distracting the healthcare provider from focusing on direct patient interaction.</w:t>
            </w:r>
          </w:p>
        </w:tc>
        <w:tc>
          <w:tcPr>
            <w:tcW w:w="657" w:type="pct"/>
            <w:shd w:val="clear" w:color="auto" w:fill="auto"/>
            <w:noWrap/>
            <w:hideMark/>
          </w:tcPr>
          <w:p w14:paraId="47632074" w14:textId="347B72D7"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US</w:t>
            </w:r>
          </w:p>
        </w:tc>
        <w:tc>
          <w:tcPr>
            <w:tcW w:w="732" w:type="pct"/>
            <w:shd w:val="clear" w:color="auto" w:fill="auto"/>
            <w:hideMark/>
          </w:tcPr>
          <w:p w14:paraId="40E0DCE1" w14:textId="0CB758AD"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Qualitative</w:t>
            </w:r>
          </w:p>
        </w:tc>
      </w:tr>
      <w:tr w:rsidR="00D16652" w:rsidRPr="00722AEE" w14:paraId="371FA74A" w14:textId="77777777" w:rsidTr="00D929C1">
        <w:trPr>
          <w:trHeight w:val="513"/>
        </w:trPr>
        <w:tc>
          <w:tcPr>
            <w:tcW w:w="901" w:type="pct"/>
            <w:shd w:val="clear" w:color="auto" w:fill="auto"/>
            <w:hideMark/>
          </w:tcPr>
          <w:p w14:paraId="01E261F1" w14:textId="35C06B5F"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Agha</w:t>
            </w:r>
            <w:r w:rsidR="0073254B"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64D3FC0B" w14:textId="207F00E0" w:rsidR="00D16652" w:rsidRPr="00722AEE" w:rsidRDefault="00945055"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To e</w:t>
            </w:r>
            <w:r w:rsidR="00D16652" w:rsidRPr="00722AEE">
              <w:rPr>
                <w:rFonts w:ascii="Times New Roman" w:eastAsia="Times New Roman" w:hAnsi="Times New Roman" w:cs="Times New Roman"/>
                <w:color w:val="000000"/>
                <w:sz w:val="20"/>
                <w:szCs w:val="20"/>
                <w:lang w:val="en-AU" w:eastAsia="en-AU"/>
              </w:rPr>
              <w:t>xplore barriers to patient engagement efforts and their corresponding solutions.</w:t>
            </w:r>
          </w:p>
        </w:tc>
        <w:tc>
          <w:tcPr>
            <w:tcW w:w="657" w:type="pct"/>
            <w:shd w:val="clear" w:color="auto" w:fill="auto"/>
            <w:noWrap/>
            <w:hideMark/>
          </w:tcPr>
          <w:p w14:paraId="33791342" w14:textId="0FFEF22B"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US</w:t>
            </w:r>
          </w:p>
        </w:tc>
        <w:tc>
          <w:tcPr>
            <w:tcW w:w="732" w:type="pct"/>
            <w:shd w:val="clear" w:color="auto" w:fill="auto"/>
            <w:hideMark/>
          </w:tcPr>
          <w:p w14:paraId="46E48C9D" w14:textId="344ED401"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Qualitative </w:t>
            </w:r>
          </w:p>
        </w:tc>
      </w:tr>
      <w:tr w:rsidR="00D16652" w:rsidRPr="00722AEE" w14:paraId="4D59D32B" w14:textId="77777777" w:rsidTr="00D929C1">
        <w:trPr>
          <w:trHeight w:val="297"/>
        </w:trPr>
        <w:tc>
          <w:tcPr>
            <w:tcW w:w="901" w:type="pct"/>
            <w:shd w:val="clear" w:color="auto" w:fill="auto"/>
            <w:hideMark/>
          </w:tcPr>
          <w:p w14:paraId="54618A30" w14:textId="580E8BC7"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Berntsen</w:t>
            </w:r>
            <w:r w:rsidR="0073254B"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3CFF3824" w14:textId="141672F3" w:rsidR="00D16652" w:rsidRPr="00722AEE" w:rsidRDefault="00945055"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To outline</w:t>
            </w:r>
            <w:r w:rsidR="00D16652" w:rsidRPr="00722AEE">
              <w:rPr>
                <w:rFonts w:ascii="Times New Roman" w:eastAsia="Times New Roman" w:hAnsi="Times New Roman" w:cs="Times New Roman"/>
                <w:color w:val="000000"/>
                <w:sz w:val="20"/>
                <w:szCs w:val="20"/>
                <w:lang w:val="en-AU" w:eastAsia="en-AU"/>
              </w:rPr>
              <w:t xml:space="preserve"> a 4-stage goal-oriented PC-IC process ideal</w:t>
            </w:r>
          </w:p>
        </w:tc>
        <w:tc>
          <w:tcPr>
            <w:tcW w:w="657" w:type="pct"/>
            <w:shd w:val="clear" w:color="auto" w:fill="auto"/>
            <w:noWrap/>
            <w:hideMark/>
          </w:tcPr>
          <w:p w14:paraId="26199BB7" w14:textId="2A0FD573"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Norway </w:t>
            </w:r>
          </w:p>
        </w:tc>
        <w:tc>
          <w:tcPr>
            <w:tcW w:w="732" w:type="pct"/>
            <w:shd w:val="clear" w:color="auto" w:fill="auto"/>
            <w:hideMark/>
          </w:tcPr>
          <w:p w14:paraId="3F777EC4" w14:textId="4E1C0637"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Qualitative </w:t>
            </w:r>
          </w:p>
        </w:tc>
      </w:tr>
      <w:tr w:rsidR="00D16652" w:rsidRPr="00722AEE" w14:paraId="7084ABD8" w14:textId="77777777" w:rsidTr="00D929C1">
        <w:trPr>
          <w:trHeight w:val="780"/>
        </w:trPr>
        <w:tc>
          <w:tcPr>
            <w:tcW w:w="901" w:type="pct"/>
            <w:shd w:val="clear" w:color="auto" w:fill="auto"/>
            <w:hideMark/>
          </w:tcPr>
          <w:p w14:paraId="0A06E92C" w14:textId="66A27059"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Poitras</w:t>
            </w:r>
            <w:r w:rsidR="0073254B"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462BFA93" w14:textId="0959DCC8"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to determine the </w:t>
            </w:r>
            <w:r w:rsidR="00305E8E" w:rsidRPr="00722AEE">
              <w:rPr>
                <w:rFonts w:ascii="Times New Roman" w:eastAsia="Times New Roman" w:hAnsi="Times New Roman" w:cs="Times New Roman"/>
                <w:color w:val="000000"/>
                <w:sz w:val="20"/>
                <w:szCs w:val="20"/>
                <w:lang w:val="en-AU" w:eastAsia="en-AU"/>
              </w:rPr>
              <w:t>elements</w:t>
            </w:r>
            <w:r w:rsidRPr="00722AEE">
              <w:rPr>
                <w:rFonts w:ascii="Times New Roman" w:eastAsia="Times New Roman" w:hAnsi="Times New Roman" w:cs="Times New Roman"/>
                <w:color w:val="000000"/>
                <w:sz w:val="20"/>
                <w:szCs w:val="20"/>
                <w:lang w:val="en-AU" w:eastAsia="en-AU"/>
              </w:rPr>
              <w:t xml:space="preserve"> of patient-centered interventions and interventions for persons with multimorbidity that are associated with positive health-related outcomes for patients.</w:t>
            </w:r>
          </w:p>
        </w:tc>
        <w:tc>
          <w:tcPr>
            <w:tcW w:w="657" w:type="pct"/>
            <w:shd w:val="clear" w:color="auto" w:fill="auto"/>
            <w:noWrap/>
            <w:hideMark/>
          </w:tcPr>
          <w:p w14:paraId="2038BF15" w14:textId="77777777"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p>
        </w:tc>
        <w:tc>
          <w:tcPr>
            <w:tcW w:w="732" w:type="pct"/>
            <w:shd w:val="clear" w:color="auto" w:fill="auto"/>
            <w:hideMark/>
          </w:tcPr>
          <w:p w14:paraId="3C074EC3" w14:textId="13F300D7"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Review </w:t>
            </w:r>
          </w:p>
        </w:tc>
      </w:tr>
      <w:tr w:rsidR="00D16652" w:rsidRPr="00722AEE" w14:paraId="3D7A3A3F" w14:textId="77777777" w:rsidTr="00D929C1">
        <w:trPr>
          <w:trHeight w:val="453"/>
        </w:trPr>
        <w:tc>
          <w:tcPr>
            <w:tcW w:w="901" w:type="pct"/>
            <w:shd w:val="clear" w:color="auto" w:fill="auto"/>
            <w:hideMark/>
          </w:tcPr>
          <w:p w14:paraId="2CC182C5" w14:textId="77777777"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J. Reeve</w:t>
            </w:r>
          </w:p>
        </w:tc>
        <w:tc>
          <w:tcPr>
            <w:tcW w:w="2710" w:type="pct"/>
            <w:shd w:val="clear" w:color="auto" w:fill="auto"/>
            <w:hideMark/>
          </w:tcPr>
          <w:p w14:paraId="16C27871" w14:textId="77777777"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Person-centred primary care is a priority for patients, healthcare practitioners and health policy. </w:t>
            </w:r>
          </w:p>
        </w:tc>
        <w:tc>
          <w:tcPr>
            <w:tcW w:w="657" w:type="pct"/>
            <w:shd w:val="clear" w:color="auto" w:fill="auto"/>
            <w:noWrap/>
            <w:hideMark/>
          </w:tcPr>
          <w:p w14:paraId="3D93355B" w14:textId="3BC84B12"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UK</w:t>
            </w:r>
          </w:p>
        </w:tc>
        <w:tc>
          <w:tcPr>
            <w:tcW w:w="732" w:type="pct"/>
            <w:shd w:val="clear" w:color="auto" w:fill="auto"/>
            <w:hideMark/>
          </w:tcPr>
          <w:p w14:paraId="5372C7A3" w14:textId="37CAF1A9"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Qualitative </w:t>
            </w:r>
          </w:p>
        </w:tc>
      </w:tr>
      <w:tr w:rsidR="00D16652" w:rsidRPr="00722AEE" w14:paraId="3FF736B3" w14:textId="77777777" w:rsidTr="00D929C1">
        <w:trPr>
          <w:trHeight w:val="558"/>
        </w:trPr>
        <w:tc>
          <w:tcPr>
            <w:tcW w:w="901" w:type="pct"/>
            <w:shd w:val="clear" w:color="auto" w:fill="auto"/>
            <w:hideMark/>
          </w:tcPr>
          <w:p w14:paraId="15195B88" w14:textId="7D074704"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Karnimura</w:t>
            </w:r>
            <w:r w:rsidR="0073254B"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08D91F51" w14:textId="77777777"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to examine factors that affect underserved primary care patients' perceptions of patient centeredness.</w:t>
            </w:r>
          </w:p>
        </w:tc>
        <w:tc>
          <w:tcPr>
            <w:tcW w:w="657" w:type="pct"/>
            <w:shd w:val="clear" w:color="auto" w:fill="auto"/>
            <w:noWrap/>
            <w:hideMark/>
          </w:tcPr>
          <w:p w14:paraId="0C930EAA" w14:textId="02F75C3E"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US</w:t>
            </w:r>
          </w:p>
        </w:tc>
        <w:tc>
          <w:tcPr>
            <w:tcW w:w="732" w:type="pct"/>
            <w:shd w:val="clear" w:color="auto" w:fill="auto"/>
            <w:hideMark/>
          </w:tcPr>
          <w:p w14:paraId="00A657FE" w14:textId="14705B44"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Quantitative </w:t>
            </w:r>
          </w:p>
        </w:tc>
      </w:tr>
      <w:tr w:rsidR="00D16652" w:rsidRPr="00722AEE" w14:paraId="0C5D9CBA" w14:textId="77777777" w:rsidTr="00D929C1">
        <w:trPr>
          <w:trHeight w:val="780"/>
        </w:trPr>
        <w:tc>
          <w:tcPr>
            <w:tcW w:w="901" w:type="pct"/>
            <w:shd w:val="clear" w:color="auto" w:fill="auto"/>
            <w:hideMark/>
          </w:tcPr>
          <w:p w14:paraId="09FA3F72" w14:textId="7E0502AD"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Kuipers</w:t>
            </w:r>
            <w:r w:rsidR="0073254B"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60609C14" w14:textId="7D382F9F" w:rsidR="00D16652" w:rsidRPr="00722AEE" w:rsidRDefault="00B33F63"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To describe the role of PCC in multi</w:t>
            </w:r>
            <w:r w:rsidR="00D16652" w:rsidRPr="00722AEE">
              <w:rPr>
                <w:rFonts w:ascii="Times New Roman" w:eastAsia="Times New Roman" w:hAnsi="Times New Roman" w:cs="Times New Roman"/>
                <w:color w:val="000000"/>
                <w:sz w:val="20"/>
                <w:szCs w:val="20"/>
                <w:lang w:val="en-AU" w:eastAsia="en-AU"/>
              </w:rPr>
              <w:t>-morbidity poses a heavy burden on patients and is related to adverse outcomes.</w:t>
            </w:r>
          </w:p>
        </w:tc>
        <w:tc>
          <w:tcPr>
            <w:tcW w:w="657" w:type="pct"/>
            <w:shd w:val="clear" w:color="auto" w:fill="auto"/>
            <w:noWrap/>
            <w:hideMark/>
          </w:tcPr>
          <w:p w14:paraId="755096C9" w14:textId="75DD1A66"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Netherlands</w:t>
            </w:r>
          </w:p>
        </w:tc>
        <w:tc>
          <w:tcPr>
            <w:tcW w:w="732" w:type="pct"/>
            <w:shd w:val="clear" w:color="auto" w:fill="auto"/>
            <w:hideMark/>
          </w:tcPr>
          <w:p w14:paraId="2FB58FF6" w14:textId="3BB1883F"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Quantitative </w:t>
            </w:r>
          </w:p>
        </w:tc>
      </w:tr>
      <w:tr w:rsidR="00D16652" w:rsidRPr="00722AEE" w14:paraId="79A034F9" w14:textId="77777777" w:rsidTr="00D929C1">
        <w:trPr>
          <w:trHeight w:val="780"/>
        </w:trPr>
        <w:tc>
          <w:tcPr>
            <w:tcW w:w="901" w:type="pct"/>
            <w:shd w:val="clear" w:color="auto" w:fill="auto"/>
            <w:hideMark/>
          </w:tcPr>
          <w:p w14:paraId="7E52359A" w14:textId="51A6ED29"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Lionis</w:t>
            </w:r>
            <w:r w:rsidR="0073254B"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32DF5154" w14:textId="5C869477" w:rsidR="00D16652" w:rsidRPr="00722AEE" w:rsidRDefault="00B33F63"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To </w:t>
            </w:r>
            <w:r w:rsidR="00D16652" w:rsidRPr="00722AEE">
              <w:rPr>
                <w:rFonts w:ascii="Times New Roman" w:eastAsia="Times New Roman" w:hAnsi="Times New Roman" w:cs="Times New Roman"/>
                <w:color w:val="000000"/>
                <w:sz w:val="20"/>
                <w:szCs w:val="20"/>
                <w:lang w:val="en-AU" w:eastAsia="en-AU"/>
              </w:rPr>
              <w:t>focuses on the experiences from Greece in implementing primary health care reform and lessons learned from the conduct of evidence-based research.</w:t>
            </w:r>
          </w:p>
        </w:tc>
        <w:tc>
          <w:tcPr>
            <w:tcW w:w="657" w:type="pct"/>
            <w:shd w:val="clear" w:color="auto" w:fill="auto"/>
            <w:noWrap/>
            <w:hideMark/>
          </w:tcPr>
          <w:p w14:paraId="3C3FCB13" w14:textId="48006031"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Greece</w:t>
            </w:r>
          </w:p>
        </w:tc>
        <w:tc>
          <w:tcPr>
            <w:tcW w:w="732" w:type="pct"/>
            <w:shd w:val="clear" w:color="auto" w:fill="auto"/>
            <w:hideMark/>
          </w:tcPr>
          <w:p w14:paraId="765E5D48" w14:textId="291A9A78"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Qualitative </w:t>
            </w:r>
          </w:p>
        </w:tc>
      </w:tr>
      <w:tr w:rsidR="00D16652" w:rsidRPr="00722AEE" w14:paraId="1C7A4E44" w14:textId="77777777" w:rsidTr="00D929C1">
        <w:trPr>
          <w:trHeight w:val="558"/>
        </w:trPr>
        <w:tc>
          <w:tcPr>
            <w:tcW w:w="901" w:type="pct"/>
            <w:shd w:val="clear" w:color="auto" w:fill="auto"/>
            <w:hideMark/>
          </w:tcPr>
          <w:p w14:paraId="121D3CD4" w14:textId="2A7E9F32"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 Millenson</w:t>
            </w:r>
            <w:r w:rsidR="006E0587"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06B35AF9" w14:textId="78A08522"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 </w:t>
            </w:r>
            <w:r w:rsidR="00B33F63" w:rsidRPr="00722AEE">
              <w:rPr>
                <w:rFonts w:ascii="Times New Roman" w:eastAsia="Times New Roman" w:hAnsi="Times New Roman" w:cs="Times New Roman"/>
                <w:color w:val="000000"/>
                <w:sz w:val="20"/>
                <w:szCs w:val="20"/>
                <w:lang w:val="en-AU" w:eastAsia="en-AU"/>
              </w:rPr>
              <w:t xml:space="preserve">To </w:t>
            </w:r>
            <w:r w:rsidRPr="00722AEE">
              <w:rPr>
                <w:rFonts w:ascii="Times New Roman" w:eastAsia="Times New Roman" w:hAnsi="Times New Roman" w:cs="Times New Roman"/>
                <w:color w:val="000000"/>
                <w:sz w:val="20"/>
                <w:szCs w:val="20"/>
                <w:lang w:val="en-AU" w:eastAsia="en-AU"/>
              </w:rPr>
              <w:t xml:space="preserve">examine four ACO innovators in patient-centered care that together represent urban, suburban and rural populations with a broad range of economic, racial, ethnic and geographic diversity. </w:t>
            </w:r>
          </w:p>
        </w:tc>
        <w:tc>
          <w:tcPr>
            <w:tcW w:w="657" w:type="pct"/>
            <w:shd w:val="clear" w:color="auto" w:fill="auto"/>
            <w:noWrap/>
            <w:hideMark/>
          </w:tcPr>
          <w:p w14:paraId="29B5C0A6" w14:textId="0382F6B5"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US</w:t>
            </w:r>
          </w:p>
        </w:tc>
        <w:tc>
          <w:tcPr>
            <w:tcW w:w="732" w:type="pct"/>
            <w:shd w:val="clear" w:color="auto" w:fill="auto"/>
            <w:hideMark/>
          </w:tcPr>
          <w:p w14:paraId="3CAC7101" w14:textId="54BDEA73"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Case Report </w:t>
            </w:r>
          </w:p>
        </w:tc>
      </w:tr>
      <w:tr w:rsidR="00D16652" w:rsidRPr="00722AEE" w14:paraId="732A4A5B" w14:textId="77777777" w:rsidTr="00D929C1">
        <w:trPr>
          <w:trHeight w:val="780"/>
        </w:trPr>
        <w:tc>
          <w:tcPr>
            <w:tcW w:w="901" w:type="pct"/>
            <w:shd w:val="clear" w:color="auto" w:fill="auto"/>
            <w:hideMark/>
          </w:tcPr>
          <w:p w14:paraId="1B194D96" w14:textId="4E861FF1"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lastRenderedPageBreak/>
              <w:t>Petit-Steeghs</w:t>
            </w:r>
            <w:r w:rsidR="006E0587"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34C246E3" w14:textId="77777777"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to analyze the perspectives of women on maternity care and to provide recommendations on how to achieve client-centred care.</w:t>
            </w:r>
          </w:p>
        </w:tc>
        <w:tc>
          <w:tcPr>
            <w:tcW w:w="657" w:type="pct"/>
            <w:shd w:val="clear" w:color="auto" w:fill="auto"/>
            <w:noWrap/>
            <w:hideMark/>
          </w:tcPr>
          <w:p w14:paraId="1C2652AD" w14:textId="62B2924E"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The Netherlands</w:t>
            </w:r>
          </w:p>
        </w:tc>
        <w:tc>
          <w:tcPr>
            <w:tcW w:w="732" w:type="pct"/>
            <w:shd w:val="clear" w:color="auto" w:fill="auto"/>
            <w:hideMark/>
          </w:tcPr>
          <w:p w14:paraId="053E7305" w14:textId="418D5461"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Qualitative</w:t>
            </w:r>
          </w:p>
        </w:tc>
      </w:tr>
      <w:tr w:rsidR="00D16652" w:rsidRPr="00722AEE" w14:paraId="71F4CB2B" w14:textId="77777777" w:rsidTr="00D929C1">
        <w:trPr>
          <w:trHeight w:val="780"/>
        </w:trPr>
        <w:tc>
          <w:tcPr>
            <w:tcW w:w="901" w:type="pct"/>
            <w:shd w:val="clear" w:color="auto" w:fill="auto"/>
            <w:hideMark/>
          </w:tcPr>
          <w:p w14:paraId="38737EBE" w14:textId="050D2368"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Santana</w:t>
            </w:r>
            <w:r w:rsidR="006E0587" w:rsidRPr="00722AEE">
              <w:rPr>
                <w:rFonts w:ascii="Times New Roman" w:eastAsia="Times New Roman" w:hAnsi="Times New Roman" w:cs="Times New Roman"/>
                <w:color w:val="000000"/>
                <w:sz w:val="20"/>
                <w:szCs w:val="20"/>
                <w:lang w:val="en-AU" w:eastAsia="en-AU"/>
              </w:rPr>
              <w:t xml:space="preserve"> et al </w:t>
            </w:r>
          </w:p>
        </w:tc>
        <w:tc>
          <w:tcPr>
            <w:tcW w:w="2710" w:type="pct"/>
            <w:shd w:val="clear" w:color="auto" w:fill="auto"/>
            <w:hideMark/>
          </w:tcPr>
          <w:p w14:paraId="41D21843" w14:textId="77777777"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The shift to the patient-centred care (PCC) model as a healthcare delivery paradigm calls for systematic measurement and evaluation.</w:t>
            </w:r>
          </w:p>
        </w:tc>
        <w:tc>
          <w:tcPr>
            <w:tcW w:w="657" w:type="pct"/>
            <w:shd w:val="clear" w:color="auto" w:fill="auto"/>
            <w:noWrap/>
            <w:hideMark/>
          </w:tcPr>
          <w:p w14:paraId="33F9A8FE" w14:textId="77777777"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p>
        </w:tc>
        <w:tc>
          <w:tcPr>
            <w:tcW w:w="732" w:type="pct"/>
            <w:shd w:val="clear" w:color="auto" w:fill="auto"/>
            <w:hideMark/>
          </w:tcPr>
          <w:p w14:paraId="0BD4EC46" w14:textId="0130EA9D"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Review</w:t>
            </w:r>
          </w:p>
        </w:tc>
      </w:tr>
      <w:tr w:rsidR="00D16652" w:rsidRPr="00722AEE" w14:paraId="47899A15" w14:textId="77777777" w:rsidTr="00D929C1">
        <w:trPr>
          <w:trHeight w:val="780"/>
        </w:trPr>
        <w:tc>
          <w:tcPr>
            <w:tcW w:w="901" w:type="pct"/>
            <w:shd w:val="clear" w:color="auto" w:fill="auto"/>
            <w:hideMark/>
          </w:tcPr>
          <w:p w14:paraId="57232E5A" w14:textId="75DF8268"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Schimmer</w:t>
            </w:r>
            <w:r w:rsidR="006E0587"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7BB61BAB" w14:textId="77777777"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to explore challenges that could impact the design of a person-centered eHealth service for T2D self-management support. </w:t>
            </w:r>
          </w:p>
        </w:tc>
        <w:tc>
          <w:tcPr>
            <w:tcW w:w="657" w:type="pct"/>
            <w:shd w:val="clear" w:color="auto" w:fill="auto"/>
            <w:noWrap/>
            <w:hideMark/>
          </w:tcPr>
          <w:p w14:paraId="14505B52" w14:textId="55BBEEDA"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Sweden </w:t>
            </w:r>
          </w:p>
        </w:tc>
        <w:tc>
          <w:tcPr>
            <w:tcW w:w="732" w:type="pct"/>
            <w:shd w:val="clear" w:color="auto" w:fill="auto"/>
            <w:hideMark/>
          </w:tcPr>
          <w:p w14:paraId="69CC175A" w14:textId="445D6459"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Qualitative </w:t>
            </w:r>
          </w:p>
        </w:tc>
      </w:tr>
      <w:tr w:rsidR="00D16652" w:rsidRPr="00722AEE" w14:paraId="139D890E" w14:textId="77777777" w:rsidTr="00D929C1">
        <w:trPr>
          <w:trHeight w:val="780"/>
        </w:trPr>
        <w:tc>
          <w:tcPr>
            <w:tcW w:w="901" w:type="pct"/>
            <w:shd w:val="clear" w:color="auto" w:fill="auto"/>
            <w:hideMark/>
          </w:tcPr>
          <w:p w14:paraId="04E8F6F1" w14:textId="0B06DD67"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Waweru</w:t>
            </w:r>
            <w:r w:rsidR="006E0587"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785630D2" w14:textId="77777777"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to identify relevant stakeholders' views on the current quality of primary health care services and their understanding of PCC</w:t>
            </w:r>
          </w:p>
        </w:tc>
        <w:tc>
          <w:tcPr>
            <w:tcW w:w="657" w:type="pct"/>
            <w:shd w:val="clear" w:color="auto" w:fill="auto"/>
            <w:noWrap/>
            <w:hideMark/>
          </w:tcPr>
          <w:p w14:paraId="1D9BEE1D" w14:textId="35B12798"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Uganda</w:t>
            </w:r>
          </w:p>
        </w:tc>
        <w:tc>
          <w:tcPr>
            <w:tcW w:w="732" w:type="pct"/>
            <w:shd w:val="clear" w:color="auto" w:fill="auto"/>
            <w:hideMark/>
          </w:tcPr>
          <w:p w14:paraId="020A91E6" w14:textId="10E1948D"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Qualitative</w:t>
            </w:r>
          </w:p>
        </w:tc>
      </w:tr>
      <w:tr w:rsidR="00D16652" w:rsidRPr="00722AEE" w14:paraId="23F499BB" w14:textId="77777777" w:rsidTr="00D929C1">
        <w:trPr>
          <w:trHeight w:val="780"/>
        </w:trPr>
        <w:tc>
          <w:tcPr>
            <w:tcW w:w="901" w:type="pct"/>
            <w:shd w:val="clear" w:color="auto" w:fill="auto"/>
            <w:hideMark/>
          </w:tcPr>
          <w:p w14:paraId="1D9F9FA7" w14:textId="0ED13B7B"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 Brickley</w:t>
            </w:r>
            <w:r w:rsidR="006E0587"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0FBC7AAD" w14:textId="77777777"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To synthesize literature investigating GP-delivered PCC and address 'what is currently known about GP-delivered PCC</w:t>
            </w:r>
          </w:p>
        </w:tc>
        <w:tc>
          <w:tcPr>
            <w:tcW w:w="657" w:type="pct"/>
            <w:shd w:val="clear" w:color="auto" w:fill="auto"/>
            <w:noWrap/>
            <w:hideMark/>
          </w:tcPr>
          <w:p w14:paraId="4CBAEA61" w14:textId="4C926411"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Not specified </w:t>
            </w:r>
          </w:p>
        </w:tc>
        <w:tc>
          <w:tcPr>
            <w:tcW w:w="732" w:type="pct"/>
            <w:shd w:val="clear" w:color="auto" w:fill="auto"/>
            <w:hideMark/>
          </w:tcPr>
          <w:p w14:paraId="39BE7989" w14:textId="334DBC92"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Review </w:t>
            </w:r>
          </w:p>
        </w:tc>
      </w:tr>
      <w:tr w:rsidR="00D16652" w:rsidRPr="00722AEE" w14:paraId="5D5CAEB3" w14:textId="77777777" w:rsidTr="00D929C1">
        <w:trPr>
          <w:trHeight w:val="780"/>
        </w:trPr>
        <w:tc>
          <w:tcPr>
            <w:tcW w:w="901" w:type="pct"/>
            <w:shd w:val="clear" w:color="auto" w:fill="auto"/>
            <w:hideMark/>
          </w:tcPr>
          <w:p w14:paraId="79BA5C58" w14:textId="004B4CB7"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 Holt</w:t>
            </w:r>
            <w:r w:rsidR="006E0587"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7D758BC2" w14:textId="318493FE" w:rsidR="00D16652" w:rsidRPr="00722AEE" w:rsidRDefault="00B33F63"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To </w:t>
            </w:r>
            <w:r w:rsidR="00D16652" w:rsidRPr="00722AEE">
              <w:rPr>
                <w:rFonts w:ascii="Times New Roman" w:eastAsia="Times New Roman" w:hAnsi="Times New Roman" w:cs="Times New Roman"/>
                <w:color w:val="000000"/>
                <w:sz w:val="20"/>
                <w:szCs w:val="20"/>
                <w:lang w:val="en-AU" w:eastAsia="en-AU"/>
              </w:rPr>
              <w:t xml:space="preserve">understand clinicians' perceived facilitators and barriers to use PCD using a consumer informatics technology integrated into the EHR. </w:t>
            </w:r>
          </w:p>
        </w:tc>
        <w:tc>
          <w:tcPr>
            <w:tcW w:w="657" w:type="pct"/>
            <w:shd w:val="clear" w:color="auto" w:fill="auto"/>
            <w:noWrap/>
            <w:hideMark/>
          </w:tcPr>
          <w:p w14:paraId="217F91FB" w14:textId="0A3FDE17"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Us</w:t>
            </w:r>
          </w:p>
        </w:tc>
        <w:tc>
          <w:tcPr>
            <w:tcW w:w="732" w:type="pct"/>
            <w:shd w:val="clear" w:color="auto" w:fill="auto"/>
            <w:hideMark/>
          </w:tcPr>
          <w:p w14:paraId="36101171" w14:textId="0D8D5F4D"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Qualitative </w:t>
            </w:r>
          </w:p>
        </w:tc>
      </w:tr>
      <w:tr w:rsidR="00D16652" w:rsidRPr="00722AEE" w14:paraId="32ADDE56" w14:textId="77777777" w:rsidTr="00D929C1">
        <w:trPr>
          <w:trHeight w:val="780"/>
        </w:trPr>
        <w:tc>
          <w:tcPr>
            <w:tcW w:w="901" w:type="pct"/>
            <w:shd w:val="clear" w:color="auto" w:fill="auto"/>
            <w:hideMark/>
          </w:tcPr>
          <w:p w14:paraId="47A6ED6E" w14:textId="72170A68"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Kuipers</w:t>
            </w:r>
            <w:r w:rsidR="0064781F"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69EF7E15" w14:textId="32316394" w:rsidR="00D16652" w:rsidRPr="00722AEE" w:rsidRDefault="00163C80"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t</w:t>
            </w:r>
            <w:r w:rsidR="00D16652" w:rsidRPr="00722AEE">
              <w:rPr>
                <w:rFonts w:ascii="Times New Roman" w:eastAsia="Times New Roman" w:hAnsi="Times New Roman" w:cs="Times New Roman"/>
                <w:color w:val="000000"/>
                <w:sz w:val="20"/>
                <w:szCs w:val="20"/>
                <w:lang w:val="en-AU" w:eastAsia="en-AU"/>
              </w:rPr>
              <w:t>o identify views of patients with multi-morbidity on the relative importance of PCC aspects in a Dutch primary care setting</w:t>
            </w:r>
          </w:p>
        </w:tc>
        <w:tc>
          <w:tcPr>
            <w:tcW w:w="657" w:type="pct"/>
            <w:shd w:val="clear" w:color="auto" w:fill="auto"/>
            <w:noWrap/>
            <w:hideMark/>
          </w:tcPr>
          <w:p w14:paraId="23C4E5C4" w14:textId="2D683ABB"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The Netherlands</w:t>
            </w:r>
          </w:p>
        </w:tc>
        <w:tc>
          <w:tcPr>
            <w:tcW w:w="732" w:type="pct"/>
            <w:shd w:val="clear" w:color="auto" w:fill="auto"/>
            <w:hideMark/>
          </w:tcPr>
          <w:p w14:paraId="53AF4686" w14:textId="733909A0"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Qualitative</w:t>
            </w:r>
          </w:p>
        </w:tc>
      </w:tr>
      <w:tr w:rsidR="00D16652" w:rsidRPr="00722AEE" w14:paraId="27AA210B" w14:textId="77777777" w:rsidTr="00D929C1">
        <w:trPr>
          <w:trHeight w:val="551"/>
        </w:trPr>
        <w:tc>
          <w:tcPr>
            <w:tcW w:w="901" w:type="pct"/>
            <w:shd w:val="clear" w:color="auto" w:fill="auto"/>
            <w:hideMark/>
          </w:tcPr>
          <w:p w14:paraId="533765B4" w14:textId="20092F4C"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Turner and Archer</w:t>
            </w:r>
          </w:p>
        </w:tc>
        <w:tc>
          <w:tcPr>
            <w:tcW w:w="2710" w:type="pct"/>
            <w:shd w:val="clear" w:color="auto" w:fill="auto"/>
            <w:hideMark/>
          </w:tcPr>
          <w:p w14:paraId="0F4589C7" w14:textId="77777777"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to determine whether the Western constructs of empathy were relevant in our context</w:t>
            </w:r>
          </w:p>
        </w:tc>
        <w:tc>
          <w:tcPr>
            <w:tcW w:w="657" w:type="pct"/>
            <w:shd w:val="clear" w:color="auto" w:fill="auto"/>
            <w:noWrap/>
            <w:hideMark/>
          </w:tcPr>
          <w:p w14:paraId="79C35388" w14:textId="5C82867C"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South Africa </w:t>
            </w:r>
          </w:p>
        </w:tc>
        <w:tc>
          <w:tcPr>
            <w:tcW w:w="732" w:type="pct"/>
            <w:shd w:val="clear" w:color="auto" w:fill="auto"/>
            <w:hideMark/>
          </w:tcPr>
          <w:p w14:paraId="55688A1B" w14:textId="3AA79E2A"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Mixed Methods</w:t>
            </w:r>
          </w:p>
        </w:tc>
      </w:tr>
      <w:tr w:rsidR="00D16652" w:rsidRPr="00722AEE" w14:paraId="5AE0594D" w14:textId="77777777" w:rsidTr="00D929C1">
        <w:trPr>
          <w:trHeight w:val="780"/>
        </w:trPr>
        <w:tc>
          <w:tcPr>
            <w:tcW w:w="901" w:type="pct"/>
            <w:shd w:val="clear" w:color="auto" w:fill="auto"/>
            <w:hideMark/>
          </w:tcPr>
          <w:p w14:paraId="44C27498" w14:textId="7DE7547D"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Waweru</w:t>
            </w:r>
            <w:r w:rsidR="0064781F"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72FFBDA3" w14:textId="140FC022" w:rsidR="00D16652" w:rsidRPr="00722AEE" w:rsidRDefault="00B33F63"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To describe the patient communication with</w:t>
            </w:r>
            <w:r w:rsidR="00D16652" w:rsidRPr="00722AEE">
              <w:rPr>
                <w:rFonts w:ascii="Times New Roman" w:eastAsia="Times New Roman" w:hAnsi="Times New Roman" w:cs="Times New Roman"/>
                <w:color w:val="000000"/>
                <w:sz w:val="20"/>
                <w:szCs w:val="20"/>
                <w:lang w:val="en-AU" w:eastAsia="en-AU"/>
              </w:rPr>
              <w:t xml:space="preserve"> their doctors and understand the cause of their problems as well as the management plan</w:t>
            </w:r>
          </w:p>
        </w:tc>
        <w:tc>
          <w:tcPr>
            <w:tcW w:w="657" w:type="pct"/>
            <w:shd w:val="clear" w:color="auto" w:fill="auto"/>
            <w:noWrap/>
            <w:hideMark/>
          </w:tcPr>
          <w:p w14:paraId="581B0EEC" w14:textId="47D1C947"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Uganda</w:t>
            </w:r>
          </w:p>
        </w:tc>
        <w:tc>
          <w:tcPr>
            <w:tcW w:w="732" w:type="pct"/>
            <w:shd w:val="clear" w:color="auto" w:fill="auto"/>
            <w:hideMark/>
          </w:tcPr>
          <w:p w14:paraId="2118658D" w14:textId="754BAC34"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Mixed Methods </w:t>
            </w:r>
          </w:p>
        </w:tc>
      </w:tr>
      <w:tr w:rsidR="00D16652" w:rsidRPr="00722AEE" w14:paraId="6A948F6B" w14:textId="77777777" w:rsidTr="00D929C1">
        <w:trPr>
          <w:trHeight w:val="780"/>
        </w:trPr>
        <w:tc>
          <w:tcPr>
            <w:tcW w:w="901" w:type="pct"/>
            <w:shd w:val="clear" w:color="auto" w:fill="auto"/>
            <w:hideMark/>
          </w:tcPr>
          <w:p w14:paraId="6BCED85B" w14:textId="3354C23A"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Ahmed</w:t>
            </w:r>
            <w:r w:rsidR="0064781F"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794EFEC9" w14:textId="2BC5F1A5" w:rsidR="00D16652" w:rsidRPr="00722AEE" w:rsidRDefault="00163C80"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t</w:t>
            </w:r>
            <w:r w:rsidR="00D16652" w:rsidRPr="00722AEE">
              <w:rPr>
                <w:rFonts w:ascii="Times New Roman" w:eastAsia="Times New Roman" w:hAnsi="Times New Roman" w:cs="Times New Roman"/>
                <w:color w:val="000000"/>
                <w:sz w:val="20"/>
                <w:szCs w:val="20"/>
                <w:lang w:val="en-AU" w:eastAsia="en-AU"/>
              </w:rPr>
              <w:t>o identify the relationships between the context in which integrated care programmes (ICPs) for community-dwelling frail older people</w:t>
            </w:r>
          </w:p>
        </w:tc>
        <w:tc>
          <w:tcPr>
            <w:tcW w:w="657" w:type="pct"/>
            <w:shd w:val="clear" w:color="auto" w:fill="auto"/>
            <w:noWrap/>
            <w:hideMark/>
          </w:tcPr>
          <w:p w14:paraId="66915C3A" w14:textId="77777777"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p>
        </w:tc>
        <w:tc>
          <w:tcPr>
            <w:tcW w:w="732" w:type="pct"/>
            <w:shd w:val="clear" w:color="auto" w:fill="auto"/>
            <w:hideMark/>
          </w:tcPr>
          <w:p w14:paraId="718C1CF8" w14:textId="4FF88E8E"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Review </w:t>
            </w:r>
          </w:p>
        </w:tc>
      </w:tr>
      <w:tr w:rsidR="00D16652" w:rsidRPr="00722AEE" w14:paraId="4BEB0670" w14:textId="77777777" w:rsidTr="00D929C1">
        <w:trPr>
          <w:trHeight w:val="780"/>
        </w:trPr>
        <w:tc>
          <w:tcPr>
            <w:tcW w:w="901" w:type="pct"/>
            <w:shd w:val="clear" w:color="auto" w:fill="auto"/>
            <w:hideMark/>
          </w:tcPr>
          <w:p w14:paraId="604EFCE5" w14:textId="777BEA83"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Brault</w:t>
            </w:r>
            <w:r w:rsidR="0064781F"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5148D527" w14:textId="57FB68A6"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 </w:t>
            </w:r>
            <w:r w:rsidR="00B33F63" w:rsidRPr="00722AEE">
              <w:rPr>
                <w:rFonts w:ascii="Times New Roman" w:eastAsia="Times New Roman" w:hAnsi="Times New Roman" w:cs="Times New Roman"/>
                <w:color w:val="000000"/>
                <w:sz w:val="20"/>
                <w:szCs w:val="20"/>
                <w:lang w:val="en-AU" w:eastAsia="en-AU"/>
              </w:rPr>
              <w:t xml:space="preserve">To </w:t>
            </w:r>
            <w:r w:rsidRPr="00722AEE">
              <w:rPr>
                <w:rFonts w:ascii="Times New Roman" w:eastAsia="Times New Roman" w:hAnsi="Times New Roman" w:cs="Times New Roman"/>
                <w:color w:val="000000"/>
                <w:sz w:val="20"/>
                <w:szCs w:val="20"/>
                <w:lang w:val="en-AU" w:eastAsia="en-AU"/>
              </w:rPr>
              <w:t>explore facilitators and barriers to patient-centered communication in the context of developing an electronic appointment planning tool to promote SRH communication in clinic settings</w:t>
            </w:r>
          </w:p>
        </w:tc>
        <w:tc>
          <w:tcPr>
            <w:tcW w:w="657" w:type="pct"/>
            <w:shd w:val="clear" w:color="auto" w:fill="auto"/>
            <w:noWrap/>
            <w:hideMark/>
          </w:tcPr>
          <w:p w14:paraId="72260B96" w14:textId="70891F17"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US</w:t>
            </w:r>
          </w:p>
        </w:tc>
        <w:tc>
          <w:tcPr>
            <w:tcW w:w="732" w:type="pct"/>
            <w:shd w:val="clear" w:color="auto" w:fill="auto"/>
            <w:hideMark/>
          </w:tcPr>
          <w:p w14:paraId="38977234" w14:textId="4477E17E"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Qualitative </w:t>
            </w:r>
          </w:p>
        </w:tc>
      </w:tr>
      <w:tr w:rsidR="00D16652" w:rsidRPr="00722AEE" w14:paraId="65EAD066" w14:textId="77777777" w:rsidTr="00D929C1">
        <w:trPr>
          <w:trHeight w:val="780"/>
        </w:trPr>
        <w:tc>
          <w:tcPr>
            <w:tcW w:w="901" w:type="pct"/>
            <w:shd w:val="clear" w:color="auto" w:fill="auto"/>
            <w:hideMark/>
          </w:tcPr>
          <w:p w14:paraId="1262C1B2" w14:textId="54438494"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Brickley</w:t>
            </w:r>
            <w:r w:rsidR="0064781F"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71AD7652" w14:textId="77777777"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to evaluate and advance a theoretical model of PCC developed in consultation with practising GPs and patient advocates.</w:t>
            </w:r>
          </w:p>
        </w:tc>
        <w:tc>
          <w:tcPr>
            <w:tcW w:w="657" w:type="pct"/>
            <w:shd w:val="clear" w:color="auto" w:fill="auto"/>
            <w:noWrap/>
            <w:hideMark/>
          </w:tcPr>
          <w:p w14:paraId="26A10B85" w14:textId="3FC87714"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Australia </w:t>
            </w:r>
          </w:p>
        </w:tc>
        <w:tc>
          <w:tcPr>
            <w:tcW w:w="732" w:type="pct"/>
            <w:shd w:val="clear" w:color="auto" w:fill="auto"/>
            <w:hideMark/>
          </w:tcPr>
          <w:p w14:paraId="0B43BE2B" w14:textId="4FA3D9F2"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Qualitative </w:t>
            </w:r>
          </w:p>
        </w:tc>
      </w:tr>
      <w:tr w:rsidR="00D16652" w:rsidRPr="00722AEE" w14:paraId="605D5D1E" w14:textId="77777777" w:rsidTr="00D929C1">
        <w:trPr>
          <w:trHeight w:val="780"/>
        </w:trPr>
        <w:tc>
          <w:tcPr>
            <w:tcW w:w="901" w:type="pct"/>
            <w:shd w:val="clear" w:color="auto" w:fill="auto"/>
            <w:hideMark/>
          </w:tcPr>
          <w:p w14:paraId="7C49C70C" w14:textId="6979666E"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Ebrahimi</w:t>
            </w:r>
            <w:r w:rsidR="0064781F"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35660A13" w14:textId="77777777"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to explore the content and essential components of implemented person-centered care in the out-of-hospital context for older people </w:t>
            </w:r>
          </w:p>
        </w:tc>
        <w:tc>
          <w:tcPr>
            <w:tcW w:w="657" w:type="pct"/>
            <w:shd w:val="clear" w:color="auto" w:fill="auto"/>
            <w:noWrap/>
            <w:hideMark/>
          </w:tcPr>
          <w:p w14:paraId="269D5857" w14:textId="77777777"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p>
        </w:tc>
        <w:tc>
          <w:tcPr>
            <w:tcW w:w="732" w:type="pct"/>
            <w:shd w:val="clear" w:color="auto" w:fill="auto"/>
            <w:hideMark/>
          </w:tcPr>
          <w:p w14:paraId="7D52C87C" w14:textId="2CA2625B"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Review </w:t>
            </w:r>
          </w:p>
        </w:tc>
      </w:tr>
      <w:tr w:rsidR="00D16652" w:rsidRPr="00722AEE" w14:paraId="5EE3495E" w14:textId="77777777" w:rsidTr="00D929C1">
        <w:trPr>
          <w:trHeight w:val="780"/>
        </w:trPr>
        <w:tc>
          <w:tcPr>
            <w:tcW w:w="901" w:type="pct"/>
            <w:shd w:val="clear" w:color="auto" w:fill="auto"/>
            <w:hideMark/>
          </w:tcPr>
          <w:p w14:paraId="78CA3178" w14:textId="2D989CC7"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Epstein</w:t>
            </w:r>
            <w:r w:rsidR="0064781F"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7FD8C62C" w14:textId="5A22EF76" w:rsidR="00D16652" w:rsidRPr="00722AEE" w:rsidRDefault="00B33F63"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To </w:t>
            </w:r>
            <w:r w:rsidR="00D16652" w:rsidRPr="00722AEE">
              <w:rPr>
                <w:rFonts w:ascii="Times New Roman" w:eastAsia="Times New Roman" w:hAnsi="Times New Roman" w:cs="Times New Roman"/>
                <w:color w:val="000000"/>
                <w:sz w:val="20"/>
                <w:szCs w:val="20"/>
                <w:lang w:val="en-AU" w:eastAsia="en-AU"/>
              </w:rPr>
              <w:t>explore patients' and GPs' perceptions of an alternative payment system, a Patient-Chosen Gap Payment,</w:t>
            </w:r>
          </w:p>
        </w:tc>
        <w:tc>
          <w:tcPr>
            <w:tcW w:w="657" w:type="pct"/>
            <w:shd w:val="clear" w:color="auto" w:fill="auto"/>
            <w:noWrap/>
            <w:hideMark/>
          </w:tcPr>
          <w:p w14:paraId="3A37704F" w14:textId="28DB8F60"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Australia </w:t>
            </w:r>
          </w:p>
        </w:tc>
        <w:tc>
          <w:tcPr>
            <w:tcW w:w="732" w:type="pct"/>
            <w:shd w:val="clear" w:color="auto" w:fill="auto"/>
            <w:hideMark/>
          </w:tcPr>
          <w:p w14:paraId="7BDC56F2" w14:textId="6B0CE9E2"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Qualitative </w:t>
            </w:r>
          </w:p>
        </w:tc>
      </w:tr>
      <w:tr w:rsidR="00D16652" w:rsidRPr="00722AEE" w14:paraId="52C8858D" w14:textId="77777777" w:rsidTr="00D929C1">
        <w:trPr>
          <w:trHeight w:val="780"/>
        </w:trPr>
        <w:tc>
          <w:tcPr>
            <w:tcW w:w="901" w:type="pct"/>
            <w:shd w:val="clear" w:color="auto" w:fill="auto"/>
            <w:hideMark/>
          </w:tcPr>
          <w:p w14:paraId="50829415" w14:textId="2C1A1F03"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 Kuipers</w:t>
            </w:r>
            <w:r w:rsidR="0064781F"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3C77C9EA" w14:textId="1AD54EFA"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 </w:t>
            </w:r>
            <w:r w:rsidR="00B33F63" w:rsidRPr="00722AEE">
              <w:rPr>
                <w:rFonts w:ascii="Times New Roman" w:eastAsia="Times New Roman" w:hAnsi="Times New Roman" w:cs="Times New Roman"/>
                <w:color w:val="000000"/>
                <w:sz w:val="20"/>
                <w:szCs w:val="20"/>
                <w:lang w:val="en-AU" w:eastAsia="en-AU"/>
              </w:rPr>
              <w:t xml:space="preserve">To </w:t>
            </w:r>
            <w:r w:rsidRPr="00722AEE">
              <w:rPr>
                <w:rFonts w:ascii="Times New Roman" w:eastAsia="Times New Roman" w:hAnsi="Times New Roman" w:cs="Times New Roman"/>
                <w:color w:val="000000"/>
                <w:sz w:val="20"/>
                <w:szCs w:val="20"/>
                <w:lang w:val="en-AU" w:eastAsia="en-AU"/>
              </w:rPr>
              <w:t>healthcare professionals' perceived barriers to primary PCC delivery to patients with multimorbidity were investigated</w:t>
            </w:r>
          </w:p>
        </w:tc>
        <w:tc>
          <w:tcPr>
            <w:tcW w:w="657" w:type="pct"/>
            <w:shd w:val="clear" w:color="auto" w:fill="auto"/>
            <w:noWrap/>
            <w:hideMark/>
          </w:tcPr>
          <w:p w14:paraId="5A89D924" w14:textId="5CA09483"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The Netherlands</w:t>
            </w:r>
          </w:p>
        </w:tc>
        <w:tc>
          <w:tcPr>
            <w:tcW w:w="732" w:type="pct"/>
            <w:shd w:val="clear" w:color="auto" w:fill="auto"/>
            <w:hideMark/>
          </w:tcPr>
          <w:p w14:paraId="755C30B0" w14:textId="5AF92791"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Qualitative</w:t>
            </w:r>
          </w:p>
        </w:tc>
      </w:tr>
      <w:tr w:rsidR="00D16652" w:rsidRPr="00722AEE" w14:paraId="1FF5A935" w14:textId="77777777" w:rsidTr="00D929C1">
        <w:trPr>
          <w:trHeight w:val="780"/>
        </w:trPr>
        <w:tc>
          <w:tcPr>
            <w:tcW w:w="901" w:type="pct"/>
            <w:shd w:val="clear" w:color="auto" w:fill="auto"/>
            <w:hideMark/>
          </w:tcPr>
          <w:p w14:paraId="71B844DE" w14:textId="3CD1E288"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Kumar</w:t>
            </w:r>
            <w:r w:rsidR="0064781F"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4536DFE6" w14:textId="5F0D6223" w:rsidR="00D16652" w:rsidRPr="00722AEE" w:rsidRDefault="00B33F63"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To </w:t>
            </w:r>
            <w:r w:rsidR="00D929C1" w:rsidRPr="00722AEE">
              <w:rPr>
                <w:rFonts w:ascii="Times New Roman" w:eastAsia="Times New Roman" w:hAnsi="Times New Roman" w:cs="Times New Roman"/>
                <w:color w:val="000000"/>
                <w:sz w:val="20"/>
                <w:szCs w:val="20"/>
                <w:lang w:val="en-AU" w:eastAsia="en-AU"/>
              </w:rPr>
              <w:t>encompasses</w:t>
            </w:r>
            <w:r w:rsidR="00D16652" w:rsidRPr="00722AEE">
              <w:rPr>
                <w:rFonts w:ascii="Times New Roman" w:eastAsia="Times New Roman" w:hAnsi="Times New Roman" w:cs="Times New Roman"/>
                <w:color w:val="000000"/>
                <w:sz w:val="20"/>
                <w:szCs w:val="20"/>
                <w:lang w:val="en-AU" w:eastAsia="en-AU"/>
              </w:rPr>
              <w:t xml:space="preserve"> an overview of mental health care competencies, best practices and capacity building needed to fast track patient responsive</w:t>
            </w:r>
          </w:p>
        </w:tc>
        <w:tc>
          <w:tcPr>
            <w:tcW w:w="657" w:type="pct"/>
            <w:shd w:val="clear" w:color="auto" w:fill="auto"/>
            <w:noWrap/>
            <w:hideMark/>
          </w:tcPr>
          <w:p w14:paraId="65386015" w14:textId="77777777"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p>
        </w:tc>
        <w:tc>
          <w:tcPr>
            <w:tcW w:w="732" w:type="pct"/>
            <w:shd w:val="clear" w:color="auto" w:fill="auto"/>
            <w:hideMark/>
          </w:tcPr>
          <w:p w14:paraId="3ECAE430" w14:textId="123B0F4F"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Narrative Synthesis </w:t>
            </w:r>
          </w:p>
        </w:tc>
      </w:tr>
      <w:tr w:rsidR="00D16652" w:rsidRPr="00722AEE" w14:paraId="4FC31C28" w14:textId="77777777" w:rsidTr="00D929C1">
        <w:trPr>
          <w:trHeight w:val="780"/>
        </w:trPr>
        <w:tc>
          <w:tcPr>
            <w:tcW w:w="901" w:type="pct"/>
            <w:shd w:val="clear" w:color="auto" w:fill="auto"/>
            <w:hideMark/>
          </w:tcPr>
          <w:p w14:paraId="2E6915B8" w14:textId="5769EF6E"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Raj</w:t>
            </w:r>
            <w:r w:rsidR="0064781F"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107307EB" w14:textId="12943443" w:rsidR="00D16652" w:rsidRPr="00722AEE" w:rsidRDefault="00B33F63"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To </w:t>
            </w:r>
            <w:r w:rsidR="00D16652" w:rsidRPr="00722AEE">
              <w:rPr>
                <w:rFonts w:ascii="Times New Roman" w:eastAsia="Times New Roman" w:hAnsi="Times New Roman" w:cs="Times New Roman"/>
                <w:color w:val="000000"/>
                <w:sz w:val="20"/>
                <w:szCs w:val="20"/>
                <w:lang w:val="en-AU" w:eastAsia="en-AU"/>
              </w:rPr>
              <w:t xml:space="preserve">examine what patient-centeredness means for older adults and family caregivers, and (2) assess circumstances underlying their preference for geriatric care. </w:t>
            </w:r>
          </w:p>
        </w:tc>
        <w:tc>
          <w:tcPr>
            <w:tcW w:w="657" w:type="pct"/>
            <w:shd w:val="clear" w:color="auto" w:fill="auto"/>
            <w:noWrap/>
            <w:hideMark/>
          </w:tcPr>
          <w:p w14:paraId="28036E35" w14:textId="7B487487"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US</w:t>
            </w:r>
          </w:p>
        </w:tc>
        <w:tc>
          <w:tcPr>
            <w:tcW w:w="732" w:type="pct"/>
            <w:shd w:val="clear" w:color="auto" w:fill="auto"/>
            <w:hideMark/>
          </w:tcPr>
          <w:p w14:paraId="26A7A4B2" w14:textId="327B5E10"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Qualitative </w:t>
            </w:r>
          </w:p>
        </w:tc>
      </w:tr>
      <w:tr w:rsidR="00D16652" w:rsidRPr="00722AEE" w14:paraId="404CFEF5" w14:textId="77777777" w:rsidTr="00D929C1">
        <w:trPr>
          <w:trHeight w:val="558"/>
        </w:trPr>
        <w:tc>
          <w:tcPr>
            <w:tcW w:w="901" w:type="pct"/>
            <w:shd w:val="clear" w:color="auto" w:fill="auto"/>
            <w:hideMark/>
          </w:tcPr>
          <w:p w14:paraId="0B1C0439" w14:textId="61C17CBB"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lastRenderedPageBreak/>
              <w:t xml:space="preserve"> Westlake</w:t>
            </w:r>
            <w:r w:rsidR="0064781F"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4CDAC271" w14:textId="2279211D" w:rsidR="00D16652" w:rsidRPr="00722AEE" w:rsidRDefault="00B33F63"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To explain </w:t>
            </w:r>
            <w:r w:rsidR="00D929C1" w:rsidRPr="00722AEE">
              <w:rPr>
                <w:rFonts w:ascii="Times New Roman" w:eastAsia="Times New Roman" w:hAnsi="Times New Roman" w:cs="Times New Roman"/>
                <w:color w:val="000000"/>
                <w:sz w:val="20"/>
                <w:szCs w:val="20"/>
                <w:lang w:val="en-AU" w:eastAsia="en-AU"/>
              </w:rPr>
              <w:t>the engagement</w:t>
            </w:r>
            <w:r w:rsidR="00D16652" w:rsidRPr="00722AEE">
              <w:rPr>
                <w:rFonts w:ascii="Times New Roman" w:eastAsia="Times New Roman" w:hAnsi="Times New Roman" w:cs="Times New Roman"/>
                <w:color w:val="000000"/>
                <w:sz w:val="20"/>
                <w:szCs w:val="20"/>
                <w:lang w:val="en-AU" w:eastAsia="en-AU"/>
              </w:rPr>
              <w:t xml:space="preserve"> and understanding from the patient, a PCC approach will fail to initiate. </w:t>
            </w:r>
          </w:p>
        </w:tc>
        <w:tc>
          <w:tcPr>
            <w:tcW w:w="657" w:type="pct"/>
            <w:shd w:val="clear" w:color="auto" w:fill="auto"/>
            <w:noWrap/>
            <w:hideMark/>
          </w:tcPr>
          <w:p w14:paraId="7F624AAE" w14:textId="6CEBEAF6"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England </w:t>
            </w:r>
          </w:p>
        </w:tc>
        <w:tc>
          <w:tcPr>
            <w:tcW w:w="732" w:type="pct"/>
            <w:shd w:val="clear" w:color="auto" w:fill="auto"/>
            <w:hideMark/>
          </w:tcPr>
          <w:p w14:paraId="78D7E90C" w14:textId="0D54FD72"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Qualitative </w:t>
            </w:r>
          </w:p>
        </w:tc>
      </w:tr>
      <w:tr w:rsidR="00D16652" w:rsidRPr="00722AEE" w14:paraId="2A1E6952" w14:textId="77777777" w:rsidTr="00D929C1">
        <w:trPr>
          <w:trHeight w:val="483"/>
        </w:trPr>
        <w:tc>
          <w:tcPr>
            <w:tcW w:w="901" w:type="pct"/>
            <w:shd w:val="clear" w:color="auto" w:fill="auto"/>
            <w:hideMark/>
          </w:tcPr>
          <w:p w14:paraId="64DDD8DD" w14:textId="1344173D"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Armenta-Arellano</w:t>
            </w:r>
            <w:r w:rsidR="0064781F"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2DD58AA6" w14:textId="77777777"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to materialize the right to health in accordance with its laws.</w:t>
            </w:r>
          </w:p>
        </w:tc>
        <w:tc>
          <w:tcPr>
            <w:tcW w:w="657" w:type="pct"/>
            <w:shd w:val="clear" w:color="auto" w:fill="auto"/>
            <w:noWrap/>
            <w:hideMark/>
          </w:tcPr>
          <w:p w14:paraId="7434DF83" w14:textId="26955D9F"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Mexico</w:t>
            </w:r>
          </w:p>
        </w:tc>
        <w:tc>
          <w:tcPr>
            <w:tcW w:w="732" w:type="pct"/>
            <w:shd w:val="clear" w:color="auto" w:fill="auto"/>
            <w:hideMark/>
          </w:tcPr>
          <w:p w14:paraId="2B6FA34C" w14:textId="5ACF8284"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Qualitative </w:t>
            </w:r>
          </w:p>
        </w:tc>
      </w:tr>
      <w:tr w:rsidR="00D16652" w:rsidRPr="00722AEE" w14:paraId="4D128F47" w14:textId="77777777" w:rsidTr="00D929C1">
        <w:trPr>
          <w:trHeight w:val="780"/>
        </w:trPr>
        <w:tc>
          <w:tcPr>
            <w:tcW w:w="901" w:type="pct"/>
            <w:shd w:val="clear" w:color="auto" w:fill="auto"/>
            <w:hideMark/>
          </w:tcPr>
          <w:p w14:paraId="6BBB318C" w14:textId="659A3370"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Aworinde</w:t>
            </w:r>
            <w:r w:rsidR="0064781F"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0768C1FF" w14:textId="77777777"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 To identify published evidence on person-centered outcome measures (PCOMs) used in dementia care and to explore how PCOMs facilitate shared decision-making and improve outcomes of care.</w:t>
            </w:r>
          </w:p>
        </w:tc>
        <w:tc>
          <w:tcPr>
            <w:tcW w:w="657" w:type="pct"/>
            <w:shd w:val="clear" w:color="auto" w:fill="auto"/>
            <w:noWrap/>
            <w:hideMark/>
          </w:tcPr>
          <w:p w14:paraId="58E70A1C" w14:textId="2EF4F423"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Not specified</w:t>
            </w:r>
          </w:p>
        </w:tc>
        <w:tc>
          <w:tcPr>
            <w:tcW w:w="732" w:type="pct"/>
            <w:shd w:val="clear" w:color="auto" w:fill="auto"/>
            <w:hideMark/>
          </w:tcPr>
          <w:p w14:paraId="327BB009" w14:textId="4CE6C001"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Mixed Methods -Review </w:t>
            </w:r>
          </w:p>
        </w:tc>
      </w:tr>
      <w:tr w:rsidR="00D16652" w:rsidRPr="00722AEE" w14:paraId="767CF8D9" w14:textId="77777777" w:rsidTr="00D929C1">
        <w:trPr>
          <w:trHeight w:val="780"/>
        </w:trPr>
        <w:tc>
          <w:tcPr>
            <w:tcW w:w="901" w:type="pct"/>
            <w:shd w:val="clear" w:color="auto" w:fill="auto"/>
            <w:hideMark/>
          </w:tcPr>
          <w:p w14:paraId="5C0F6F22" w14:textId="034C24C7"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Kari</w:t>
            </w:r>
            <w:r w:rsidR="0064781F"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57274B1C" w14:textId="77777777"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to develop an interprofessional people-centred care model (PCCM), including the contribution of a clinically trained pharmacist for home-living multimorbid older people in primary care.</w:t>
            </w:r>
          </w:p>
        </w:tc>
        <w:tc>
          <w:tcPr>
            <w:tcW w:w="657" w:type="pct"/>
            <w:shd w:val="clear" w:color="auto" w:fill="auto"/>
            <w:noWrap/>
            <w:hideMark/>
          </w:tcPr>
          <w:p w14:paraId="19795042" w14:textId="58CC94E4"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Finland </w:t>
            </w:r>
          </w:p>
        </w:tc>
        <w:tc>
          <w:tcPr>
            <w:tcW w:w="732" w:type="pct"/>
            <w:shd w:val="clear" w:color="auto" w:fill="auto"/>
            <w:hideMark/>
          </w:tcPr>
          <w:p w14:paraId="5E08BAB5" w14:textId="57DD3208"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Qualitative </w:t>
            </w:r>
          </w:p>
        </w:tc>
      </w:tr>
      <w:tr w:rsidR="00D16652" w:rsidRPr="00722AEE" w14:paraId="1DFD7DCA" w14:textId="77777777" w:rsidTr="00D929C1">
        <w:trPr>
          <w:trHeight w:val="780"/>
        </w:trPr>
        <w:tc>
          <w:tcPr>
            <w:tcW w:w="901" w:type="pct"/>
            <w:shd w:val="clear" w:color="auto" w:fill="auto"/>
            <w:hideMark/>
          </w:tcPr>
          <w:p w14:paraId="3363A4FA" w14:textId="6918EC64"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Lalani and Marshall</w:t>
            </w:r>
          </w:p>
        </w:tc>
        <w:tc>
          <w:tcPr>
            <w:tcW w:w="2710" w:type="pct"/>
            <w:shd w:val="clear" w:color="auto" w:fill="auto"/>
            <w:hideMark/>
          </w:tcPr>
          <w:p w14:paraId="10BCE650" w14:textId="5446276E" w:rsidR="00D16652" w:rsidRPr="00722AEE" w:rsidRDefault="00B33F63"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To explain </w:t>
            </w:r>
            <w:r w:rsidR="00D16652" w:rsidRPr="00722AEE">
              <w:rPr>
                <w:rFonts w:ascii="Times New Roman" w:eastAsia="Times New Roman" w:hAnsi="Times New Roman" w:cs="Times New Roman"/>
                <w:color w:val="000000"/>
                <w:sz w:val="20"/>
                <w:szCs w:val="20"/>
                <w:lang w:val="en-AU" w:eastAsia="en-AU"/>
              </w:rPr>
              <w:t xml:space="preserve">consider the extent to which co-location is an enabler for service integration by examining multi-professional community care teams. </w:t>
            </w:r>
          </w:p>
        </w:tc>
        <w:tc>
          <w:tcPr>
            <w:tcW w:w="657" w:type="pct"/>
            <w:shd w:val="clear" w:color="auto" w:fill="auto"/>
            <w:noWrap/>
            <w:hideMark/>
          </w:tcPr>
          <w:p w14:paraId="39DC3639" w14:textId="233B7F5B"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England </w:t>
            </w:r>
          </w:p>
        </w:tc>
        <w:tc>
          <w:tcPr>
            <w:tcW w:w="732" w:type="pct"/>
            <w:shd w:val="clear" w:color="auto" w:fill="auto"/>
            <w:hideMark/>
          </w:tcPr>
          <w:p w14:paraId="5018F429" w14:textId="1C999AF6"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Qualitative</w:t>
            </w:r>
          </w:p>
        </w:tc>
      </w:tr>
      <w:tr w:rsidR="00D16652" w:rsidRPr="00722AEE" w14:paraId="78EB2549" w14:textId="77777777" w:rsidTr="00D929C1">
        <w:trPr>
          <w:trHeight w:val="414"/>
        </w:trPr>
        <w:tc>
          <w:tcPr>
            <w:tcW w:w="901" w:type="pct"/>
            <w:shd w:val="clear" w:color="auto" w:fill="auto"/>
            <w:hideMark/>
          </w:tcPr>
          <w:p w14:paraId="20CF8168" w14:textId="5BB30E80"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Lateef and Mhlongo</w:t>
            </w:r>
          </w:p>
        </w:tc>
        <w:tc>
          <w:tcPr>
            <w:tcW w:w="2710" w:type="pct"/>
            <w:shd w:val="clear" w:color="auto" w:fill="auto"/>
            <w:hideMark/>
          </w:tcPr>
          <w:p w14:paraId="53A43026" w14:textId="63D4085A" w:rsidR="00D16652" w:rsidRPr="00722AEE" w:rsidRDefault="00163C80"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t</w:t>
            </w:r>
            <w:r w:rsidR="00D16652" w:rsidRPr="00722AEE">
              <w:rPr>
                <w:rFonts w:ascii="Times New Roman" w:eastAsia="Times New Roman" w:hAnsi="Times New Roman" w:cs="Times New Roman"/>
                <w:color w:val="000000"/>
                <w:sz w:val="20"/>
                <w:szCs w:val="20"/>
                <w:lang w:val="en-AU" w:eastAsia="en-AU"/>
              </w:rPr>
              <w:t>o explore the perception of nurses on PCC</w:t>
            </w:r>
          </w:p>
        </w:tc>
        <w:tc>
          <w:tcPr>
            <w:tcW w:w="657" w:type="pct"/>
            <w:shd w:val="clear" w:color="auto" w:fill="auto"/>
            <w:noWrap/>
            <w:hideMark/>
          </w:tcPr>
          <w:p w14:paraId="5CD7F293" w14:textId="45981256"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Nigeria</w:t>
            </w:r>
          </w:p>
        </w:tc>
        <w:tc>
          <w:tcPr>
            <w:tcW w:w="732" w:type="pct"/>
            <w:shd w:val="clear" w:color="auto" w:fill="auto"/>
            <w:hideMark/>
          </w:tcPr>
          <w:p w14:paraId="6381EA43" w14:textId="181CB2AE"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Qualitative </w:t>
            </w:r>
          </w:p>
        </w:tc>
      </w:tr>
      <w:tr w:rsidR="00D16652" w:rsidRPr="00722AEE" w14:paraId="277F85A9" w14:textId="77777777" w:rsidTr="00D929C1">
        <w:trPr>
          <w:trHeight w:val="780"/>
        </w:trPr>
        <w:tc>
          <w:tcPr>
            <w:tcW w:w="901" w:type="pct"/>
            <w:shd w:val="clear" w:color="auto" w:fill="auto"/>
            <w:hideMark/>
          </w:tcPr>
          <w:p w14:paraId="700257C1" w14:textId="02E237D3"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Manalili</w:t>
            </w:r>
            <w:r w:rsidR="0064781F"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24ED793B" w14:textId="5851547D" w:rsidR="00D16652" w:rsidRPr="00722AEE" w:rsidRDefault="00163C80"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t</w:t>
            </w:r>
            <w:r w:rsidR="00D16652" w:rsidRPr="00722AEE">
              <w:rPr>
                <w:rFonts w:ascii="Times New Roman" w:eastAsia="Times New Roman" w:hAnsi="Times New Roman" w:cs="Times New Roman"/>
                <w:color w:val="000000"/>
                <w:sz w:val="20"/>
                <w:szCs w:val="20"/>
                <w:lang w:val="en-AU" w:eastAsia="en-AU"/>
              </w:rPr>
              <w:t xml:space="preserve">o contribute to developing practical guidance for implementing person-centred quality indicators (PC-QIs) for primary care </w:t>
            </w:r>
          </w:p>
        </w:tc>
        <w:tc>
          <w:tcPr>
            <w:tcW w:w="657" w:type="pct"/>
            <w:shd w:val="clear" w:color="auto" w:fill="auto"/>
            <w:noWrap/>
            <w:hideMark/>
          </w:tcPr>
          <w:p w14:paraId="4550987C" w14:textId="1DA35CBE"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Canada</w:t>
            </w:r>
          </w:p>
        </w:tc>
        <w:tc>
          <w:tcPr>
            <w:tcW w:w="732" w:type="pct"/>
            <w:shd w:val="clear" w:color="auto" w:fill="auto"/>
            <w:hideMark/>
          </w:tcPr>
          <w:p w14:paraId="3FF6B4E6" w14:textId="2B307726"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Qualitative </w:t>
            </w:r>
          </w:p>
        </w:tc>
      </w:tr>
      <w:tr w:rsidR="00D16652" w:rsidRPr="00722AEE" w14:paraId="163295AE" w14:textId="77777777" w:rsidTr="00D929C1">
        <w:trPr>
          <w:trHeight w:val="780"/>
        </w:trPr>
        <w:tc>
          <w:tcPr>
            <w:tcW w:w="901" w:type="pct"/>
            <w:shd w:val="clear" w:color="auto" w:fill="auto"/>
            <w:hideMark/>
          </w:tcPr>
          <w:p w14:paraId="62376BF3" w14:textId="1AC2BFE4"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Schuttner</w:t>
            </w:r>
            <w:r w:rsidR="0064781F"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03353507" w14:textId="77777777"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to clarify facilitators and barriers perceived by primary care physicians in the Veterans Health Administration to delivering patient-centered care for high-risk or complex patients with multimorbidity. </w:t>
            </w:r>
          </w:p>
        </w:tc>
        <w:tc>
          <w:tcPr>
            <w:tcW w:w="657" w:type="pct"/>
            <w:shd w:val="clear" w:color="auto" w:fill="auto"/>
            <w:noWrap/>
            <w:hideMark/>
          </w:tcPr>
          <w:p w14:paraId="2B4008AA" w14:textId="2CA76AAA"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US</w:t>
            </w:r>
          </w:p>
        </w:tc>
        <w:tc>
          <w:tcPr>
            <w:tcW w:w="732" w:type="pct"/>
            <w:shd w:val="clear" w:color="auto" w:fill="auto"/>
            <w:hideMark/>
          </w:tcPr>
          <w:p w14:paraId="5299214C" w14:textId="2B32FC34"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Qualitative</w:t>
            </w:r>
          </w:p>
        </w:tc>
      </w:tr>
      <w:tr w:rsidR="00D16652" w:rsidRPr="00722AEE" w14:paraId="0650A401" w14:textId="77777777" w:rsidTr="00D929C1">
        <w:trPr>
          <w:trHeight w:val="470"/>
        </w:trPr>
        <w:tc>
          <w:tcPr>
            <w:tcW w:w="901" w:type="pct"/>
            <w:shd w:val="clear" w:color="auto" w:fill="auto"/>
            <w:hideMark/>
          </w:tcPr>
          <w:p w14:paraId="2DA4F2DA" w14:textId="16843489" w:rsidR="00D16652" w:rsidRPr="00722AEE" w:rsidRDefault="00D16652"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Tuepker</w:t>
            </w:r>
            <w:r w:rsidR="0064781F" w:rsidRPr="00722AEE">
              <w:rPr>
                <w:rFonts w:ascii="Times New Roman" w:eastAsia="Times New Roman" w:hAnsi="Times New Roman" w:cs="Times New Roman"/>
                <w:color w:val="000000"/>
                <w:sz w:val="20"/>
                <w:szCs w:val="20"/>
                <w:lang w:val="en-AU" w:eastAsia="en-AU"/>
              </w:rPr>
              <w:t xml:space="preserve"> et al</w:t>
            </w:r>
          </w:p>
        </w:tc>
        <w:tc>
          <w:tcPr>
            <w:tcW w:w="2710" w:type="pct"/>
            <w:shd w:val="clear" w:color="auto" w:fill="auto"/>
            <w:hideMark/>
          </w:tcPr>
          <w:p w14:paraId="2C056957" w14:textId="0492691B" w:rsidR="00D16652" w:rsidRPr="00722AEE" w:rsidRDefault="00B33F63"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To explore the</w:t>
            </w:r>
            <w:r w:rsidR="00D16652" w:rsidRPr="00722AEE">
              <w:rPr>
                <w:rFonts w:ascii="Times New Roman" w:eastAsia="Times New Roman" w:hAnsi="Times New Roman" w:cs="Times New Roman"/>
                <w:color w:val="000000"/>
                <w:sz w:val="20"/>
                <w:szCs w:val="20"/>
                <w:lang w:val="en-AU" w:eastAsia="en-AU"/>
              </w:rPr>
              <w:t xml:space="preserve"> understanding how these services are being used or experienced by this population.</w:t>
            </w:r>
          </w:p>
        </w:tc>
        <w:tc>
          <w:tcPr>
            <w:tcW w:w="657" w:type="pct"/>
            <w:shd w:val="clear" w:color="auto" w:fill="auto"/>
            <w:noWrap/>
            <w:hideMark/>
          </w:tcPr>
          <w:p w14:paraId="66A707C5" w14:textId="631C8E09" w:rsidR="00D16652" w:rsidRPr="00722AEE" w:rsidRDefault="00305E8E"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US</w:t>
            </w:r>
          </w:p>
        </w:tc>
        <w:tc>
          <w:tcPr>
            <w:tcW w:w="732" w:type="pct"/>
            <w:shd w:val="clear" w:color="auto" w:fill="auto"/>
            <w:hideMark/>
          </w:tcPr>
          <w:p w14:paraId="30E1F040" w14:textId="10238083" w:rsidR="00D16652" w:rsidRPr="00722AEE" w:rsidRDefault="00D929C1" w:rsidP="00117735">
            <w:pPr>
              <w:spacing w:after="0" w:line="240" w:lineRule="auto"/>
              <w:rPr>
                <w:rFonts w:ascii="Times New Roman" w:eastAsia="Times New Roman" w:hAnsi="Times New Roman" w:cs="Times New Roman"/>
                <w:color w:val="000000"/>
                <w:sz w:val="20"/>
                <w:szCs w:val="20"/>
                <w:lang w:val="en-AU" w:eastAsia="en-AU"/>
              </w:rPr>
            </w:pPr>
            <w:r w:rsidRPr="00722AEE">
              <w:rPr>
                <w:rFonts w:ascii="Times New Roman" w:eastAsia="Times New Roman" w:hAnsi="Times New Roman" w:cs="Times New Roman"/>
                <w:color w:val="000000"/>
                <w:sz w:val="20"/>
                <w:szCs w:val="20"/>
                <w:lang w:val="en-AU" w:eastAsia="en-AU"/>
              </w:rPr>
              <w:t xml:space="preserve">Qualitative </w:t>
            </w:r>
          </w:p>
        </w:tc>
      </w:tr>
    </w:tbl>
    <w:p w14:paraId="7B1BF18F" w14:textId="77777777" w:rsidR="00117735" w:rsidRPr="00722AEE" w:rsidRDefault="00117735" w:rsidP="00BA6AEF">
      <w:pPr>
        <w:rPr>
          <w:rFonts w:ascii="Times New Roman" w:hAnsi="Times New Roman" w:cs="Times New Roman"/>
          <w:sz w:val="20"/>
          <w:szCs w:val="20"/>
          <w:lang w:val="en-AU"/>
        </w:rPr>
      </w:pPr>
    </w:p>
    <w:p w14:paraId="6446BBB5" w14:textId="1CC45434" w:rsidR="00BA6AEF" w:rsidRPr="00722AEE" w:rsidRDefault="00BA6AEF" w:rsidP="00BA6AEF">
      <w:pPr>
        <w:rPr>
          <w:rFonts w:ascii="Times New Roman" w:hAnsi="Times New Roman" w:cs="Times New Roman"/>
          <w:sz w:val="20"/>
          <w:szCs w:val="20"/>
          <w:lang w:val="en-AU"/>
        </w:rPr>
      </w:pPr>
    </w:p>
    <w:sectPr w:rsidR="00BA6AEF" w:rsidRPr="00722AEE" w:rsidSect="001F4D6B">
      <w:footerReference w:type="default" r:id="rId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0E78B" w14:textId="77777777" w:rsidR="00E107A0" w:rsidRDefault="00E107A0" w:rsidP="003D295E">
      <w:pPr>
        <w:spacing w:after="0" w:line="240" w:lineRule="auto"/>
      </w:pPr>
      <w:r>
        <w:separator/>
      </w:r>
    </w:p>
  </w:endnote>
  <w:endnote w:type="continuationSeparator" w:id="0">
    <w:p w14:paraId="005DB092" w14:textId="77777777" w:rsidR="00E107A0" w:rsidRDefault="00E107A0" w:rsidP="003D29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yala">
    <w:charset w:val="00"/>
    <w:family w:val="auto"/>
    <w:pitch w:val="variable"/>
    <w:sig w:usb0="A000006F" w:usb1="00000000" w:usb2="00000800" w:usb3="00000000" w:csb0="00000093"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6150680"/>
      <w:docPartObj>
        <w:docPartGallery w:val="Page Numbers (Bottom of Page)"/>
        <w:docPartUnique/>
      </w:docPartObj>
    </w:sdtPr>
    <w:sdtEndPr>
      <w:rPr>
        <w:noProof/>
      </w:rPr>
    </w:sdtEndPr>
    <w:sdtContent>
      <w:p w14:paraId="4274D347" w14:textId="4826DEC2" w:rsidR="003D295E" w:rsidRDefault="003D29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A7D0B5" w14:textId="77777777" w:rsidR="003D295E" w:rsidRDefault="003D29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1CDD6" w14:textId="77777777" w:rsidR="00E107A0" w:rsidRDefault="00E107A0" w:rsidP="003D295E">
      <w:pPr>
        <w:spacing w:after="0" w:line="240" w:lineRule="auto"/>
      </w:pPr>
      <w:r>
        <w:separator/>
      </w:r>
    </w:p>
  </w:footnote>
  <w:footnote w:type="continuationSeparator" w:id="0">
    <w:p w14:paraId="7E72049B" w14:textId="77777777" w:rsidR="00E107A0" w:rsidRDefault="00E107A0" w:rsidP="003D29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F23E2"/>
    <w:multiLevelType w:val="hybridMultilevel"/>
    <w:tmpl w:val="B8E00C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5C97D05"/>
    <w:multiLevelType w:val="multilevel"/>
    <w:tmpl w:val="0D606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301236"/>
    <w:multiLevelType w:val="hybridMultilevel"/>
    <w:tmpl w:val="93361366"/>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 w15:restartNumberingAfterBreak="0">
    <w:nsid w:val="19C66A65"/>
    <w:multiLevelType w:val="multilevel"/>
    <w:tmpl w:val="C9DC9DCE"/>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D4637BB"/>
    <w:multiLevelType w:val="multilevel"/>
    <w:tmpl w:val="8F02B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FD609B"/>
    <w:multiLevelType w:val="hybridMultilevel"/>
    <w:tmpl w:val="A9F0F1DE"/>
    <w:lvl w:ilvl="0" w:tplc="4BC8A52A">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8253F51"/>
    <w:multiLevelType w:val="hybridMultilevel"/>
    <w:tmpl w:val="BCAE0C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BE811CA"/>
    <w:multiLevelType w:val="hybridMultilevel"/>
    <w:tmpl w:val="51C0C490"/>
    <w:lvl w:ilvl="0" w:tplc="C1542928">
      <w:start w:val="5"/>
      <w:numFmt w:val="bullet"/>
      <w:lvlText w:val="-"/>
      <w:lvlJc w:val="left"/>
      <w:pPr>
        <w:ind w:left="720" w:hanging="360"/>
      </w:pPr>
      <w:rPr>
        <w:rFonts w:ascii="Times New Roman" w:eastAsia="Batang" w:hAnsi="Times New Roman" w:hint="default"/>
      </w:rPr>
    </w:lvl>
    <w:lvl w:ilvl="1" w:tplc="04090003">
      <w:start w:val="1"/>
      <w:numFmt w:val="bullet"/>
      <w:lvlText w:val="o"/>
      <w:lvlJc w:val="left"/>
      <w:pPr>
        <w:ind w:left="1440" w:hanging="360"/>
      </w:pPr>
      <w:rPr>
        <w:rFonts w:ascii="Courier New" w:hAnsi="Courier New" w:hint="default"/>
      </w:rPr>
    </w:lvl>
    <w:lvl w:ilvl="2" w:tplc="0C09000F">
      <w:start w:val="1"/>
      <w:numFmt w:val="decimal"/>
      <w:lvlText w:val="%3."/>
      <w:lvlJc w:val="left"/>
      <w:pPr>
        <w:ind w:left="2295" w:hanging="495"/>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771DD6"/>
    <w:multiLevelType w:val="multilevel"/>
    <w:tmpl w:val="C9E01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EC6CAD"/>
    <w:multiLevelType w:val="hybridMultilevel"/>
    <w:tmpl w:val="1506DF8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EEF221A"/>
    <w:multiLevelType w:val="hybridMultilevel"/>
    <w:tmpl w:val="DAEAFCA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6E32E48"/>
    <w:multiLevelType w:val="multilevel"/>
    <w:tmpl w:val="21DAF9D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asciiTheme="minorHAnsi" w:hAnsiTheme="minorHAnsi" w:cstheme="minorHAnsi" w:hint="default"/>
      </w:rPr>
    </w:lvl>
    <w:lvl w:ilvl="2">
      <w:start w:val="1"/>
      <w:numFmt w:val="decimal"/>
      <w:isLgl/>
      <w:lvlText w:val="%1.%2.%3."/>
      <w:lvlJc w:val="left"/>
      <w:pPr>
        <w:ind w:left="1440" w:hanging="720"/>
      </w:pPr>
      <w:rPr>
        <w:rFonts w:ascii="Nyala" w:hAnsi="Nyala" w:cstheme="minorHAnsi" w:hint="default"/>
      </w:rPr>
    </w:lvl>
    <w:lvl w:ilvl="3">
      <w:start w:val="1"/>
      <w:numFmt w:val="decimal"/>
      <w:isLgl/>
      <w:lvlText w:val="%1.%2.%3.%4."/>
      <w:lvlJc w:val="left"/>
      <w:pPr>
        <w:ind w:left="1800" w:hanging="720"/>
      </w:pPr>
      <w:rPr>
        <w:rFonts w:ascii="Nyala" w:hAnsi="Nyala" w:cstheme="minorHAnsi" w:hint="default"/>
      </w:rPr>
    </w:lvl>
    <w:lvl w:ilvl="4">
      <w:start w:val="1"/>
      <w:numFmt w:val="decimal"/>
      <w:isLgl/>
      <w:lvlText w:val="%1.%2.%3.%4.%5."/>
      <w:lvlJc w:val="left"/>
      <w:pPr>
        <w:ind w:left="2520" w:hanging="1080"/>
      </w:pPr>
      <w:rPr>
        <w:rFonts w:ascii="Nyala" w:hAnsi="Nyala" w:cstheme="minorHAnsi" w:hint="default"/>
      </w:rPr>
    </w:lvl>
    <w:lvl w:ilvl="5">
      <w:start w:val="1"/>
      <w:numFmt w:val="decimal"/>
      <w:isLgl/>
      <w:lvlText w:val="%1.%2.%3.%4.%5.%6."/>
      <w:lvlJc w:val="left"/>
      <w:pPr>
        <w:ind w:left="2880" w:hanging="1080"/>
      </w:pPr>
      <w:rPr>
        <w:rFonts w:ascii="Nyala" w:hAnsi="Nyala" w:cstheme="minorHAnsi" w:hint="default"/>
      </w:rPr>
    </w:lvl>
    <w:lvl w:ilvl="6">
      <w:start w:val="1"/>
      <w:numFmt w:val="decimal"/>
      <w:isLgl/>
      <w:lvlText w:val="%1.%2.%3.%4.%5.%6.%7."/>
      <w:lvlJc w:val="left"/>
      <w:pPr>
        <w:ind w:left="3600" w:hanging="1440"/>
      </w:pPr>
      <w:rPr>
        <w:rFonts w:ascii="Nyala" w:hAnsi="Nyala" w:cstheme="minorHAnsi" w:hint="default"/>
      </w:rPr>
    </w:lvl>
    <w:lvl w:ilvl="7">
      <w:start w:val="1"/>
      <w:numFmt w:val="decimal"/>
      <w:isLgl/>
      <w:lvlText w:val="%1.%2.%3.%4.%5.%6.%7.%8."/>
      <w:lvlJc w:val="left"/>
      <w:pPr>
        <w:ind w:left="3960" w:hanging="1440"/>
      </w:pPr>
      <w:rPr>
        <w:rFonts w:ascii="Nyala" w:hAnsi="Nyala" w:cstheme="minorHAnsi" w:hint="default"/>
      </w:rPr>
    </w:lvl>
    <w:lvl w:ilvl="8">
      <w:start w:val="1"/>
      <w:numFmt w:val="decimal"/>
      <w:isLgl/>
      <w:lvlText w:val="%1.%2.%3.%4.%5.%6.%7.%8.%9."/>
      <w:lvlJc w:val="left"/>
      <w:pPr>
        <w:ind w:left="4680" w:hanging="1800"/>
      </w:pPr>
      <w:rPr>
        <w:rFonts w:ascii="Nyala" w:hAnsi="Nyala" w:cstheme="minorHAnsi" w:hint="default"/>
      </w:rPr>
    </w:lvl>
  </w:abstractNum>
  <w:abstractNum w:abstractNumId="12" w15:restartNumberingAfterBreak="0">
    <w:nsid w:val="4AA26DAA"/>
    <w:multiLevelType w:val="hybridMultilevel"/>
    <w:tmpl w:val="A4C8173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21E51C0"/>
    <w:multiLevelType w:val="hybridMultilevel"/>
    <w:tmpl w:val="9AF085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6B62E54"/>
    <w:multiLevelType w:val="hybridMultilevel"/>
    <w:tmpl w:val="0AF82A5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C251122"/>
    <w:multiLevelType w:val="hybridMultilevel"/>
    <w:tmpl w:val="176E2C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F851BF5"/>
    <w:multiLevelType w:val="hybridMultilevel"/>
    <w:tmpl w:val="832005E0"/>
    <w:lvl w:ilvl="0" w:tplc="0C090001">
      <w:start w:val="1"/>
      <w:numFmt w:val="bullet"/>
      <w:lvlText w:val=""/>
      <w:lvlJc w:val="left"/>
      <w:pPr>
        <w:ind w:left="1210" w:hanging="360"/>
      </w:pPr>
      <w:rPr>
        <w:rFonts w:ascii="Symbol" w:hAnsi="Symbol" w:hint="default"/>
      </w:rPr>
    </w:lvl>
    <w:lvl w:ilvl="1" w:tplc="0C090003" w:tentative="1">
      <w:start w:val="1"/>
      <w:numFmt w:val="bullet"/>
      <w:lvlText w:val="o"/>
      <w:lvlJc w:val="left"/>
      <w:pPr>
        <w:ind w:left="1930" w:hanging="360"/>
      </w:pPr>
      <w:rPr>
        <w:rFonts w:ascii="Courier New" w:hAnsi="Courier New" w:cs="Courier New" w:hint="default"/>
      </w:rPr>
    </w:lvl>
    <w:lvl w:ilvl="2" w:tplc="0C090005" w:tentative="1">
      <w:start w:val="1"/>
      <w:numFmt w:val="bullet"/>
      <w:lvlText w:val=""/>
      <w:lvlJc w:val="left"/>
      <w:pPr>
        <w:ind w:left="2650" w:hanging="360"/>
      </w:pPr>
      <w:rPr>
        <w:rFonts w:ascii="Wingdings" w:hAnsi="Wingdings" w:hint="default"/>
      </w:rPr>
    </w:lvl>
    <w:lvl w:ilvl="3" w:tplc="0C090001" w:tentative="1">
      <w:start w:val="1"/>
      <w:numFmt w:val="bullet"/>
      <w:lvlText w:val=""/>
      <w:lvlJc w:val="left"/>
      <w:pPr>
        <w:ind w:left="3370" w:hanging="360"/>
      </w:pPr>
      <w:rPr>
        <w:rFonts w:ascii="Symbol" w:hAnsi="Symbol" w:hint="default"/>
      </w:rPr>
    </w:lvl>
    <w:lvl w:ilvl="4" w:tplc="0C090003" w:tentative="1">
      <w:start w:val="1"/>
      <w:numFmt w:val="bullet"/>
      <w:lvlText w:val="o"/>
      <w:lvlJc w:val="left"/>
      <w:pPr>
        <w:ind w:left="4090" w:hanging="360"/>
      </w:pPr>
      <w:rPr>
        <w:rFonts w:ascii="Courier New" w:hAnsi="Courier New" w:cs="Courier New" w:hint="default"/>
      </w:rPr>
    </w:lvl>
    <w:lvl w:ilvl="5" w:tplc="0C090005" w:tentative="1">
      <w:start w:val="1"/>
      <w:numFmt w:val="bullet"/>
      <w:lvlText w:val=""/>
      <w:lvlJc w:val="left"/>
      <w:pPr>
        <w:ind w:left="4810" w:hanging="360"/>
      </w:pPr>
      <w:rPr>
        <w:rFonts w:ascii="Wingdings" w:hAnsi="Wingdings" w:hint="default"/>
      </w:rPr>
    </w:lvl>
    <w:lvl w:ilvl="6" w:tplc="0C090001" w:tentative="1">
      <w:start w:val="1"/>
      <w:numFmt w:val="bullet"/>
      <w:lvlText w:val=""/>
      <w:lvlJc w:val="left"/>
      <w:pPr>
        <w:ind w:left="5530" w:hanging="360"/>
      </w:pPr>
      <w:rPr>
        <w:rFonts w:ascii="Symbol" w:hAnsi="Symbol" w:hint="default"/>
      </w:rPr>
    </w:lvl>
    <w:lvl w:ilvl="7" w:tplc="0C090003" w:tentative="1">
      <w:start w:val="1"/>
      <w:numFmt w:val="bullet"/>
      <w:lvlText w:val="o"/>
      <w:lvlJc w:val="left"/>
      <w:pPr>
        <w:ind w:left="6250" w:hanging="360"/>
      </w:pPr>
      <w:rPr>
        <w:rFonts w:ascii="Courier New" w:hAnsi="Courier New" w:cs="Courier New" w:hint="default"/>
      </w:rPr>
    </w:lvl>
    <w:lvl w:ilvl="8" w:tplc="0C090005" w:tentative="1">
      <w:start w:val="1"/>
      <w:numFmt w:val="bullet"/>
      <w:lvlText w:val=""/>
      <w:lvlJc w:val="left"/>
      <w:pPr>
        <w:ind w:left="6970" w:hanging="360"/>
      </w:pPr>
      <w:rPr>
        <w:rFonts w:ascii="Wingdings" w:hAnsi="Wingdings" w:hint="default"/>
      </w:rPr>
    </w:lvl>
  </w:abstractNum>
  <w:abstractNum w:abstractNumId="17" w15:restartNumberingAfterBreak="0">
    <w:nsid w:val="79F57EAE"/>
    <w:multiLevelType w:val="hybridMultilevel"/>
    <w:tmpl w:val="4CA6DD86"/>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 w:numId="2">
    <w:abstractNumId w:val="7"/>
  </w:num>
  <w:num w:numId="3">
    <w:abstractNumId w:val="3"/>
  </w:num>
  <w:num w:numId="4">
    <w:abstractNumId w:val="13"/>
  </w:num>
  <w:num w:numId="5">
    <w:abstractNumId w:val="5"/>
  </w:num>
  <w:num w:numId="6">
    <w:abstractNumId w:val="16"/>
  </w:num>
  <w:num w:numId="7">
    <w:abstractNumId w:val="4"/>
    <w:lvlOverride w:ilvl="0">
      <w:lvl w:ilvl="0">
        <w:numFmt w:val="upperLetter"/>
        <w:lvlText w:val="%1."/>
        <w:lvlJc w:val="left"/>
      </w:lvl>
    </w:lvlOverride>
  </w:num>
  <w:num w:numId="8">
    <w:abstractNumId w:val="2"/>
  </w:num>
  <w:num w:numId="9">
    <w:abstractNumId w:val="6"/>
  </w:num>
  <w:num w:numId="10">
    <w:abstractNumId w:val="11"/>
  </w:num>
  <w:num w:numId="11">
    <w:abstractNumId w:val="15"/>
  </w:num>
  <w:num w:numId="12">
    <w:abstractNumId w:val="12"/>
  </w:num>
  <w:num w:numId="13">
    <w:abstractNumId w:val="17"/>
  </w:num>
  <w:num w:numId="14">
    <w:abstractNumId w:val="8"/>
  </w:num>
  <w:num w:numId="15">
    <w:abstractNumId w:val="14"/>
  </w:num>
  <w:num w:numId="16">
    <w:abstractNumId w:val="9"/>
  </w:num>
  <w:num w:numId="17">
    <w:abstractNumId w:val="1"/>
    <w:lvlOverride w:ilvl="0">
      <w:lvl w:ilvl="0">
        <w:numFmt w:val="upperLetter"/>
        <w:lvlText w:val="%1."/>
        <w:lvlJc w:val="left"/>
      </w:lvl>
    </w:lvlOverride>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Q3MDG2tDA2NDOxNDZR0lEKTi0uzszPAykwqwUA/YaXZSwAAAA="/>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9tfxarw9xrds4et0a85azrdtpsdaefrtvdr&quot;&gt;title_abststract_screening&lt;record-ids&gt;&lt;item&gt;17&lt;/item&gt;&lt;item&gt;39&lt;/item&gt;&lt;item&gt;42&lt;/item&gt;&lt;item&gt;46&lt;/item&gt;&lt;item&gt;49&lt;/item&gt;&lt;item&gt;53&lt;/item&gt;&lt;item&gt;55&lt;/item&gt;&lt;item&gt;62&lt;/item&gt;&lt;item&gt;65&lt;/item&gt;&lt;item&gt;68&lt;/item&gt;&lt;item&gt;74&lt;/item&gt;&lt;item&gt;77&lt;/item&gt;&lt;item&gt;87&lt;/item&gt;&lt;item&gt;100&lt;/item&gt;&lt;item&gt;105&lt;/item&gt;&lt;item&gt;107&lt;/item&gt;&lt;item&gt;109&lt;/item&gt;&lt;item&gt;114&lt;/item&gt;&lt;item&gt;126&lt;/item&gt;&lt;item&gt;139&lt;/item&gt;&lt;item&gt;142&lt;/item&gt;&lt;item&gt;158&lt;/item&gt;&lt;item&gt;160&lt;/item&gt;&lt;item&gt;180&lt;/item&gt;&lt;item&gt;183&lt;/item&gt;&lt;item&gt;185&lt;/item&gt;&lt;item&gt;189&lt;/item&gt;&lt;item&gt;192&lt;/item&gt;&lt;item&gt;197&lt;/item&gt;&lt;item&gt;199&lt;/item&gt;&lt;item&gt;204&lt;/item&gt;&lt;item&gt;207&lt;/item&gt;&lt;item&gt;220&lt;/item&gt;&lt;item&gt;225&lt;/item&gt;&lt;item&gt;238&lt;/item&gt;&lt;item&gt;239&lt;/item&gt;&lt;item&gt;240&lt;/item&gt;&lt;item&gt;243&lt;/item&gt;&lt;item&gt;244&lt;/item&gt;&lt;item&gt;253&lt;/item&gt;&lt;item&gt;254&lt;/item&gt;&lt;item&gt;257&lt;/item&gt;&lt;item&gt;259&lt;/item&gt;&lt;item&gt;264&lt;/item&gt;&lt;item&gt;276&lt;/item&gt;&lt;item&gt;284&lt;/item&gt;&lt;item&gt;285&lt;/item&gt;&lt;item&gt;309&lt;/item&gt;&lt;item&gt;311&lt;/item&gt;&lt;item&gt;312&lt;/item&gt;&lt;item&gt;315&lt;/item&gt;&lt;item&gt;321&lt;/item&gt;&lt;/record-ids&gt;&lt;/item&gt;&lt;/Libraries&gt;"/>
  </w:docVars>
  <w:rsids>
    <w:rsidRoot w:val="00B929C3"/>
    <w:rsid w:val="00006EFF"/>
    <w:rsid w:val="0001322A"/>
    <w:rsid w:val="00024016"/>
    <w:rsid w:val="000268C2"/>
    <w:rsid w:val="0004363C"/>
    <w:rsid w:val="00044931"/>
    <w:rsid w:val="000477D3"/>
    <w:rsid w:val="00050C21"/>
    <w:rsid w:val="0005533C"/>
    <w:rsid w:val="00060C2F"/>
    <w:rsid w:val="00064492"/>
    <w:rsid w:val="00066748"/>
    <w:rsid w:val="00066A18"/>
    <w:rsid w:val="00066D53"/>
    <w:rsid w:val="000675DE"/>
    <w:rsid w:val="00074EEE"/>
    <w:rsid w:val="00075993"/>
    <w:rsid w:val="00077074"/>
    <w:rsid w:val="00081134"/>
    <w:rsid w:val="00082FA3"/>
    <w:rsid w:val="00086390"/>
    <w:rsid w:val="000910E3"/>
    <w:rsid w:val="0009409F"/>
    <w:rsid w:val="000A1236"/>
    <w:rsid w:val="000A17FB"/>
    <w:rsid w:val="000B17CB"/>
    <w:rsid w:val="000C1912"/>
    <w:rsid w:val="000C5484"/>
    <w:rsid w:val="000C6251"/>
    <w:rsid w:val="000D12A9"/>
    <w:rsid w:val="000D2E46"/>
    <w:rsid w:val="000D4DED"/>
    <w:rsid w:val="000D6456"/>
    <w:rsid w:val="000E0FA2"/>
    <w:rsid w:val="000E7ECF"/>
    <w:rsid w:val="000F0A6E"/>
    <w:rsid w:val="000F242E"/>
    <w:rsid w:val="001009CF"/>
    <w:rsid w:val="00101A72"/>
    <w:rsid w:val="00103D46"/>
    <w:rsid w:val="00105060"/>
    <w:rsid w:val="00105153"/>
    <w:rsid w:val="00105895"/>
    <w:rsid w:val="00106BA8"/>
    <w:rsid w:val="00106D5C"/>
    <w:rsid w:val="00111053"/>
    <w:rsid w:val="001149A6"/>
    <w:rsid w:val="00114E05"/>
    <w:rsid w:val="0011520E"/>
    <w:rsid w:val="001167A2"/>
    <w:rsid w:val="00116FF9"/>
    <w:rsid w:val="00117735"/>
    <w:rsid w:val="00123A72"/>
    <w:rsid w:val="00126D2C"/>
    <w:rsid w:val="00130693"/>
    <w:rsid w:val="00132930"/>
    <w:rsid w:val="00136C36"/>
    <w:rsid w:val="001372CA"/>
    <w:rsid w:val="001418D0"/>
    <w:rsid w:val="00141AE2"/>
    <w:rsid w:val="00141EB1"/>
    <w:rsid w:val="00145716"/>
    <w:rsid w:val="001466C4"/>
    <w:rsid w:val="0014675B"/>
    <w:rsid w:val="00151F4D"/>
    <w:rsid w:val="0015747A"/>
    <w:rsid w:val="00163B77"/>
    <w:rsid w:val="00163C80"/>
    <w:rsid w:val="00172385"/>
    <w:rsid w:val="00173209"/>
    <w:rsid w:val="00180570"/>
    <w:rsid w:val="00194ABC"/>
    <w:rsid w:val="00194B76"/>
    <w:rsid w:val="0019606D"/>
    <w:rsid w:val="001A1957"/>
    <w:rsid w:val="001A391E"/>
    <w:rsid w:val="001A3D92"/>
    <w:rsid w:val="001B7302"/>
    <w:rsid w:val="001C6491"/>
    <w:rsid w:val="001C6732"/>
    <w:rsid w:val="001C6AB7"/>
    <w:rsid w:val="001D1175"/>
    <w:rsid w:val="001D15C6"/>
    <w:rsid w:val="001D3BBE"/>
    <w:rsid w:val="001D7C99"/>
    <w:rsid w:val="001E43C3"/>
    <w:rsid w:val="001E7347"/>
    <w:rsid w:val="001F042B"/>
    <w:rsid w:val="001F2515"/>
    <w:rsid w:val="001F4D6B"/>
    <w:rsid w:val="001F514B"/>
    <w:rsid w:val="002007ED"/>
    <w:rsid w:val="00202478"/>
    <w:rsid w:val="00215A5D"/>
    <w:rsid w:val="00215E39"/>
    <w:rsid w:val="00221247"/>
    <w:rsid w:val="00224989"/>
    <w:rsid w:val="002408CF"/>
    <w:rsid w:val="0024189B"/>
    <w:rsid w:val="0024307C"/>
    <w:rsid w:val="00247453"/>
    <w:rsid w:val="002567A6"/>
    <w:rsid w:val="002567E3"/>
    <w:rsid w:val="00260B55"/>
    <w:rsid w:val="00263A90"/>
    <w:rsid w:val="00264F59"/>
    <w:rsid w:val="00266F89"/>
    <w:rsid w:val="002765FE"/>
    <w:rsid w:val="00283087"/>
    <w:rsid w:val="00283655"/>
    <w:rsid w:val="0028505D"/>
    <w:rsid w:val="002917A0"/>
    <w:rsid w:val="00296F90"/>
    <w:rsid w:val="002A38CE"/>
    <w:rsid w:val="002A4804"/>
    <w:rsid w:val="002B5DD0"/>
    <w:rsid w:val="002C4E3E"/>
    <w:rsid w:val="002C65A1"/>
    <w:rsid w:val="002C67E9"/>
    <w:rsid w:val="002D1F7C"/>
    <w:rsid w:val="002D421E"/>
    <w:rsid w:val="002D4228"/>
    <w:rsid w:val="002E17DE"/>
    <w:rsid w:val="002E3E76"/>
    <w:rsid w:val="002E4833"/>
    <w:rsid w:val="002E5226"/>
    <w:rsid w:val="002E547C"/>
    <w:rsid w:val="002E5AAD"/>
    <w:rsid w:val="002F0555"/>
    <w:rsid w:val="002F269E"/>
    <w:rsid w:val="002F3B1F"/>
    <w:rsid w:val="002F7115"/>
    <w:rsid w:val="0030014A"/>
    <w:rsid w:val="00301675"/>
    <w:rsid w:val="00302F0A"/>
    <w:rsid w:val="00305E8E"/>
    <w:rsid w:val="00310BA4"/>
    <w:rsid w:val="00313946"/>
    <w:rsid w:val="0031659B"/>
    <w:rsid w:val="003203B8"/>
    <w:rsid w:val="00325D00"/>
    <w:rsid w:val="00330ECB"/>
    <w:rsid w:val="0033289F"/>
    <w:rsid w:val="00333EE8"/>
    <w:rsid w:val="00335C68"/>
    <w:rsid w:val="003378E9"/>
    <w:rsid w:val="00337DCE"/>
    <w:rsid w:val="0034162E"/>
    <w:rsid w:val="003423C7"/>
    <w:rsid w:val="00350119"/>
    <w:rsid w:val="00355E3B"/>
    <w:rsid w:val="00360200"/>
    <w:rsid w:val="00360617"/>
    <w:rsid w:val="00361AC0"/>
    <w:rsid w:val="00361D99"/>
    <w:rsid w:val="00363297"/>
    <w:rsid w:val="0036410D"/>
    <w:rsid w:val="00367813"/>
    <w:rsid w:val="00370F71"/>
    <w:rsid w:val="00374FB0"/>
    <w:rsid w:val="003775A1"/>
    <w:rsid w:val="00377AD4"/>
    <w:rsid w:val="00380D08"/>
    <w:rsid w:val="00382C3E"/>
    <w:rsid w:val="00383899"/>
    <w:rsid w:val="00384D50"/>
    <w:rsid w:val="00387972"/>
    <w:rsid w:val="00392C9E"/>
    <w:rsid w:val="003935F5"/>
    <w:rsid w:val="00394454"/>
    <w:rsid w:val="00395D5E"/>
    <w:rsid w:val="00397D16"/>
    <w:rsid w:val="003A0685"/>
    <w:rsid w:val="003A18B2"/>
    <w:rsid w:val="003A553D"/>
    <w:rsid w:val="003B0284"/>
    <w:rsid w:val="003B1E46"/>
    <w:rsid w:val="003B2383"/>
    <w:rsid w:val="003B2CDD"/>
    <w:rsid w:val="003B370C"/>
    <w:rsid w:val="003B7C28"/>
    <w:rsid w:val="003B7D34"/>
    <w:rsid w:val="003C063C"/>
    <w:rsid w:val="003C07B0"/>
    <w:rsid w:val="003C3840"/>
    <w:rsid w:val="003C4406"/>
    <w:rsid w:val="003C5534"/>
    <w:rsid w:val="003D295E"/>
    <w:rsid w:val="003D6DE7"/>
    <w:rsid w:val="003E0ABA"/>
    <w:rsid w:val="003E1CC1"/>
    <w:rsid w:val="003E361A"/>
    <w:rsid w:val="003E3CE5"/>
    <w:rsid w:val="003E575F"/>
    <w:rsid w:val="003E6EC7"/>
    <w:rsid w:val="003E7FA8"/>
    <w:rsid w:val="003F1BD3"/>
    <w:rsid w:val="00400B60"/>
    <w:rsid w:val="0040168E"/>
    <w:rsid w:val="004027E7"/>
    <w:rsid w:val="0040649F"/>
    <w:rsid w:val="00407525"/>
    <w:rsid w:val="004115DF"/>
    <w:rsid w:val="00415691"/>
    <w:rsid w:val="0041763D"/>
    <w:rsid w:val="00433F1E"/>
    <w:rsid w:val="00435E1B"/>
    <w:rsid w:val="0044364D"/>
    <w:rsid w:val="00447C13"/>
    <w:rsid w:val="00452359"/>
    <w:rsid w:val="00454D7F"/>
    <w:rsid w:val="004602F9"/>
    <w:rsid w:val="00460AFD"/>
    <w:rsid w:val="0046581C"/>
    <w:rsid w:val="00467FE1"/>
    <w:rsid w:val="004715DB"/>
    <w:rsid w:val="00480F0F"/>
    <w:rsid w:val="00481289"/>
    <w:rsid w:val="00484415"/>
    <w:rsid w:val="0049066C"/>
    <w:rsid w:val="004928F0"/>
    <w:rsid w:val="004A0216"/>
    <w:rsid w:val="004B1CE0"/>
    <w:rsid w:val="004C0A8A"/>
    <w:rsid w:val="004D0822"/>
    <w:rsid w:val="004D5C0D"/>
    <w:rsid w:val="004D7D61"/>
    <w:rsid w:val="00503549"/>
    <w:rsid w:val="00504E2A"/>
    <w:rsid w:val="00505C35"/>
    <w:rsid w:val="00511919"/>
    <w:rsid w:val="00513DA0"/>
    <w:rsid w:val="00515862"/>
    <w:rsid w:val="00520585"/>
    <w:rsid w:val="00524DEB"/>
    <w:rsid w:val="00526BB3"/>
    <w:rsid w:val="00530ED2"/>
    <w:rsid w:val="005329BE"/>
    <w:rsid w:val="00536950"/>
    <w:rsid w:val="005376F0"/>
    <w:rsid w:val="0054368E"/>
    <w:rsid w:val="005476AA"/>
    <w:rsid w:val="00550EB7"/>
    <w:rsid w:val="0055147B"/>
    <w:rsid w:val="00552CFD"/>
    <w:rsid w:val="0055426B"/>
    <w:rsid w:val="005610B0"/>
    <w:rsid w:val="00564D76"/>
    <w:rsid w:val="00565799"/>
    <w:rsid w:val="00566313"/>
    <w:rsid w:val="00571371"/>
    <w:rsid w:val="005745A2"/>
    <w:rsid w:val="005752D5"/>
    <w:rsid w:val="0057632C"/>
    <w:rsid w:val="005813B9"/>
    <w:rsid w:val="00581880"/>
    <w:rsid w:val="00583AF7"/>
    <w:rsid w:val="00585681"/>
    <w:rsid w:val="005B1195"/>
    <w:rsid w:val="005B57DC"/>
    <w:rsid w:val="005C0A8A"/>
    <w:rsid w:val="005C2612"/>
    <w:rsid w:val="005C7E81"/>
    <w:rsid w:val="005E1A1D"/>
    <w:rsid w:val="005E284A"/>
    <w:rsid w:val="005E5B21"/>
    <w:rsid w:val="005F336B"/>
    <w:rsid w:val="005F3E7B"/>
    <w:rsid w:val="005F7CDE"/>
    <w:rsid w:val="00601F9F"/>
    <w:rsid w:val="006168A2"/>
    <w:rsid w:val="00617D9E"/>
    <w:rsid w:val="006237F4"/>
    <w:rsid w:val="00626D25"/>
    <w:rsid w:val="00632E7A"/>
    <w:rsid w:val="00635F5C"/>
    <w:rsid w:val="006405C0"/>
    <w:rsid w:val="00640628"/>
    <w:rsid w:val="0064174E"/>
    <w:rsid w:val="00642804"/>
    <w:rsid w:val="00644F11"/>
    <w:rsid w:val="0064781F"/>
    <w:rsid w:val="006479C8"/>
    <w:rsid w:val="00654CC2"/>
    <w:rsid w:val="006555EF"/>
    <w:rsid w:val="00655F57"/>
    <w:rsid w:val="00667699"/>
    <w:rsid w:val="00670E51"/>
    <w:rsid w:val="006711E9"/>
    <w:rsid w:val="00672FBC"/>
    <w:rsid w:val="00675D56"/>
    <w:rsid w:val="0067695C"/>
    <w:rsid w:val="006822FA"/>
    <w:rsid w:val="00682D69"/>
    <w:rsid w:val="00684288"/>
    <w:rsid w:val="00684A17"/>
    <w:rsid w:val="00686194"/>
    <w:rsid w:val="00687D42"/>
    <w:rsid w:val="006934F2"/>
    <w:rsid w:val="00693677"/>
    <w:rsid w:val="00694C3E"/>
    <w:rsid w:val="00695C16"/>
    <w:rsid w:val="006A32C6"/>
    <w:rsid w:val="006A6FD8"/>
    <w:rsid w:val="006B432A"/>
    <w:rsid w:val="006B5613"/>
    <w:rsid w:val="006B6F6B"/>
    <w:rsid w:val="006C132A"/>
    <w:rsid w:val="006C227F"/>
    <w:rsid w:val="006C61D6"/>
    <w:rsid w:val="006C6DC4"/>
    <w:rsid w:val="006D37BF"/>
    <w:rsid w:val="006D3999"/>
    <w:rsid w:val="006D64E5"/>
    <w:rsid w:val="006E0587"/>
    <w:rsid w:val="006F1378"/>
    <w:rsid w:val="006F14A2"/>
    <w:rsid w:val="006F6459"/>
    <w:rsid w:val="006F65D3"/>
    <w:rsid w:val="00707B25"/>
    <w:rsid w:val="00710D9D"/>
    <w:rsid w:val="007130D0"/>
    <w:rsid w:val="00722AEE"/>
    <w:rsid w:val="00723EC0"/>
    <w:rsid w:val="00724564"/>
    <w:rsid w:val="00725001"/>
    <w:rsid w:val="007277A6"/>
    <w:rsid w:val="00727E9B"/>
    <w:rsid w:val="0073254B"/>
    <w:rsid w:val="007325BE"/>
    <w:rsid w:val="00733006"/>
    <w:rsid w:val="00736B09"/>
    <w:rsid w:val="00736F12"/>
    <w:rsid w:val="00743F44"/>
    <w:rsid w:val="00747A0A"/>
    <w:rsid w:val="0075432B"/>
    <w:rsid w:val="00760579"/>
    <w:rsid w:val="00762898"/>
    <w:rsid w:val="00765BC2"/>
    <w:rsid w:val="00766882"/>
    <w:rsid w:val="00767E3B"/>
    <w:rsid w:val="00770C47"/>
    <w:rsid w:val="0077348C"/>
    <w:rsid w:val="00781777"/>
    <w:rsid w:val="007838A3"/>
    <w:rsid w:val="0078552B"/>
    <w:rsid w:val="00787E18"/>
    <w:rsid w:val="00796F9A"/>
    <w:rsid w:val="00797031"/>
    <w:rsid w:val="007A25D1"/>
    <w:rsid w:val="007A4BCB"/>
    <w:rsid w:val="007A5544"/>
    <w:rsid w:val="007A6702"/>
    <w:rsid w:val="007B4F07"/>
    <w:rsid w:val="007B6306"/>
    <w:rsid w:val="007D04A2"/>
    <w:rsid w:val="007D1B7A"/>
    <w:rsid w:val="007D27D0"/>
    <w:rsid w:val="007D3B9C"/>
    <w:rsid w:val="007E1C70"/>
    <w:rsid w:val="007E7771"/>
    <w:rsid w:val="007F205F"/>
    <w:rsid w:val="007F4F81"/>
    <w:rsid w:val="007F5DD5"/>
    <w:rsid w:val="0080141A"/>
    <w:rsid w:val="0080219D"/>
    <w:rsid w:val="0080356D"/>
    <w:rsid w:val="00813CE0"/>
    <w:rsid w:val="00815BBF"/>
    <w:rsid w:val="008241AD"/>
    <w:rsid w:val="008268BE"/>
    <w:rsid w:val="00830754"/>
    <w:rsid w:val="008356A1"/>
    <w:rsid w:val="008436F8"/>
    <w:rsid w:val="0084579C"/>
    <w:rsid w:val="00860452"/>
    <w:rsid w:val="00862CB9"/>
    <w:rsid w:val="00862FF5"/>
    <w:rsid w:val="0086357E"/>
    <w:rsid w:val="008669EC"/>
    <w:rsid w:val="008722EC"/>
    <w:rsid w:val="00877A52"/>
    <w:rsid w:val="00880764"/>
    <w:rsid w:val="00880D88"/>
    <w:rsid w:val="00887D85"/>
    <w:rsid w:val="0089068B"/>
    <w:rsid w:val="00891407"/>
    <w:rsid w:val="00893679"/>
    <w:rsid w:val="00894073"/>
    <w:rsid w:val="008957A0"/>
    <w:rsid w:val="008A00B5"/>
    <w:rsid w:val="008A4FD4"/>
    <w:rsid w:val="008A54E6"/>
    <w:rsid w:val="008A5E07"/>
    <w:rsid w:val="008A6AE1"/>
    <w:rsid w:val="008A6CAA"/>
    <w:rsid w:val="008B0E0B"/>
    <w:rsid w:val="008B15FC"/>
    <w:rsid w:val="008B185A"/>
    <w:rsid w:val="008B1E73"/>
    <w:rsid w:val="008D1021"/>
    <w:rsid w:val="008D22C6"/>
    <w:rsid w:val="008D527C"/>
    <w:rsid w:val="008D5C2A"/>
    <w:rsid w:val="008D5EED"/>
    <w:rsid w:val="008E53DD"/>
    <w:rsid w:val="008E6696"/>
    <w:rsid w:val="008E6E96"/>
    <w:rsid w:val="008F185B"/>
    <w:rsid w:val="00907957"/>
    <w:rsid w:val="00907DC9"/>
    <w:rsid w:val="00910DCB"/>
    <w:rsid w:val="00920602"/>
    <w:rsid w:val="00945055"/>
    <w:rsid w:val="009467D5"/>
    <w:rsid w:val="00961007"/>
    <w:rsid w:val="009668AF"/>
    <w:rsid w:val="00970A66"/>
    <w:rsid w:val="009731B8"/>
    <w:rsid w:val="00973BA4"/>
    <w:rsid w:val="00981795"/>
    <w:rsid w:val="0098559F"/>
    <w:rsid w:val="00992483"/>
    <w:rsid w:val="00993F36"/>
    <w:rsid w:val="00995EC1"/>
    <w:rsid w:val="00997083"/>
    <w:rsid w:val="009A03AF"/>
    <w:rsid w:val="009A24C8"/>
    <w:rsid w:val="009A5D88"/>
    <w:rsid w:val="009C0154"/>
    <w:rsid w:val="009C2D32"/>
    <w:rsid w:val="009C3F8D"/>
    <w:rsid w:val="009C58AB"/>
    <w:rsid w:val="009C6891"/>
    <w:rsid w:val="009D21D5"/>
    <w:rsid w:val="009E015B"/>
    <w:rsid w:val="009E0A4C"/>
    <w:rsid w:val="009E1C1B"/>
    <w:rsid w:val="009E3198"/>
    <w:rsid w:val="009E5E3B"/>
    <w:rsid w:val="009F04CC"/>
    <w:rsid w:val="009F2E7C"/>
    <w:rsid w:val="009F60C7"/>
    <w:rsid w:val="009F642C"/>
    <w:rsid w:val="009F6686"/>
    <w:rsid w:val="00A00A6F"/>
    <w:rsid w:val="00A011A8"/>
    <w:rsid w:val="00A03B45"/>
    <w:rsid w:val="00A10EA6"/>
    <w:rsid w:val="00A134ED"/>
    <w:rsid w:val="00A14044"/>
    <w:rsid w:val="00A15475"/>
    <w:rsid w:val="00A200C2"/>
    <w:rsid w:val="00A20ED8"/>
    <w:rsid w:val="00A22ED6"/>
    <w:rsid w:val="00A24335"/>
    <w:rsid w:val="00A24458"/>
    <w:rsid w:val="00A31793"/>
    <w:rsid w:val="00A3213B"/>
    <w:rsid w:val="00A34ED0"/>
    <w:rsid w:val="00A36E9C"/>
    <w:rsid w:val="00A42EA3"/>
    <w:rsid w:val="00A46328"/>
    <w:rsid w:val="00A468C0"/>
    <w:rsid w:val="00A46E0D"/>
    <w:rsid w:val="00A50E8C"/>
    <w:rsid w:val="00A56721"/>
    <w:rsid w:val="00A63532"/>
    <w:rsid w:val="00A678BE"/>
    <w:rsid w:val="00A67B9A"/>
    <w:rsid w:val="00A76334"/>
    <w:rsid w:val="00A77089"/>
    <w:rsid w:val="00A77A52"/>
    <w:rsid w:val="00A834EC"/>
    <w:rsid w:val="00A913FA"/>
    <w:rsid w:val="00A96812"/>
    <w:rsid w:val="00AA20AB"/>
    <w:rsid w:val="00AA41A0"/>
    <w:rsid w:val="00AB0542"/>
    <w:rsid w:val="00AB0656"/>
    <w:rsid w:val="00AB6A4F"/>
    <w:rsid w:val="00AC1D52"/>
    <w:rsid w:val="00AC4061"/>
    <w:rsid w:val="00AD1B86"/>
    <w:rsid w:val="00AD5D89"/>
    <w:rsid w:val="00AD6118"/>
    <w:rsid w:val="00AE1FF2"/>
    <w:rsid w:val="00AE5876"/>
    <w:rsid w:val="00AE69E8"/>
    <w:rsid w:val="00AF0749"/>
    <w:rsid w:val="00AF38ED"/>
    <w:rsid w:val="00AF67B4"/>
    <w:rsid w:val="00B04D51"/>
    <w:rsid w:val="00B068AD"/>
    <w:rsid w:val="00B12290"/>
    <w:rsid w:val="00B12C08"/>
    <w:rsid w:val="00B1542C"/>
    <w:rsid w:val="00B17750"/>
    <w:rsid w:val="00B2756C"/>
    <w:rsid w:val="00B33F63"/>
    <w:rsid w:val="00B36689"/>
    <w:rsid w:val="00B371E0"/>
    <w:rsid w:val="00B420DA"/>
    <w:rsid w:val="00B4286A"/>
    <w:rsid w:val="00B44962"/>
    <w:rsid w:val="00B55E67"/>
    <w:rsid w:val="00B60412"/>
    <w:rsid w:val="00B62F91"/>
    <w:rsid w:val="00B6391E"/>
    <w:rsid w:val="00B65B45"/>
    <w:rsid w:val="00B87C9D"/>
    <w:rsid w:val="00B929C3"/>
    <w:rsid w:val="00B93347"/>
    <w:rsid w:val="00BA0FF2"/>
    <w:rsid w:val="00BA3370"/>
    <w:rsid w:val="00BA6AEF"/>
    <w:rsid w:val="00BA6ED0"/>
    <w:rsid w:val="00BA74A3"/>
    <w:rsid w:val="00BB5321"/>
    <w:rsid w:val="00BB6C80"/>
    <w:rsid w:val="00BF046C"/>
    <w:rsid w:val="00BF0B1E"/>
    <w:rsid w:val="00C04FF3"/>
    <w:rsid w:val="00C06A72"/>
    <w:rsid w:val="00C11A51"/>
    <w:rsid w:val="00C2343C"/>
    <w:rsid w:val="00C24F79"/>
    <w:rsid w:val="00C30227"/>
    <w:rsid w:val="00C3543B"/>
    <w:rsid w:val="00C35A9E"/>
    <w:rsid w:val="00C4337E"/>
    <w:rsid w:val="00C43421"/>
    <w:rsid w:val="00C43E6A"/>
    <w:rsid w:val="00C46726"/>
    <w:rsid w:val="00C65945"/>
    <w:rsid w:val="00C67CBF"/>
    <w:rsid w:val="00C727E8"/>
    <w:rsid w:val="00C90FAE"/>
    <w:rsid w:val="00C97370"/>
    <w:rsid w:val="00CA0A94"/>
    <w:rsid w:val="00CA11A6"/>
    <w:rsid w:val="00CA4D0C"/>
    <w:rsid w:val="00CA4E1A"/>
    <w:rsid w:val="00CA5E62"/>
    <w:rsid w:val="00CA73CD"/>
    <w:rsid w:val="00CB1AA0"/>
    <w:rsid w:val="00CB5844"/>
    <w:rsid w:val="00CB6940"/>
    <w:rsid w:val="00CB7D3F"/>
    <w:rsid w:val="00CC3E88"/>
    <w:rsid w:val="00CC4017"/>
    <w:rsid w:val="00CD12CC"/>
    <w:rsid w:val="00CD2A2A"/>
    <w:rsid w:val="00CD3255"/>
    <w:rsid w:val="00CD50B7"/>
    <w:rsid w:val="00CD59DD"/>
    <w:rsid w:val="00CE2106"/>
    <w:rsid w:val="00CF5532"/>
    <w:rsid w:val="00CF6393"/>
    <w:rsid w:val="00D16652"/>
    <w:rsid w:val="00D22777"/>
    <w:rsid w:val="00D23C97"/>
    <w:rsid w:val="00D33153"/>
    <w:rsid w:val="00D352EC"/>
    <w:rsid w:val="00D4147F"/>
    <w:rsid w:val="00D4283D"/>
    <w:rsid w:val="00D43017"/>
    <w:rsid w:val="00D50027"/>
    <w:rsid w:val="00D5104A"/>
    <w:rsid w:val="00D53838"/>
    <w:rsid w:val="00D53CEE"/>
    <w:rsid w:val="00D55470"/>
    <w:rsid w:val="00D63E95"/>
    <w:rsid w:val="00D65C10"/>
    <w:rsid w:val="00D701B3"/>
    <w:rsid w:val="00D7192A"/>
    <w:rsid w:val="00D7638A"/>
    <w:rsid w:val="00D76EE6"/>
    <w:rsid w:val="00D80352"/>
    <w:rsid w:val="00D83970"/>
    <w:rsid w:val="00D85999"/>
    <w:rsid w:val="00D859AA"/>
    <w:rsid w:val="00D8605E"/>
    <w:rsid w:val="00D8647C"/>
    <w:rsid w:val="00D873EA"/>
    <w:rsid w:val="00D913B8"/>
    <w:rsid w:val="00D929C1"/>
    <w:rsid w:val="00D93162"/>
    <w:rsid w:val="00D935C1"/>
    <w:rsid w:val="00DA154D"/>
    <w:rsid w:val="00DA46F8"/>
    <w:rsid w:val="00DA7A40"/>
    <w:rsid w:val="00DB0B1F"/>
    <w:rsid w:val="00DB11F7"/>
    <w:rsid w:val="00DB1441"/>
    <w:rsid w:val="00DB48BC"/>
    <w:rsid w:val="00DB4D8A"/>
    <w:rsid w:val="00DB5A12"/>
    <w:rsid w:val="00DC1784"/>
    <w:rsid w:val="00DC1CA4"/>
    <w:rsid w:val="00DD0031"/>
    <w:rsid w:val="00DE3D76"/>
    <w:rsid w:val="00DE3FAF"/>
    <w:rsid w:val="00DE5060"/>
    <w:rsid w:val="00DE7C74"/>
    <w:rsid w:val="00DF1201"/>
    <w:rsid w:val="00DF2BAB"/>
    <w:rsid w:val="00E05D7E"/>
    <w:rsid w:val="00E06F57"/>
    <w:rsid w:val="00E07807"/>
    <w:rsid w:val="00E107A0"/>
    <w:rsid w:val="00E13251"/>
    <w:rsid w:val="00E179F3"/>
    <w:rsid w:val="00E2403A"/>
    <w:rsid w:val="00E26377"/>
    <w:rsid w:val="00E30583"/>
    <w:rsid w:val="00E40E6D"/>
    <w:rsid w:val="00E44037"/>
    <w:rsid w:val="00E45732"/>
    <w:rsid w:val="00E4668C"/>
    <w:rsid w:val="00E473B6"/>
    <w:rsid w:val="00E543E2"/>
    <w:rsid w:val="00E569F8"/>
    <w:rsid w:val="00E6091B"/>
    <w:rsid w:val="00E60AB2"/>
    <w:rsid w:val="00E61476"/>
    <w:rsid w:val="00E61ECB"/>
    <w:rsid w:val="00E6222F"/>
    <w:rsid w:val="00E63208"/>
    <w:rsid w:val="00E64455"/>
    <w:rsid w:val="00E7552D"/>
    <w:rsid w:val="00E82A06"/>
    <w:rsid w:val="00E82A47"/>
    <w:rsid w:val="00E8540F"/>
    <w:rsid w:val="00E863AE"/>
    <w:rsid w:val="00E87AA1"/>
    <w:rsid w:val="00E94A34"/>
    <w:rsid w:val="00EA2D9A"/>
    <w:rsid w:val="00EA75ED"/>
    <w:rsid w:val="00EB1458"/>
    <w:rsid w:val="00EB17DE"/>
    <w:rsid w:val="00EB55A1"/>
    <w:rsid w:val="00EC1BB3"/>
    <w:rsid w:val="00EC3D25"/>
    <w:rsid w:val="00EC7175"/>
    <w:rsid w:val="00ED2F70"/>
    <w:rsid w:val="00ED302E"/>
    <w:rsid w:val="00ED313F"/>
    <w:rsid w:val="00ED5055"/>
    <w:rsid w:val="00ED666E"/>
    <w:rsid w:val="00ED7E6A"/>
    <w:rsid w:val="00EF3740"/>
    <w:rsid w:val="00EF3D8D"/>
    <w:rsid w:val="00EF5C90"/>
    <w:rsid w:val="00F004A4"/>
    <w:rsid w:val="00F00C8B"/>
    <w:rsid w:val="00F10ADF"/>
    <w:rsid w:val="00F12C5C"/>
    <w:rsid w:val="00F1357C"/>
    <w:rsid w:val="00F13732"/>
    <w:rsid w:val="00F13C76"/>
    <w:rsid w:val="00F16FA0"/>
    <w:rsid w:val="00F20F76"/>
    <w:rsid w:val="00F21D7A"/>
    <w:rsid w:val="00F2271D"/>
    <w:rsid w:val="00F2377A"/>
    <w:rsid w:val="00F242B6"/>
    <w:rsid w:val="00F30EE0"/>
    <w:rsid w:val="00F4273F"/>
    <w:rsid w:val="00F44499"/>
    <w:rsid w:val="00F44719"/>
    <w:rsid w:val="00F53324"/>
    <w:rsid w:val="00F55734"/>
    <w:rsid w:val="00F60681"/>
    <w:rsid w:val="00F61854"/>
    <w:rsid w:val="00F678A2"/>
    <w:rsid w:val="00F772C3"/>
    <w:rsid w:val="00F82A90"/>
    <w:rsid w:val="00F84788"/>
    <w:rsid w:val="00F84DC6"/>
    <w:rsid w:val="00F92003"/>
    <w:rsid w:val="00F94D94"/>
    <w:rsid w:val="00F96CC0"/>
    <w:rsid w:val="00FA111C"/>
    <w:rsid w:val="00FA4D9E"/>
    <w:rsid w:val="00FA5CAD"/>
    <w:rsid w:val="00FB1734"/>
    <w:rsid w:val="00FB4CAD"/>
    <w:rsid w:val="00FB6F3C"/>
    <w:rsid w:val="00FB7F6D"/>
    <w:rsid w:val="00FC00CC"/>
    <w:rsid w:val="00FC0598"/>
    <w:rsid w:val="00FC4580"/>
    <w:rsid w:val="00FD055C"/>
    <w:rsid w:val="00FD0823"/>
    <w:rsid w:val="00FD0E0D"/>
    <w:rsid w:val="00FD1F31"/>
    <w:rsid w:val="00FD295B"/>
    <w:rsid w:val="00FD363D"/>
    <w:rsid w:val="00FD43E7"/>
    <w:rsid w:val="00FD6333"/>
    <w:rsid w:val="00FD6589"/>
    <w:rsid w:val="00FE3FE6"/>
    <w:rsid w:val="00FF393C"/>
    <w:rsid w:val="00FF47D7"/>
    <w:rsid w:val="00FF52DC"/>
  </w:rsids>
  <m:mathPr>
    <m:mathFont m:val="Cambria Math"/>
    <m:brkBin m:val="before"/>
    <m:brkBinSub m:val="--"/>
    <m:smallFrac m:val="0"/>
    <m:dispDef/>
    <m:lMargin m:val="0"/>
    <m:rMargin m:val="0"/>
    <m:defJc m:val="centerGroup"/>
    <m:wrapIndent m:val="1440"/>
    <m:intLim m:val="subSup"/>
    <m:naryLim m:val="undOvr"/>
  </m:mathPr>
  <w:themeFontLang w:val="en-AU"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8EFCE"/>
  <w15:chartTrackingRefBased/>
  <w15:docId w15:val="{0A114A73-DE8C-4C62-B672-154BE913A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73F"/>
    <w:rPr>
      <w:lang w:val="am-ET"/>
    </w:rPr>
  </w:style>
  <w:style w:type="paragraph" w:styleId="Heading1">
    <w:name w:val="heading 1"/>
    <w:basedOn w:val="Normal"/>
    <w:next w:val="Normal"/>
    <w:link w:val="Heading1Char"/>
    <w:uiPriority w:val="9"/>
    <w:qFormat/>
    <w:rsid w:val="00380D08"/>
    <w:pPr>
      <w:keepNext/>
      <w:spacing w:before="240" w:after="60" w:line="240" w:lineRule="auto"/>
      <w:ind w:left="720" w:hanging="720"/>
      <w:jc w:val="both"/>
      <w:outlineLvl w:val="0"/>
    </w:pPr>
    <w:rPr>
      <w:rFonts w:ascii="Cambria" w:eastAsia="Times New Roman" w:hAnsi="Cambria" w:cs="Mangal"/>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29C3"/>
    <w:pPr>
      <w:ind w:left="720"/>
      <w:contextualSpacing/>
    </w:pPr>
  </w:style>
  <w:style w:type="paragraph" w:styleId="NoSpacing">
    <w:name w:val="No Spacing"/>
    <w:link w:val="NoSpacingChar"/>
    <w:uiPriority w:val="1"/>
    <w:qFormat/>
    <w:rsid w:val="00707B25"/>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07B25"/>
    <w:rPr>
      <w:rFonts w:eastAsiaTheme="minorEastAsia"/>
      <w:lang w:val="en-US"/>
    </w:rPr>
  </w:style>
  <w:style w:type="character" w:styleId="Hyperlink">
    <w:name w:val="Hyperlink"/>
    <w:uiPriority w:val="99"/>
    <w:unhideWhenUsed/>
    <w:rsid w:val="00707B25"/>
    <w:rPr>
      <w:color w:val="0000FF"/>
      <w:u w:val="single"/>
    </w:rPr>
  </w:style>
  <w:style w:type="table" w:styleId="TableGrid">
    <w:name w:val="Table Grid"/>
    <w:basedOn w:val="TableNormal"/>
    <w:uiPriority w:val="39"/>
    <w:rsid w:val="00707B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707B25"/>
    <w:pPr>
      <w:spacing w:line="240" w:lineRule="auto"/>
    </w:pPr>
    <w:rPr>
      <w:sz w:val="20"/>
      <w:szCs w:val="20"/>
      <w:lang w:val="en-AU"/>
    </w:rPr>
  </w:style>
  <w:style w:type="character" w:customStyle="1" w:styleId="CommentTextChar">
    <w:name w:val="Comment Text Char"/>
    <w:basedOn w:val="DefaultParagraphFont"/>
    <w:link w:val="CommentText"/>
    <w:uiPriority w:val="99"/>
    <w:rsid w:val="00707B25"/>
    <w:rPr>
      <w:sz w:val="20"/>
      <w:szCs w:val="20"/>
    </w:rPr>
  </w:style>
  <w:style w:type="character" w:styleId="CommentReference">
    <w:name w:val="annotation reference"/>
    <w:basedOn w:val="DefaultParagraphFont"/>
    <w:uiPriority w:val="99"/>
    <w:semiHidden/>
    <w:unhideWhenUsed/>
    <w:rsid w:val="00707B25"/>
    <w:rPr>
      <w:sz w:val="16"/>
      <w:szCs w:val="16"/>
    </w:rPr>
  </w:style>
  <w:style w:type="character" w:customStyle="1" w:styleId="xref-sep">
    <w:name w:val="xref-sep"/>
    <w:basedOn w:val="DefaultParagraphFont"/>
    <w:rsid w:val="007B6306"/>
  </w:style>
  <w:style w:type="paragraph" w:styleId="CommentSubject">
    <w:name w:val="annotation subject"/>
    <w:basedOn w:val="CommentText"/>
    <w:next w:val="CommentText"/>
    <w:link w:val="CommentSubjectChar"/>
    <w:uiPriority w:val="99"/>
    <w:semiHidden/>
    <w:unhideWhenUsed/>
    <w:rsid w:val="00787E18"/>
    <w:rPr>
      <w:b/>
      <w:bCs/>
      <w:lang w:val="am-ET"/>
    </w:rPr>
  </w:style>
  <w:style w:type="character" w:customStyle="1" w:styleId="CommentSubjectChar">
    <w:name w:val="Comment Subject Char"/>
    <w:basedOn w:val="CommentTextChar"/>
    <w:link w:val="CommentSubject"/>
    <w:uiPriority w:val="99"/>
    <w:semiHidden/>
    <w:rsid w:val="00787E18"/>
    <w:rPr>
      <w:b/>
      <w:bCs/>
      <w:sz w:val="20"/>
      <w:szCs w:val="20"/>
      <w:lang w:val="am-ET"/>
    </w:rPr>
  </w:style>
  <w:style w:type="paragraph" w:styleId="NormalWeb">
    <w:name w:val="Normal (Web)"/>
    <w:basedOn w:val="Normal"/>
    <w:uiPriority w:val="99"/>
    <w:semiHidden/>
    <w:unhideWhenUsed/>
    <w:rsid w:val="0055426B"/>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Heading1Char">
    <w:name w:val="Heading 1 Char"/>
    <w:basedOn w:val="DefaultParagraphFont"/>
    <w:link w:val="Heading1"/>
    <w:uiPriority w:val="9"/>
    <w:rsid w:val="00380D08"/>
    <w:rPr>
      <w:rFonts w:ascii="Cambria" w:eastAsia="Times New Roman" w:hAnsi="Cambria" w:cs="Mangal"/>
      <w:b/>
      <w:bCs/>
      <w:kern w:val="32"/>
      <w:sz w:val="32"/>
      <w:szCs w:val="32"/>
      <w:lang w:val="en-US"/>
    </w:rPr>
  </w:style>
  <w:style w:type="paragraph" w:customStyle="1" w:styleId="EndNoteBibliography">
    <w:name w:val="EndNote Bibliography"/>
    <w:basedOn w:val="Normal"/>
    <w:link w:val="EndNoteBibliographyChar"/>
    <w:rsid w:val="00380D08"/>
    <w:pPr>
      <w:spacing w:after="0" w:line="240" w:lineRule="auto"/>
      <w:ind w:left="720" w:hanging="720"/>
    </w:pPr>
    <w:rPr>
      <w:rFonts w:ascii="Calibri" w:eastAsia="Calibri" w:hAnsi="Calibri" w:cs="Calibri"/>
      <w:noProof/>
      <w:lang w:val="en-US"/>
    </w:rPr>
  </w:style>
  <w:style w:type="character" w:customStyle="1" w:styleId="EndNoteBibliographyChar">
    <w:name w:val="EndNote Bibliography Char"/>
    <w:link w:val="EndNoteBibliography"/>
    <w:rsid w:val="00380D08"/>
    <w:rPr>
      <w:rFonts w:ascii="Calibri" w:eastAsia="Calibri" w:hAnsi="Calibri" w:cs="Calibri"/>
      <w:noProof/>
      <w:lang w:val="en-US"/>
    </w:rPr>
  </w:style>
  <w:style w:type="paragraph" w:styleId="Header">
    <w:name w:val="header"/>
    <w:basedOn w:val="Normal"/>
    <w:link w:val="HeaderChar"/>
    <w:uiPriority w:val="99"/>
    <w:unhideWhenUsed/>
    <w:rsid w:val="003D29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295E"/>
    <w:rPr>
      <w:lang w:val="am-ET"/>
    </w:rPr>
  </w:style>
  <w:style w:type="paragraph" w:styleId="Footer">
    <w:name w:val="footer"/>
    <w:basedOn w:val="Normal"/>
    <w:link w:val="FooterChar"/>
    <w:uiPriority w:val="99"/>
    <w:unhideWhenUsed/>
    <w:rsid w:val="003D29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295E"/>
    <w:rPr>
      <w:lang w:val="am-ET"/>
    </w:rPr>
  </w:style>
  <w:style w:type="table" w:styleId="PlainTable1">
    <w:name w:val="Plain Table 1"/>
    <w:basedOn w:val="TableNormal"/>
    <w:uiPriority w:val="41"/>
    <w:rsid w:val="00E6147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1">
    <w:name w:val="Grid Table 2 Accent 1"/>
    <w:basedOn w:val="TableNormal"/>
    <w:uiPriority w:val="47"/>
    <w:rsid w:val="00E61476"/>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3">
    <w:name w:val="Grid Table 2 Accent 3"/>
    <w:basedOn w:val="TableNormal"/>
    <w:uiPriority w:val="47"/>
    <w:rsid w:val="00E61476"/>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UnresolvedMention">
    <w:name w:val="Unresolved Mention"/>
    <w:basedOn w:val="DefaultParagraphFont"/>
    <w:uiPriority w:val="99"/>
    <w:semiHidden/>
    <w:unhideWhenUsed/>
    <w:rsid w:val="00862FF5"/>
    <w:rPr>
      <w:color w:val="605E5C"/>
      <w:shd w:val="clear" w:color="auto" w:fill="E1DFDD"/>
    </w:rPr>
  </w:style>
  <w:style w:type="character" w:customStyle="1" w:styleId="cit-auth">
    <w:name w:val="cit-auth"/>
    <w:basedOn w:val="DefaultParagraphFont"/>
    <w:rsid w:val="00A913FA"/>
  </w:style>
  <w:style w:type="character" w:customStyle="1" w:styleId="cit-name-surname">
    <w:name w:val="cit-name-surname"/>
    <w:basedOn w:val="DefaultParagraphFont"/>
    <w:rsid w:val="00A913FA"/>
  </w:style>
  <w:style w:type="character" w:customStyle="1" w:styleId="cit-name-given-names">
    <w:name w:val="cit-name-given-names"/>
    <w:basedOn w:val="DefaultParagraphFont"/>
    <w:rsid w:val="00A913FA"/>
  </w:style>
  <w:style w:type="character" w:styleId="HTMLCite">
    <w:name w:val="HTML Cite"/>
    <w:basedOn w:val="DefaultParagraphFont"/>
    <w:uiPriority w:val="99"/>
    <w:semiHidden/>
    <w:unhideWhenUsed/>
    <w:rsid w:val="00A913FA"/>
    <w:rPr>
      <w:i/>
      <w:iCs/>
    </w:rPr>
  </w:style>
  <w:style w:type="character" w:customStyle="1" w:styleId="cit-article-title">
    <w:name w:val="cit-article-title"/>
    <w:basedOn w:val="DefaultParagraphFont"/>
    <w:rsid w:val="00A913FA"/>
  </w:style>
  <w:style w:type="character" w:customStyle="1" w:styleId="cit-pub-date">
    <w:name w:val="cit-pub-date"/>
    <w:basedOn w:val="DefaultParagraphFont"/>
    <w:rsid w:val="00A913FA"/>
  </w:style>
  <w:style w:type="character" w:customStyle="1" w:styleId="cit-vol">
    <w:name w:val="cit-vol"/>
    <w:basedOn w:val="DefaultParagraphFont"/>
    <w:rsid w:val="00A913FA"/>
  </w:style>
  <w:style w:type="character" w:customStyle="1" w:styleId="cit-fpage">
    <w:name w:val="cit-fpage"/>
    <w:basedOn w:val="DefaultParagraphFont"/>
    <w:rsid w:val="00A913FA"/>
  </w:style>
  <w:style w:type="character" w:customStyle="1" w:styleId="cit-lpage">
    <w:name w:val="cit-lpage"/>
    <w:basedOn w:val="DefaultParagraphFont"/>
    <w:rsid w:val="00A913FA"/>
  </w:style>
  <w:style w:type="paragraph" w:customStyle="1" w:styleId="EndNoteBibliographyTitle">
    <w:name w:val="EndNote Bibliography Title"/>
    <w:basedOn w:val="Normal"/>
    <w:link w:val="EndNoteBibliographyTitleChar"/>
    <w:rsid w:val="007E1C70"/>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7E1C70"/>
    <w:rPr>
      <w:rFonts w:ascii="Calibri" w:hAnsi="Calibri" w:cs="Calibri"/>
      <w:noProof/>
      <w:lang w:val="en-US"/>
    </w:rPr>
  </w:style>
  <w:style w:type="character" w:styleId="Strong">
    <w:name w:val="Strong"/>
    <w:basedOn w:val="DefaultParagraphFont"/>
    <w:uiPriority w:val="22"/>
    <w:qFormat/>
    <w:rsid w:val="0046581C"/>
    <w:rPr>
      <w:b/>
      <w:bCs/>
    </w:rPr>
  </w:style>
  <w:style w:type="character" w:customStyle="1" w:styleId="term">
    <w:name w:val="term"/>
    <w:basedOn w:val="DefaultParagraphFont"/>
    <w:rsid w:val="00C65945"/>
  </w:style>
  <w:style w:type="table" w:customStyle="1" w:styleId="TableGridLight1">
    <w:name w:val="Table Grid Light1"/>
    <w:basedOn w:val="TableNormal"/>
    <w:uiPriority w:val="40"/>
    <w:rsid w:val="00E26377"/>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3209">
      <w:bodyDiv w:val="1"/>
      <w:marLeft w:val="0"/>
      <w:marRight w:val="0"/>
      <w:marTop w:val="0"/>
      <w:marBottom w:val="0"/>
      <w:divBdr>
        <w:top w:val="none" w:sz="0" w:space="0" w:color="auto"/>
        <w:left w:val="none" w:sz="0" w:space="0" w:color="auto"/>
        <w:bottom w:val="none" w:sz="0" w:space="0" w:color="auto"/>
        <w:right w:val="none" w:sz="0" w:space="0" w:color="auto"/>
      </w:divBdr>
    </w:div>
    <w:div w:id="125240182">
      <w:bodyDiv w:val="1"/>
      <w:marLeft w:val="0"/>
      <w:marRight w:val="0"/>
      <w:marTop w:val="0"/>
      <w:marBottom w:val="0"/>
      <w:divBdr>
        <w:top w:val="none" w:sz="0" w:space="0" w:color="auto"/>
        <w:left w:val="none" w:sz="0" w:space="0" w:color="auto"/>
        <w:bottom w:val="none" w:sz="0" w:space="0" w:color="auto"/>
        <w:right w:val="none" w:sz="0" w:space="0" w:color="auto"/>
      </w:divBdr>
    </w:div>
    <w:div w:id="306976734">
      <w:bodyDiv w:val="1"/>
      <w:marLeft w:val="0"/>
      <w:marRight w:val="0"/>
      <w:marTop w:val="0"/>
      <w:marBottom w:val="0"/>
      <w:divBdr>
        <w:top w:val="none" w:sz="0" w:space="0" w:color="auto"/>
        <w:left w:val="none" w:sz="0" w:space="0" w:color="auto"/>
        <w:bottom w:val="none" w:sz="0" w:space="0" w:color="auto"/>
        <w:right w:val="none" w:sz="0" w:space="0" w:color="auto"/>
      </w:divBdr>
    </w:div>
    <w:div w:id="387388325">
      <w:bodyDiv w:val="1"/>
      <w:marLeft w:val="0"/>
      <w:marRight w:val="0"/>
      <w:marTop w:val="0"/>
      <w:marBottom w:val="0"/>
      <w:divBdr>
        <w:top w:val="none" w:sz="0" w:space="0" w:color="auto"/>
        <w:left w:val="none" w:sz="0" w:space="0" w:color="auto"/>
        <w:bottom w:val="none" w:sz="0" w:space="0" w:color="auto"/>
        <w:right w:val="none" w:sz="0" w:space="0" w:color="auto"/>
      </w:divBdr>
    </w:div>
    <w:div w:id="513231970">
      <w:bodyDiv w:val="1"/>
      <w:marLeft w:val="0"/>
      <w:marRight w:val="0"/>
      <w:marTop w:val="0"/>
      <w:marBottom w:val="0"/>
      <w:divBdr>
        <w:top w:val="none" w:sz="0" w:space="0" w:color="auto"/>
        <w:left w:val="none" w:sz="0" w:space="0" w:color="auto"/>
        <w:bottom w:val="none" w:sz="0" w:space="0" w:color="auto"/>
        <w:right w:val="none" w:sz="0" w:space="0" w:color="auto"/>
      </w:divBdr>
    </w:div>
    <w:div w:id="569536612">
      <w:bodyDiv w:val="1"/>
      <w:marLeft w:val="0"/>
      <w:marRight w:val="0"/>
      <w:marTop w:val="0"/>
      <w:marBottom w:val="0"/>
      <w:divBdr>
        <w:top w:val="none" w:sz="0" w:space="0" w:color="auto"/>
        <w:left w:val="none" w:sz="0" w:space="0" w:color="auto"/>
        <w:bottom w:val="none" w:sz="0" w:space="0" w:color="auto"/>
        <w:right w:val="none" w:sz="0" w:space="0" w:color="auto"/>
      </w:divBdr>
    </w:div>
    <w:div w:id="1097750243">
      <w:bodyDiv w:val="1"/>
      <w:marLeft w:val="0"/>
      <w:marRight w:val="0"/>
      <w:marTop w:val="0"/>
      <w:marBottom w:val="0"/>
      <w:divBdr>
        <w:top w:val="none" w:sz="0" w:space="0" w:color="auto"/>
        <w:left w:val="none" w:sz="0" w:space="0" w:color="auto"/>
        <w:bottom w:val="none" w:sz="0" w:space="0" w:color="auto"/>
        <w:right w:val="none" w:sz="0" w:space="0" w:color="auto"/>
      </w:divBdr>
    </w:div>
    <w:div w:id="1302687298">
      <w:bodyDiv w:val="1"/>
      <w:marLeft w:val="0"/>
      <w:marRight w:val="0"/>
      <w:marTop w:val="0"/>
      <w:marBottom w:val="0"/>
      <w:divBdr>
        <w:top w:val="none" w:sz="0" w:space="0" w:color="auto"/>
        <w:left w:val="none" w:sz="0" w:space="0" w:color="auto"/>
        <w:bottom w:val="none" w:sz="0" w:space="0" w:color="auto"/>
        <w:right w:val="none" w:sz="0" w:space="0" w:color="auto"/>
      </w:divBdr>
    </w:div>
    <w:div w:id="1343119648">
      <w:bodyDiv w:val="1"/>
      <w:marLeft w:val="0"/>
      <w:marRight w:val="0"/>
      <w:marTop w:val="0"/>
      <w:marBottom w:val="0"/>
      <w:divBdr>
        <w:top w:val="none" w:sz="0" w:space="0" w:color="auto"/>
        <w:left w:val="none" w:sz="0" w:space="0" w:color="auto"/>
        <w:bottom w:val="none" w:sz="0" w:space="0" w:color="auto"/>
        <w:right w:val="none" w:sz="0" w:space="0" w:color="auto"/>
      </w:divBdr>
    </w:div>
    <w:div w:id="1581408454">
      <w:bodyDiv w:val="1"/>
      <w:marLeft w:val="0"/>
      <w:marRight w:val="0"/>
      <w:marTop w:val="0"/>
      <w:marBottom w:val="0"/>
      <w:divBdr>
        <w:top w:val="none" w:sz="0" w:space="0" w:color="auto"/>
        <w:left w:val="none" w:sz="0" w:space="0" w:color="auto"/>
        <w:bottom w:val="none" w:sz="0" w:space="0" w:color="auto"/>
        <w:right w:val="none" w:sz="0" w:space="0" w:color="auto"/>
      </w:divBdr>
    </w:div>
    <w:div w:id="1747072342">
      <w:bodyDiv w:val="1"/>
      <w:marLeft w:val="0"/>
      <w:marRight w:val="0"/>
      <w:marTop w:val="0"/>
      <w:marBottom w:val="0"/>
      <w:divBdr>
        <w:top w:val="none" w:sz="0" w:space="0" w:color="auto"/>
        <w:left w:val="none" w:sz="0" w:space="0" w:color="auto"/>
        <w:bottom w:val="none" w:sz="0" w:space="0" w:color="auto"/>
        <w:right w:val="none" w:sz="0" w:space="0" w:color="auto"/>
      </w:divBdr>
    </w:div>
    <w:div w:id="1823277836">
      <w:bodyDiv w:val="1"/>
      <w:marLeft w:val="0"/>
      <w:marRight w:val="0"/>
      <w:marTop w:val="0"/>
      <w:marBottom w:val="0"/>
      <w:divBdr>
        <w:top w:val="none" w:sz="0" w:space="0" w:color="auto"/>
        <w:left w:val="none" w:sz="0" w:space="0" w:color="auto"/>
        <w:bottom w:val="none" w:sz="0" w:space="0" w:color="auto"/>
        <w:right w:val="none" w:sz="0" w:space="0" w:color="auto"/>
      </w:divBdr>
    </w:div>
    <w:div w:id="1907641892">
      <w:bodyDiv w:val="1"/>
      <w:marLeft w:val="0"/>
      <w:marRight w:val="0"/>
      <w:marTop w:val="0"/>
      <w:marBottom w:val="0"/>
      <w:divBdr>
        <w:top w:val="none" w:sz="0" w:space="0" w:color="auto"/>
        <w:left w:val="none" w:sz="0" w:space="0" w:color="auto"/>
        <w:bottom w:val="none" w:sz="0" w:space="0" w:color="auto"/>
        <w:right w:val="none" w:sz="0" w:space="0" w:color="auto"/>
      </w:divBdr>
    </w:div>
    <w:div w:id="1970472154">
      <w:bodyDiv w:val="1"/>
      <w:marLeft w:val="0"/>
      <w:marRight w:val="0"/>
      <w:marTop w:val="0"/>
      <w:marBottom w:val="0"/>
      <w:divBdr>
        <w:top w:val="none" w:sz="0" w:space="0" w:color="auto"/>
        <w:left w:val="none" w:sz="0" w:space="0" w:color="auto"/>
        <w:bottom w:val="none" w:sz="0" w:space="0" w:color="auto"/>
        <w:right w:val="none" w:sz="0" w:space="0" w:color="auto"/>
      </w:divBdr>
    </w:div>
    <w:div w:id="2090731375">
      <w:bodyDiv w:val="1"/>
      <w:marLeft w:val="0"/>
      <w:marRight w:val="0"/>
      <w:marTop w:val="0"/>
      <w:marBottom w:val="0"/>
      <w:divBdr>
        <w:top w:val="none" w:sz="0" w:space="0" w:color="auto"/>
        <w:left w:val="none" w:sz="0" w:space="0" w:color="auto"/>
        <w:bottom w:val="none" w:sz="0" w:space="0" w:color="auto"/>
        <w:right w:val="none" w:sz="0" w:space="0" w:color="auto"/>
      </w:divBdr>
    </w:div>
    <w:div w:id="2105224843">
      <w:bodyDiv w:val="1"/>
      <w:marLeft w:val="0"/>
      <w:marRight w:val="0"/>
      <w:marTop w:val="0"/>
      <w:marBottom w:val="0"/>
      <w:divBdr>
        <w:top w:val="none" w:sz="0" w:space="0" w:color="auto"/>
        <w:left w:val="none" w:sz="0" w:space="0" w:color="auto"/>
        <w:bottom w:val="none" w:sz="0" w:space="0" w:color="auto"/>
        <w:right w:val="none" w:sz="0" w:space="0" w:color="auto"/>
      </w:divBdr>
      <w:divsChild>
        <w:div w:id="931473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A2DBC88CDA4ADB87A37E9180B4ED03"/>
        <w:category>
          <w:name w:val="General"/>
          <w:gallery w:val="placeholder"/>
        </w:category>
        <w:types>
          <w:type w:val="bbPlcHdr"/>
        </w:types>
        <w:behaviors>
          <w:behavior w:val="content"/>
        </w:behaviors>
        <w:guid w:val="{4956F37F-95BE-4A60-ABC6-2553317E00F6}"/>
      </w:docPartPr>
      <w:docPartBody>
        <w:p w:rsidR="003930C2" w:rsidRDefault="00311F0E" w:rsidP="00311F0E">
          <w:pPr>
            <w:pStyle w:val="37A2DBC88CDA4ADB87A37E9180B4ED03"/>
          </w:pPr>
          <w:r w:rsidRPr="003A2F5F">
            <w:rPr>
              <w:rStyle w:val="PlaceholderText"/>
            </w:rPr>
            <w:t>Click here to enter text.</w:t>
          </w:r>
        </w:p>
      </w:docPartBody>
    </w:docPart>
    <w:docPart>
      <w:docPartPr>
        <w:name w:val="9EC70F6910B147B18F074C1BC738FD3C"/>
        <w:category>
          <w:name w:val="General"/>
          <w:gallery w:val="placeholder"/>
        </w:category>
        <w:types>
          <w:type w:val="bbPlcHdr"/>
        </w:types>
        <w:behaviors>
          <w:behavior w:val="content"/>
        </w:behaviors>
        <w:guid w:val="{4659A2D9-04DC-4133-9E5E-C25709E608A9}"/>
      </w:docPartPr>
      <w:docPartBody>
        <w:p w:rsidR="003930C2" w:rsidRDefault="00311F0E" w:rsidP="00311F0E">
          <w:pPr>
            <w:pStyle w:val="9EC70F6910B147B18F074C1BC738FD3C"/>
          </w:pPr>
          <w:r w:rsidRPr="003A2F5F">
            <w:rPr>
              <w:rStyle w:val="PlaceholderText"/>
            </w:rPr>
            <w:t>Click here to enter text.</w:t>
          </w:r>
        </w:p>
      </w:docPartBody>
    </w:docPart>
    <w:docPart>
      <w:docPartPr>
        <w:name w:val="DBA25F150BFC483CB1B49F10F37ECC1E"/>
        <w:category>
          <w:name w:val="General"/>
          <w:gallery w:val="placeholder"/>
        </w:category>
        <w:types>
          <w:type w:val="bbPlcHdr"/>
        </w:types>
        <w:behaviors>
          <w:behavior w:val="content"/>
        </w:behaviors>
        <w:guid w:val="{C0085CE6-C6F0-4B32-80AC-5E28F7BDC04C}"/>
      </w:docPartPr>
      <w:docPartBody>
        <w:p w:rsidR="003930C2" w:rsidRDefault="00311F0E" w:rsidP="00311F0E">
          <w:pPr>
            <w:pStyle w:val="DBA25F150BFC483CB1B49F10F37ECC1E"/>
          </w:pPr>
          <w:r w:rsidRPr="003A2F5F">
            <w:rPr>
              <w:rStyle w:val="PlaceholderText"/>
            </w:rPr>
            <w:t>Click here to enter text.</w:t>
          </w:r>
        </w:p>
      </w:docPartBody>
    </w:docPart>
    <w:docPart>
      <w:docPartPr>
        <w:name w:val="778294D2C92C4205A828FB26C9CE1BEC"/>
        <w:category>
          <w:name w:val="General"/>
          <w:gallery w:val="placeholder"/>
        </w:category>
        <w:types>
          <w:type w:val="bbPlcHdr"/>
        </w:types>
        <w:behaviors>
          <w:behavior w:val="content"/>
        </w:behaviors>
        <w:guid w:val="{45AADA49-2398-4BE2-A170-FD12FA2D5EDE}"/>
      </w:docPartPr>
      <w:docPartBody>
        <w:p w:rsidR="003930C2" w:rsidRDefault="00311F0E" w:rsidP="00311F0E">
          <w:pPr>
            <w:pStyle w:val="778294D2C92C4205A828FB26C9CE1BEC"/>
          </w:pPr>
          <w:r w:rsidRPr="003A2F5F">
            <w:rPr>
              <w:rStyle w:val="PlaceholderText"/>
            </w:rPr>
            <w:t>Click here to enter text.</w:t>
          </w:r>
        </w:p>
      </w:docPartBody>
    </w:docPart>
    <w:docPart>
      <w:docPartPr>
        <w:name w:val="560046AF0B4148D8BFDB0A1D9FD7396E"/>
        <w:category>
          <w:name w:val="General"/>
          <w:gallery w:val="placeholder"/>
        </w:category>
        <w:types>
          <w:type w:val="bbPlcHdr"/>
        </w:types>
        <w:behaviors>
          <w:behavior w:val="content"/>
        </w:behaviors>
        <w:guid w:val="{6D524CDC-0E71-48B4-A833-80246EDACA2C}"/>
      </w:docPartPr>
      <w:docPartBody>
        <w:p w:rsidR="003930C2" w:rsidRDefault="00311F0E" w:rsidP="00311F0E">
          <w:pPr>
            <w:pStyle w:val="560046AF0B4148D8BFDB0A1D9FD7396E"/>
          </w:pPr>
          <w:r w:rsidRPr="003A2F5F">
            <w:rPr>
              <w:rStyle w:val="PlaceholderText"/>
            </w:rPr>
            <w:t>Click here to enter text.</w:t>
          </w:r>
        </w:p>
      </w:docPartBody>
    </w:docPart>
    <w:docPart>
      <w:docPartPr>
        <w:name w:val="E387165AD22641CBBC931A9AC31B6E19"/>
        <w:category>
          <w:name w:val="General"/>
          <w:gallery w:val="placeholder"/>
        </w:category>
        <w:types>
          <w:type w:val="bbPlcHdr"/>
        </w:types>
        <w:behaviors>
          <w:behavior w:val="content"/>
        </w:behaviors>
        <w:guid w:val="{9AF30831-8C38-44C3-87A1-F9EBD4EA38D5}"/>
      </w:docPartPr>
      <w:docPartBody>
        <w:p w:rsidR="003930C2" w:rsidRDefault="00311F0E" w:rsidP="00311F0E">
          <w:pPr>
            <w:pStyle w:val="E387165AD22641CBBC931A9AC31B6E19"/>
          </w:pPr>
          <w:r w:rsidRPr="003A2F5F">
            <w:rPr>
              <w:rStyle w:val="PlaceholderText"/>
            </w:rPr>
            <w:t>Click here to enter text.</w:t>
          </w:r>
        </w:p>
      </w:docPartBody>
    </w:docPart>
    <w:docPart>
      <w:docPartPr>
        <w:name w:val="39435FCB00764D2DB3E688682BD0216E"/>
        <w:category>
          <w:name w:val="General"/>
          <w:gallery w:val="placeholder"/>
        </w:category>
        <w:types>
          <w:type w:val="bbPlcHdr"/>
        </w:types>
        <w:behaviors>
          <w:behavior w:val="content"/>
        </w:behaviors>
        <w:guid w:val="{06647E50-665A-4F34-B81F-76730D5C4216}"/>
      </w:docPartPr>
      <w:docPartBody>
        <w:p w:rsidR="003930C2" w:rsidRDefault="00311F0E" w:rsidP="00311F0E">
          <w:pPr>
            <w:pStyle w:val="39435FCB00764D2DB3E688682BD0216E"/>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yala">
    <w:charset w:val="00"/>
    <w:family w:val="auto"/>
    <w:pitch w:val="variable"/>
    <w:sig w:usb0="A000006F" w:usb1="00000000" w:usb2="00000800" w:usb3="00000000" w:csb0="00000093"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F0E"/>
    <w:rsid w:val="00311F0E"/>
    <w:rsid w:val="003930C2"/>
    <w:rsid w:val="004B5CC5"/>
    <w:rsid w:val="00654B04"/>
    <w:rsid w:val="009A6F0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1F0E"/>
    <w:rPr>
      <w:color w:val="808080"/>
    </w:rPr>
  </w:style>
  <w:style w:type="paragraph" w:customStyle="1" w:styleId="37A2DBC88CDA4ADB87A37E9180B4ED03">
    <w:name w:val="37A2DBC88CDA4ADB87A37E9180B4ED03"/>
    <w:rsid w:val="00311F0E"/>
  </w:style>
  <w:style w:type="paragraph" w:customStyle="1" w:styleId="9EC70F6910B147B18F074C1BC738FD3C">
    <w:name w:val="9EC70F6910B147B18F074C1BC738FD3C"/>
    <w:rsid w:val="00311F0E"/>
  </w:style>
  <w:style w:type="paragraph" w:customStyle="1" w:styleId="DBA25F150BFC483CB1B49F10F37ECC1E">
    <w:name w:val="DBA25F150BFC483CB1B49F10F37ECC1E"/>
    <w:rsid w:val="00311F0E"/>
  </w:style>
  <w:style w:type="paragraph" w:customStyle="1" w:styleId="778294D2C92C4205A828FB26C9CE1BEC">
    <w:name w:val="778294D2C92C4205A828FB26C9CE1BEC"/>
    <w:rsid w:val="00311F0E"/>
  </w:style>
  <w:style w:type="paragraph" w:customStyle="1" w:styleId="560046AF0B4148D8BFDB0A1D9FD7396E">
    <w:name w:val="560046AF0B4148D8BFDB0A1D9FD7396E"/>
    <w:rsid w:val="00311F0E"/>
  </w:style>
  <w:style w:type="paragraph" w:customStyle="1" w:styleId="E387165AD22641CBBC931A9AC31B6E19">
    <w:name w:val="E387165AD22641CBBC931A9AC31B6E19"/>
    <w:rsid w:val="00311F0E"/>
  </w:style>
  <w:style w:type="paragraph" w:customStyle="1" w:styleId="39435FCB00764D2DB3E688682BD0216E">
    <w:name w:val="39435FCB00764D2DB3E688682BD0216E"/>
    <w:rsid w:val="00311F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17605-C63D-4568-945F-9E3834190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1187</TotalTime>
  <Pages>5</Pages>
  <Words>2025</Words>
  <Characters>11546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Erku</dc:creator>
  <cp:keywords/>
  <dc:description/>
  <cp:lastModifiedBy>Resham Khatri</cp:lastModifiedBy>
  <cp:revision>277</cp:revision>
  <dcterms:created xsi:type="dcterms:W3CDTF">2022-03-14T02:38:00Z</dcterms:created>
  <dcterms:modified xsi:type="dcterms:W3CDTF">2023-09-21T21:52:00Z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2022-03-14T02:33:30Z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7039fe69-0d62-479a-bb40-c458f0f0fb90</vt:lpwstr>
  </property>
  <property fmtid="{D5CDD505-2E9C-101B-9397-08002B2CF9AE}" pid="8" name="MSIP_Label_0f488380-630a-4f55-a077-a19445e3f360_ContentBits">
    <vt:lpwstr>0</vt:lpwstr>
  </property>
</Properties>
</file>