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ACA84" w14:textId="6AA5E6BB" w:rsidR="00B90D20" w:rsidRDefault="00B90D20" w:rsidP="00B90D20">
      <w:pPr>
        <w:pStyle w:val="Caption"/>
        <w:rPr>
          <w:rFonts w:cstheme="minorHAnsi"/>
          <w:b/>
          <w:bCs/>
          <w:i w:val="0"/>
          <w:iCs w:val="0"/>
          <w:color w:val="auto"/>
          <w:sz w:val="24"/>
          <w:szCs w:val="24"/>
        </w:rPr>
      </w:pPr>
      <w:bookmarkStart w:id="0" w:name="_Ref101364753"/>
      <w:r>
        <w:rPr>
          <w:rFonts w:cstheme="minorHAnsi"/>
          <w:b/>
          <w:bCs/>
          <w:i w:val="0"/>
          <w:iCs w:val="0"/>
          <w:color w:val="auto"/>
          <w:sz w:val="24"/>
          <w:szCs w:val="24"/>
        </w:rPr>
        <w:t xml:space="preserve">Supplementary materials </w:t>
      </w:r>
    </w:p>
    <w:p w14:paraId="5EE3444E" w14:textId="77777777" w:rsidR="001078B1" w:rsidRDefault="009659C9" w:rsidP="009659C9">
      <w:pPr>
        <w:rPr>
          <w:b/>
          <w:bCs/>
          <w:color w:val="000000" w:themeColor="text1"/>
          <w:sz w:val="24"/>
          <w:szCs w:val="24"/>
        </w:rPr>
      </w:pPr>
      <w:r w:rsidRPr="009659C9">
        <w:rPr>
          <w:b/>
          <w:bCs/>
          <w:color w:val="000000" w:themeColor="text1"/>
          <w:sz w:val="24"/>
          <w:szCs w:val="24"/>
        </w:rPr>
        <w:t>Supplementary section 1</w:t>
      </w:r>
    </w:p>
    <w:p w14:paraId="7991903D" w14:textId="05EC8CD4" w:rsidR="009659C9" w:rsidRDefault="009659C9" w:rsidP="009659C9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Key g</w:t>
      </w:r>
      <w:r w:rsidRPr="009659C9">
        <w:rPr>
          <w:b/>
          <w:bCs/>
          <w:color w:val="000000" w:themeColor="text1"/>
          <w:sz w:val="24"/>
          <w:szCs w:val="24"/>
        </w:rPr>
        <w:t>uidance documents to support development of statements for Phase 1 Delphi</w:t>
      </w:r>
    </w:p>
    <w:p w14:paraId="50500541" w14:textId="77777777" w:rsidR="009659C9" w:rsidRDefault="009659C9" w:rsidP="009659C9">
      <w:pPr>
        <w:rPr>
          <w:b/>
          <w:bCs/>
          <w:color w:val="000000" w:themeColor="text1"/>
          <w:sz w:val="24"/>
          <w:szCs w:val="24"/>
        </w:rPr>
      </w:pPr>
    </w:p>
    <w:p w14:paraId="0F2DDDC7" w14:textId="03E7D047" w:rsidR="009659C9" w:rsidRPr="009659C9" w:rsidRDefault="009659C9" w:rsidP="009659C9">
      <w:pPr>
        <w:rPr>
          <w:i/>
          <w:iCs/>
          <w:color w:val="000000" w:themeColor="text1"/>
          <w:sz w:val="24"/>
          <w:szCs w:val="24"/>
        </w:rPr>
      </w:pPr>
      <w:r w:rsidRPr="009659C9">
        <w:rPr>
          <w:i/>
          <w:iCs/>
          <w:color w:val="000000" w:themeColor="text1"/>
          <w:sz w:val="24"/>
          <w:szCs w:val="24"/>
        </w:rPr>
        <w:t>General management</w:t>
      </w:r>
    </w:p>
    <w:p w14:paraId="41FAE6DF" w14:textId="77777777" w:rsidR="009659C9" w:rsidRPr="009659C9" w:rsidRDefault="009659C9" w:rsidP="009659C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American Society of Hematology (ASH 2020) </w:t>
      </w:r>
    </w:p>
    <w:p w14:paraId="5177CD01" w14:textId="77777777" w:rsidR="009659C9" w:rsidRPr="009659C9" w:rsidRDefault="009659C9" w:rsidP="009659C9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Guidelines for management of venous thromboembolism: treatment of deep vein thrombosis and pulmonary embolism</w:t>
      </w:r>
    </w:p>
    <w:p w14:paraId="7C0090F4" w14:textId="77777777" w:rsidR="009659C9" w:rsidRPr="009659C9" w:rsidRDefault="009659C9" w:rsidP="009659C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The National Institute for Health and Care Excellence (NICE 2020) </w:t>
      </w:r>
    </w:p>
    <w:p w14:paraId="3CC5C891" w14:textId="77777777" w:rsidR="009659C9" w:rsidRPr="009659C9" w:rsidRDefault="009659C9" w:rsidP="009659C9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Venous thromboembolic diseases: diagnosis, management and thrombophilia testing</w:t>
      </w:r>
    </w:p>
    <w:p w14:paraId="0AAC3A1F" w14:textId="77777777" w:rsidR="009659C9" w:rsidRPr="009659C9" w:rsidRDefault="009659C9" w:rsidP="009659C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>The American College of Chest Physicians (</w:t>
      </w:r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  <w:t xml:space="preserve">CHEST 2021) </w:t>
      </w:r>
    </w:p>
    <w:p w14:paraId="0C3E69C4" w14:textId="77777777" w:rsidR="009659C9" w:rsidRPr="009659C9" w:rsidRDefault="009659C9" w:rsidP="009659C9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Antithrombotic Therapy for VTE Disease: Second Update of the CHEST Guideline and Expert Panel Report – Executive Summary</w:t>
      </w:r>
    </w:p>
    <w:p w14:paraId="516C4803" w14:textId="77777777" w:rsidR="009659C9" w:rsidRPr="009659C9" w:rsidRDefault="009659C9" w:rsidP="009659C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>European Society of Cardiology (ESC 2019)</w:t>
      </w:r>
    </w:p>
    <w:p w14:paraId="421383B1" w14:textId="77777777" w:rsidR="009659C9" w:rsidRPr="009659C9" w:rsidRDefault="009659C9" w:rsidP="009659C9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Guidelines for the diagnosis and management of acute pulmonary embolism developed in collaboration with the European Respiratory Society (ERS)</w:t>
      </w:r>
    </w:p>
    <w:p w14:paraId="1B6D6D88" w14:textId="7525F234" w:rsidR="009659C9" w:rsidRPr="009659C9" w:rsidRDefault="009659C9" w:rsidP="009659C9">
      <w:pPr>
        <w:rPr>
          <w:i/>
          <w:iCs/>
          <w:color w:val="000000" w:themeColor="text1"/>
          <w:sz w:val="24"/>
          <w:szCs w:val="24"/>
        </w:rPr>
      </w:pPr>
    </w:p>
    <w:p w14:paraId="4BC9AE59" w14:textId="3BDA8585" w:rsidR="009659C9" w:rsidRPr="009659C9" w:rsidRDefault="009659C9" w:rsidP="009659C9">
      <w:pPr>
        <w:rPr>
          <w:i/>
          <w:iCs/>
          <w:color w:val="000000" w:themeColor="text1"/>
          <w:sz w:val="24"/>
          <w:szCs w:val="24"/>
        </w:rPr>
      </w:pPr>
      <w:r w:rsidRPr="009659C9">
        <w:rPr>
          <w:i/>
          <w:iCs/>
          <w:color w:val="000000" w:themeColor="text1"/>
          <w:sz w:val="24"/>
          <w:szCs w:val="24"/>
        </w:rPr>
        <w:t>Elderly populations</w:t>
      </w:r>
    </w:p>
    <w:p w14:paraId="58FF5A3E" w14:textId="77777777" w:rsidR="009659C9" w:rsidRPr="009659C9" w:rsidRDefault="009659C9" w:rsidP="009659C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Review – Roberti </w:t>
      </w:r>
      <w:r w:rsidRPr="009659C9"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  <w:kern w:val="24"/>
          <w:sz w:val="22"/>
          <w:szCs w:val="22"/>
          <w:lang w:val="en-US"/>
        </w:rPr>
        <w:t>et al.</w:t>
      </w:r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 (2021)</w:t>
      </w:r>
    </w:p>
    <w:p w14:paraId="393826A8" w14:textId="7AD417AF" w:rsidR="009659C9" w:rsidRPr="009659C9" w:rsidRDefault="009659C9" w:rsidP="009659C9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Direct Oral Anticoagulants: From</w:t>
      </w:r>
      <w:r w:rsidRPr="009659C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659C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Randomized Clinical Trials to</w:t>
      </w:r>
      <w:r w:rsidRPr="009659C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659C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Real-World Clinical Practice. Frontiers in pharmacology, 12, 684638.</w:t>
      </w:r>
    </w:p>
    <w:p w14:paraId="3A2FD505" w14:textId="77777777" w:rsidR="009659C9" w:rsidRPr="009659C9" w:rsidRDefault="009659C9" w:rsidP="009659C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Review -Gross &amp; Chan (2021). </w:t>
      </w:r>
      <w:r w:rsidRPr="009659C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Thromboembolism in older adults. Frontiers in medicine, 7, 470016</w:t>
      </w:r>
    </w:p>
    <w:p w14:paraId="580C006C" w14:textId="77777777" w:rsidR="009659C9" w:rsidRPr="009659C9" w:rsidRDefault="009659C9" w:rsidP="009659C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Review – Li </w:t>
      </w:r>
      <w:proofErr w:type="spellStart"/>
      <w:r w:rsidRPr="009659C9"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  <w:kern w:val="24"/>
          <w:sz w:val="22"/>
          <w:szCs w:val="22"/>
          <w:lang w:val="en-US"/>
        </w:rPr>
        <w:t>el</w:t>
      </w:r>
      <w:proofErr w:type="spellEnd"/>
      <w:r w:rsidRPr="009659C9"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  <w:kern w:val="24"/>
          <w:sz w:val="22"/>
          <w:szCs w:val="22"/>
          <w:lang w:val="en-US"/>
        </w:rPr>
        <w:t xml:space="preserve"> al. </w:t>
      </w:r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(2016). </w:t>
      </w:r>
    </w:p>
    <w:p w14:paraId="5F7926BE" w14:textId="77777777" w:rsidR="009659C9" w:rsidRPr="009659C9" w:rsidRDefault="009659C9" w:rsidP="009659C9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Use of Direct Oral Anticoagulants in Special Populations. Hematology/oncology clinics of North America, 30(5), 1053–1071.</w:t>
      </w:r>
    </w:p>
    <w:p w14:paraId="45D03C5C" w14:textId="77777777" w:rsidR="009659C9" w:rsidRPr="009659C9" w:rsidRDefault="009659C9" w:rsidP="009659C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Review – </w:t>
      </w:r>
      <w:proofErr w:type="spellStart"/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>Boey</w:t>
      </w:r>
      <w:proofErr w:type="spellEnd"/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 &amp; Gallus (2016)</w:t>
      </w:r>
    </w:p>
    <w:p w14:paraId="60A8807E" w14:textId="77777777" w:rsidR="009659C9" w:rsidRPr="009659C9" w:rsidRDefault="009659C9" w:rsidP="009659C9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Drug Treatment of Venous Thromboembolism in the Elderly</w:t>
      </w:r>
    </w:p>
    <w:p w14:paraId="494117CE" w14:textId="39700641" w:rsidR="009659C9" w:rsidRPr="009659C9" w:rsidRDefault="009659C9" w:rsidP="009659C9">
      <w:pPr>
        <w:rPr>
          <w:b/>
          <w:bCs/>
          <w:color w:val="000000" w:themeColor="text1"/>
          <w:sz w:val="24"/>
          <w:szCs w:val="24"/>
        </w:rPr>
      </w:pPr>
    </w:p>
    <w:p w14:paraId="19ACCD19" w14:textId="3426D099" w:rsidR="009659C9" w:rsidRPr="009659C9" w:rsidRDefault="009659C9" w:rsidP="009659C9">
      <w:pPr>
        <w:rPr>
          <w:i/>
          <w:iCs/>
          <w:color w:val="000000" w:themeColor="text1"/>
          <w:sz w:val="24"/>
          <w:szCs w:val="24"/>
        </w:rPr>
      </w:pPr>
      <w:r w:rsidRPr="009659C9">
        <w:rPr>
          <w:i/>
          <w:iCs/>
          <w:color w:val="000000" w:themeColor="text1"/>
          <w:sz w:val="24"/>
          <w:szCs w:val="24"/>
        </w:rPr>
        <w:t>Renally impaired populations</w:t>
      </w:r>
    </w:p>
    <w:p w14:paraId="30C8BC0D" w14:textId="77777777" w:rsidR="009659C9" w:rsidRPr="009659C9" w:rsidRDefault="009659C9" w:rsidP="009659C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The National Institute for Health and Care Excellence (NICE 2020) </w:t>
      </w:r>
    </w:p>
    <w:p w14:paraId="1FE30A8D" w14:textId="77777777" w:rsidR="009659C9" w:rsidRPr="009659C9" w:rsidRDefault="009659C9" w:rsidP="009659C9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Venous thromboembolic diseases: diagnosis, management and thrombophilia testing</w:t>
      </w:r>
    </w:p>
    <w:p w14:paraId="6418962B" w14:textId="77777777" w:rsidR="009659C9" w:rsidRPr="009659C9" w:rsidRDefault="009659C9" w:rsidP="009659C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>Medicines &amp; Healthcare products Regulatory Agency guidance (2020)</w:t>
      </w:r>
    </w:p>
    <w:p w14:paraId="1E45CC62" w14:textId="77777777" w:rsidR="009659C9" w:rsidRPr="009659C9" w:rsidRDefault="009659C9" w:rsidP="009659C9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Drug safety update: </w:t>
      </w:r>
      <w:r w:rsidRPr="009659C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Direct-acting oral anticoagulants (DOACs): reminder of bleeding risk, including availability of reversal agents</w:t>
      </w:r>
    </w:p>
    <w:p w14:paraId="76BEA07E" w14:textId="77777777" w:rsidR="009659C9" w:rsidRPr="009659C9" w:rsidRDefault="009659C9" w:rsidP="009659C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Review – Li </w:t>
      </w:r>
      <w:proofErr w:type="spellStart"/>
      <w:r w:rsidRPr="009659C9"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  <w:kern w:val="24"/>
          <w:sz w:val="22"/>
          <w:szCs w:val="22"/>
          <w:lang w:val="en-US"/>
        </w:rPr>
        <w:t>el</w:t>
      </w:r>
      <w:proofErr w:type="spellEnd"/>
      <w:r w:rsidRPr="009659C9"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  <w:kern w:val="24"/>
          <w:sz w:val="22"/>
          <w:szCs w:val="22"/>
          <w:lang w:val="en-US"/>
        </w:rPr>
        <w:t xml:space="preserve"> al. </w:t>
      </w:r>
      <w:r w:rsidRPr="009659C9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>(2016)</w:t>
      </w:r>
    </w:p>
    <w:p w14:paraId="0A1FFA43" w14:textId="77777777" w:rsidR="009659C9" w:rsidRPr="009659C9" w:rsidRDefault="009659C9" w:rsidP="009659C9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59C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Use of Direct Oral Anticoagulants in Special Populations. Hematology/oncology clinics of North America, 30(5), 1053–1071.</w:t>
      </w:r>
    </w:p>
    <w:p w14:paraId="501D54A6" w14:textId="0FB2509A" w:rsidR="009659C9" w:rsidRPr="009659C9" w:rsidRDefault="009659C9" w:rsidP="009659C9">
      <w:pPr>
        <w:rPr>
          <w:b/>
          <w:bCs/>
          <w:color w:val="000000" w:themeColor="text1"/>
          <w:sz w:val="24"/>
          <w:szCs w:val="24"/>
        </w:rPr>
      </w:pPr>
    </w:p>
    <w:p w14:paraId="46CADACB" w14:textId="64BE98FF" w:rsidR="009659C9" w:rsidRPr="001078B1" w:rsidRDefault="009659C9" w:rsidP="009659C9">
      <w:pPr>
        <w:rPr>
          <w:i/>
          <w:iCs/>
          <w:color w:val="000000" w:themeColor="text1"/>
          <w:sz w:val="24"/>
          <w:szCs w:val="24"/>
        </w:rPr>
      </w:pPr>
      <w:r w:rsidRPr="001078B1">
        <w:rPr>
          <w:i/>
          <w:iCs/>
          <w:color w:val="000000" w:themeColor="text1"/>
          <w:sz w:val="24"/>
          <w:szCs w:val="24"/>
        </w:rPr>
        <w:t>Obese populations</w:t>
      </w:r>
    </w:p>
    <w:p w14:paraId="2C693F12" w14:textId="77777777" w:rsidR="009659C9" w:rsidRPr="001078B1" w:rsidRDefault="009659C9" w:rsidP="001078B1">
      <w:pPr>
        <w:pStyle w:val="NormalWeb"/>
        <w:numPr>
          <w:ilvl w:val="0"/>
          <w:numId w:val="1"/>
        </w:numPr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International Society on Thrombosis and </w:t>
      </w:r>
      <w:proofErr w:type="spellStart"/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>Haemostasis</w:t>
      </w:r>
      <w:proofErr w:type="spellEnd"/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  (ISTH 2021)</w:t>
      </w:r>
    </w:p>
    <w:p w14:paraId="5CA54E42" w14:textId="77777777" w:rsidR="009659C9" w:rsidRPr="001078B1" w:rsidRDefault="009659C9" w:rsidP="009659C9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Use of direct oral anticoagulants in patients with obesity for treatment and prevention of venous thromboembolism: Updated communication from the ISTH SSC Subcommittee on Control of Anticoagulation</w:t>
      </w:r>
    </w:p>
    <w:p w14:paraId="4CB82712" w14:textId="77777777" w:rsidR="009659C9" w:rsidRPr="001078B1" w:rsidRDefault="009659C9" w:rsidP="001078B1">
      <w:pPr>
        <w:pStyle w:val="NormalWeb"/>
        <w:numPr>
          <w:ilvl w:val="0"/>
          <w:numId w:val="1"/>
        </w:numPr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Review - </w:t>
      </w:r>
      <w:proofErr w:type="spellStart"/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>Sebaaly</w:t>
      </w:r>
      <w:proofErr w:type="spellEnd"/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 &amp; Kelley. (2020). </w:t>
      </w:r>
    </w:p>
    <w:p w14:paraId="4FBFC95C" w14:textId="77777777" w:rsidR="009659C9" w:rsidRPr="001078B1" w:rsidRDefault="009659C9" w:rsidP="009659C9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lastRenderedPageBreak/>
        <w:t>Direct Oral Anticoagulants in Obesity: An Updated Literature Review. The Annals of pharmacotherapy, 54(11), 1144–1158.</w:t>
      </w:r>
    </w:p>
    <w:p w14:paraId="7F005D27" w14:textId="74ADC928" w:rsidR="009659C9" w:rsidRPr="001078B1" w:rsidRDefault="009659C9" w:rsidP="009659C9">
      <w:pPr>
        <w:rPr>
          <w:rFonts w:cstheme="minorHAnsi"/>
          <w:b/>
          <w:bCs/>
          <w:color w:val="000000" w:themeColor="text1"/>
        </w:rPr>
      </w:pPr>
    </w:p>
    <w:p w14:paraId="0FC1CF57" w14:textId="2BC9838D" w:rsidR="009659C9" w:rsidRPr="001078B1" w:rsidRDefault="009659C9" w:rsidP="009659C9">
      <w:pPr>
        <w:rPr>
          <w:i/>
          <w:iCs/>
          <w:color w:val="000000" w:themeColor="text1"/>
          <w:sz w:val="24"/>
          <w:szCs w:val="24"/>
        </w:rPr>
      </w:pPr>
      <w:r w:rsidRPr="001078B1">
        <w:rPr>
          <w:i/>
          <w:iCs/>
          <w:color w:val="000000" w:themeColor="text1"/>
          <w:sz w:val="24"/>
          <w:szCs w:val="24"/>
        </w:rPr>
        <w:t>Patients with cancer</w:t>
      </w:r>
    </w:p>
    <w:p w14:paraId="53FE884C" w14:textId="77777777" w:rsidR="009659C9" w:rsidRPr="001078B1" w:rsidRDefault="009659C9" w:rsidP="001078B1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>American Society of Hematology (ASH 2021)</w:t>
      </w:r>
    </w:p>
    <w:p w14:paraId="66BFA30C" w14:textId="77777777" w:rsidR="009659C9" w:rsidRPr="001078B1" w:rsidRDefault="009659C9" w:rsidP="009659C9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Guidelines for management of venous thromboembolism: prevention and treatment in patients with cancer</w:t>
      </w:r>
    </w:p>
    <w:p w14:paraId="60DF0296" w14:textId="77777777" w:rsidR="009659C9" w:rsidRPr="001078B1" w:rsidRDefault="009659C9" w:rsidP="001078B1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The National Institute for Health and Care Excellence (NICE 2020) </w:t>
      </w:r>
    </w:p>
    <w:p w14:paraId="66731EAA" w14:textId="77777777" w:rsidR="009659C9" w:rsidRPr="001078B1" w:rsidRDefault="009659C9" w:rsidP="009659C9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Venous thromboembolic diseases: diagnosis, management and thrombophilia testing</w:t>
      </w:r>
    </w:p>
    <w:p w14:paraId="696C485B" w14:textId="77777777" w:rsidR="009659C9" w:rsidRPr="001078B1" w:rsidRDefault="009659C9" w:rsidP="001078B1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>The American College of Chest Physicians (</w:t>
      </w:r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</w:rPr>
        <w:t xml:space="preserve">CHEST 2021) </w:t>
      </w:r>
    </w:p>
    <w:p w14:paraId="7A20BAC6" w14:textId="77777777" w:rsidR="009659C9" w:rsidRPr="001078B1" w:rsidRDefault="009659C9" w:rsidP="009659C9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Antithrombotic Therapy for VTE Disease: Second Update of the CHEST Guideline and Expert Panel Report – Executive Summary</w:t>
      </w:r>
    </w:p>
    <w:p w14:paraId="54AA3776" w14:textId="77777777" w:rsidR="009659C9" w:rsidRPr="001078B1" w:rsidRDefault="009659C9" w:rsidP="001078B1">
      <w:pPr>
        <w:pStyle w:val="NormalWeb"/>
        <w:numPr>
          <w:ilvl w:val="0"/>
          <w:numId w:val="1"/>
        </w:numPr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International Society on Thrombosis and </w:t>
      </w:r>
      <w:proofErr w:type="spellStart"/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>Haemostasis</w:t>
      </w:r>
      <w:proofErr w:type="spellEnd"/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 (ISTH 2019)</w:t>
      </w:r>
    </w:p>
    <w:p w14:paraId="211E9BAF" w14:textId="77777777" w:rsidR="009659C9" w:rsidRPr="001078B1" w:rsidRDefault="009659C9" w:rsidP="009659C9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 </w:t>
      </w:r>
      <w:r w:rsidRPr="001078B1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International clinical practice guidelines for the treatment and prophylaxis of venous thromboembolism in patients with cancer</w:t>
      </w:r>
    </w:p>
    <w:p w14:paraId="2E475F0B" w14:textId="77777777" w:rsidR="009659C9" w:rsidRPr="001078B1" w:rsidRDefault="009659C9" w:rsidP="001078B1">
      <w:pPr>
        <w:pStyle w:val="NormalWeb"/>
        <w:numPr>
          <w:ilvl w:val="0"/>
          <w:numId w:val="1"/>
        </w:numPr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Spanish Society of Medical Oncology (SSMO 2019) </w:t>
      </w:r>
    </w:p>
    <w:p w14:paraId="0315F401" w14:textId="77777777" w:rsidR="009659C9" w:rsidRPr="001078B1" w:rsidRDefault="009659C9" w:rsidP="009659C9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Clinical guideline of venous thromboembolism (VTE) and cancer</w:t>
      </w:r>
    </w:p>
    <w:p w14:paraId="7C3E7704" w14:textId="77777777" w:rsidR="009659C9" w:rsidRPr="001078B1" w:rsidRDefault="009659C9" w:rsidP="001078B1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>National Comprehensive Cancer Network (NCCN 2020)</w:t>
      </w:r>
    </w:p>
    <w:p w14:paraId="0368DE8D" w14:textId="77777777" w:rsidR="009659C9" w:rsidRPr="001078B1" w:rsidRDefault="009659C9" w:rsidP="009659C9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Cancer-associated venous thromboembolic disease</w:t>
      </w:r>
    </w:p>
    <w:p w14:paraId="692E88A2" w14:textId="77777777" w:rsidR="009659C9" w:rsidRPr="001078B1" w:rsidRDefault="009659C9" w:rsidP="001078B1">
      <w:pPr>
        <w:pStyle w:val="NormalWeb"/>
        <w:numPr>
          <w:ilvl w:val="0"/>
          <w:numId w:val="1"/>
        </w:numPr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American Society of Clinical Oncology clinical guidelines (ASCO 2019) </w:t>
      </w:r>
    </w:p>
    <w:p w14:paraId="393C9EA5" w14:textId="77777777" w:rsidR="009659C9" w:rsidRPr="001078B1" w:rsidRDefault="009659C9" w:rsidP="009659C9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Venous Thromboembolism Prophylaxis and Treatment in Patients With Cancer: ASCO Clinical Practice Guideline Update</w:t>
      </w:r>
    </w:p>
    <w:p w14:paraId="659EFA14" w14:textId="77777777" w:rsidR="009659C9" w:rsidRPr="001078B1" w:rsidRDefault="009659C9" w:rsidP="001078B1">
      <w:pPr>
        <w:pStyle w:val="NormalWeb"/>
        <w:numPr>
          <w:ilvl w:val="0"/>
          <w:numId w:val="1"/>
        </w:numPr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2"/>
          <w:szCs w:val="22"/>
          <w:lang w:val="en-US"/>
        </w:rPr>
        <w:t xml:space="preserve">European Society for Medical Oncology (2011) </w:t>
      </w:r>
    </w:p>
    <w:p w14:paraId="1EECBED0" w14:textId="77777777" w:rsidR="009659C9" w:rsidRPr="001078B1" w:rsidRDefault="009659C9" w:rsidP="009659C9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78B1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US"/>
        </w:rPr>
        <w:t>Management of venous thromboembolism (VTE) in cancer patients: ESMO Clinical Practice Guidelines</w:t>
      </w:r>
    </w:p>
    <w:p w14:paraId="11677F17" w14:textId="77777777" w:rsidR="009659C9" w:rsidRPr="009659C9" w:rsidRDefault="009659C9" w:rsidP="009659C9">
      <w:pPr>
        <w:rPr>
          <w:color w:val="000000" w:themeColor="text1"/>
          <w:sz w:val="24"/>
          <w:szCs w:val="24"/>
        </w:rPr>
      </w:pPr>
    </w:p>
    <w:p w14:paraId="6A613314" w14:textId="77777777" w:rsidR="009659C9" w:rsidRPr="009659C9" w:rsidRDefault="009659C9" w:rsidP="009659C9">
      <w:pPr>
        <w:rPr>
          <w:b/>
          <w:bCs/>
          <w:color w:val="000000" w:themeColor="text1"/>
          <w:sz w:val="24"/>
          <w:szCs w:val="24"/>
        </w:rPr>
      </w:pPr>
    </w:p>
    <w:p w14:paraId="18A08731" w14:textId="77777777" w:rsidR="001078B1" w:rsidRDefault="001078B1" w:rsidP="009659C9">
      <w:pPr>
        <w:rPr>
          <w:b/>
          <w:bCs/>
          <w:color w:val="000000" w:themeColor="text1"/>
          <w:sz w:val="24"/>
          <w:szCs w:val="24"/>
        </w:rPr>
      </w:pPr>
    </w:p>
    <w:p w14:paraId="7DBC3334" w14:textId="77777777" w:rsidR="001078B1" w:rsidRDefault="001078B1" w:rsidP="009659C9">
      <w:pPr>
        <w:rPr>
          <w:b/>
          <w:bCs/>
          <w:color w:val="000000" w:themeColor="text1"/>
          <w:sz w:val="24"/>
          <w:szCs w:val="24"/>
        </w:rPr>
      </w:pPr>
    </w:p>
    <w:p w14:paraId="3DDDC378" w14:textId="77777777" w:rsidR="001078B1" w:rsidRDefault="001078B1" w:rsidP="009659C9">
      <w:pPr>
        <w:rPr>
          <w:b/>
          <w:bCs/>
          <w:color w:val="000000" w:themeColor="text1"/>
          <w:sz w:val="24"/>
          <w:szCs w:val="24"/>
        </w:rPr>
      </w:pPr>
    </w:p>
    <w:p w14:paraId="4FE4A870" w14:textId="77777777" w:rsidR="001078B1" w:rsidRDefault="001078B1" w:rsidP="009659C9">
      <w:pPr>
        <w:rPr>
          <w:b/>
          <w:bCs/>
          <w:color w:val="000000" w:themeColor="text1"/>
          <w:sz w:val="24"/>
          <w:szCs w:val="24"/>
        </w:rPr>
      </w:pPr>
    </w:p>
    <w:p w14:paraId="3F2FFB51" w14:textId="77777777" w:rsidR="001078B1" w:rsidRDefault="001078B1" w:rsidP="009659C9">
      <w:pPr>
        <w:rPr>
          <w:b/>
          <w:bCs/>
          <w:color w:val="000000" w:themeColor="text1"/>
          <w:sz w:val="24"/>
          <w:szCs w:val="24"/>
        </w:rPr>
      </w:pPr>
    </w:p>
    <w:p w14:paraId="75FC06A6" w14:textId="77777777" w:rsidR="001078B1" w:rsidRDefault="001078B1" w:rsidP="009659C9">
      <w:pPr>
        <w:rPr>
          <w:b/>
          <w:bCs/>
          <w:color w:val="000000" w:themeColor="text1"/>
          <w:sz w:val="24"/>
          <w:szCs w:val="24"/>
        </w:rPr>
      </w:pPr>
    </w:p>
    <w:p w14:paraId="43A82C07" w14:textId="77777777" w:rsidR="001078B1" w:rsidRDefault="001078B1" w:rsidP="009659C9">
      <w:pPr>
        <w:rPr>
          <w:b/>
          <w:bCs/>
          <w:color w:val="000000" w:themeColor="text1"/>
          <w:sz w:val="24"/>
          <w:szCs w:val="24"/>
        </w:rPr>
      </w:pPr>
    </w:p>
    <w:p w14:paraId="19098FD7" w14:textId="77777777" w:rsidR="001078B1" w:rsidRDefault="001078B1" w:rsidP="009659C9">
      <w:pPr>
        <w:rPr>
          <w:b/>
          <w:bCs/>
          <w:color w:val="000000" w:themeColor="text1"/>
          <w:sz w:val="24"/>
          <w:szCs w:val="24"/>
        </w:rPr>
      </w:pPr>
    </w:p>
    <w:p w14:paraId="0DCF6747" w14:textId="77777777" w:rsidR="001078B1" w:rsidRDefault="001078B1" w:rsidP="009659C9">
      <w:pPr>
        <w:rPr>
          <w:b/>
          <w:bCs/>
          <w:color w:val="000000" w:themeColor="text1"/>
          <w:sz w:val="24"/>
          <w:szCs w:val="24"/>
        </w:rPr>
      </w:pPr>
    </w:p>
    <w:p w14:paraId="3AAEF39C" w14:textId="77777777" w:rsidR="001078B1" w:rsidRDefault="001078B1" w:rsidP="009659C9">
      <w:pPr>
        <w:rPr>
          <w:b/>
          <w:bCs/>
          <w:color w:val="000000" w:themeColor="text1"/>
          <w:sz w:val="24"/>
          <w:szCs w:val="24"/>
        </w:rPr>
      </w:pPr>
    </w:p>
    <w:p w14:paraId="5E5396AC" w14:textId="77777777" w:rsidR="001078B1" w:rsidRDefault="001078B1" w:rsidP="009659C9">
      <w:pPr>
        <w:rPr>
          <w:b/>
          <w:bCs/>
          <w:color w:val="000000" w:themeColor="text1"/>
          <w:sz w:val="24"/>
          <w:szCs w:val="24"/>
        </w:rPr>
      </w:pPr>
    </w:p>
    <w:p w14:paraId="62A20EEF" w14:textId="77777777" w:rsidR="001078B1" w:rsidRDefault="001078B1" w:rsidP="009659C9">
      <w:pPr>
        <w:rPr>
          <w:b/>
          <w:bCs/>
          <w:color w:val="000000" w:themeColor="text1"/>
          <w:sz w:val="24"/>
          <w:szCs w:val="24"/>
        </w:rPr>
      </w:pPr>
    </w:p>
    <w:bookmarkEnd w:id="0"/>
    <w:p w14:paraId="31CFFADA" w14:textId="77777777" w:rsidR="004A5CCC" w:rsidRDefault="004A5CCC"/>
    <w:sectPr w:rsidR="004A5C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E60AA"/>
    <w:multiLevelType w:val="hybridMultilevel"/>
    <w:tmpl w:val="E1DE8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208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20"/>
    <w:rsid w:val="001078B1"/>
    <w:rsid w:val="00164802"/>
    <w:rsid w:val="00186357"/>
    <w:rsid w:val="002222D3"/>
    <w:rsid w:val="0024613A"/>
    <w:rsid w:val="00270D7A"/>
    <w:rsid w:val="002B04D4"/>
    <w:rsid w:val="004853EA"/>
    <w:rsid w:val="004A5CCC"/>
    <w:rsid w:val="005F03CD"/>
    <w:rsid w:val="007A2465"/>
    <w:rsid w:val="007E5458"/>
    <w:rsid w:val="008931D4"/>
    <w:rsid w:val="008A175D"/>
    <w:rsid w:val="008C12BE"/>
    <w:rsid w:val="00927621"/>
    <w:rsid w:val="009659C9"/>
    <w:rsid w:val="009B1A0A"/>
    <w:rsid w:val="00B90D20"/>
    <w:rsid w:val="00BC7E01"/>
    <w:rsid w:val="00C7688A"/>
    <w:rsid w:val="00CA6F99"/>
    <w:rsid w:val="00E7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2E0E5"/>
  <w15:chartTrackingRefBased/>
  <w15:docId w15:val="{AA403FF4-D6E2-45A7-A7F5-F58F93F4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B90D20"/>
    <w:pPr>
      <w:spacing w:after="80" w:line="240" w:lineRule="auto"/>
    </w:pPr>
    <w:rPr>
      <w:color w:val="464A5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3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73F8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3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73F87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3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F2A59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3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73F8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853EA"/>
    <w:rPr>
      <w:rFonts w:asciiTheme="majorHAnsi" w:eastAsiaTheme="majorEastAsia" w:hAnsiTheme="majorHAnsi" w:cstheme="majorBidi"/>
      <w:color w:val="473F87" w:themeColor="accent1" w:themeShade="BF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4853EA"/>
    <w:rPr>
      <w:rFonts w:asciiTheme="majorHAnsi" w:eastAsiaTheme="majorEastAsia" w:hAnsiTheme="majorHAnsi" w:cstheme="majorBidi"/>
      <w:color w:val="473F87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3EA"/>
    <w:rPr>
      <w:rFonts w:asciiTheme="majorHAnsi" w:eastAsiaTheme="majorEastAsia" w:hAnsiTheme="majorHAnsi" w:cstheme="majorBidi"/>
      <w:color w:val="2F2A59" w:themeColor="accent1" w:themeShade="7F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4853EA"/>
    <w:rPr>
      <w:rFonts w:asciiTheme="majorHAnsi" w:eastAsiaTheme="majorEastAsia" w:hAnsiTheme="majorHAnsi" w:cstheme="majorBidi"/>
      <w:i/>
      <w:iCs/>
      <w:color w:val="473F87" w:themeColor="accent1" w:themeShade="BF"/>
    </w:rPr>
  </w:style>
  <w:style w:type="character" w:styleId="Hyperlink">
    <w:name w:val="Hyperlink"/>
    <w:uiPriority w:val="99"/>
    <w:rsid w:val="004853EA"/>
    <w:rPr>
      <w:color w:val="0000FF"/>
      <w:u w:val="single"/>
    </w:rPr>
  </w:style>
  <w:style w:type="paragraph" w:customStyle="1" w:styleId="NICEnormal">
    <w:name w:val="NICE normal"/>
    <w:link w:val="NICEnormalChar"/>
    <w:rsid w:val="004853EA"/>
    <w:pPr>
      <w:spacing w:after="240" w:line="360" w:lineRule="auto"/>
    </w:pPr>
    <w:rPr>
      <w:rFonts w:ascii="Arial" w:eastAsia="Times New Roman" w:hAnsi="Arial"/>
      <w:sz w:val="24"/>
      <w:szCs w:val="24"/>
    </w:rPr>
  </w:style>
  <w:style w:type="character" w:customStyle="1" w:styleId="NICEnormalChar">
    <w:name w:val="NICE normal Char"/>
    <w:link w:val="NICEnormal"/>
    <w:rsid w:val="004853EA"/>
    <w:rPr>
      <w:rFonts w:ascii="Arial" w:eastAsia="Times New Roman" w:hAnsi="Arial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853EA"/>
    <w:rPr>
      <w:i/>
      <w:iCs/>
    </w:rPr>
  </w:style>
  <w:style w:type="paragraph" w:styleId="ListParagraph">
    <w:name w:val="List Paragraph"/>
    <w:basedOn w:val="Normal"/>
    <w:uiPriority w:val="34"/>
    <w:qFormat/>
    <w:rsid w:val="008A175D"/>
    <w:pPr>
      <w:spacing w:after="0"/>
      <w:ind w:left="720"/>
      <w:contextualSpacing/>
    </w:pPr>
    <w:rPr>
      <w:rFonts w:ascii="Calibri" w:hAnsi="Calibri" w:cs="Calibri"/>
      <w:color w:val="aut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D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D20"/>
    <w:rPr>
      <w:color w:val="464A5D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B90D20"/>
    <w:pPr>
      <w:spacing w:after="200"/>
    </w:pPr>
    <w:rPr>
      <w:i/>
      <w:iCs/>
      <w:color w:val="35227C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0D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659C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HEOR_VI">
  <a:themeElements>
    <a:clrScheme name="HEOR-2012-VI">
      <a:dk1>
        <a:srgbClr val="000000"/>
      </a:dk1>
      <a:lt1>
        <a:srgbClr val="FFFFFF"/>
      </a:lt1>
      <a:dk2>
        <a:srgbClr val="35227C"/>
      </a:dk2>
      <a:lt2>
        <a:srgbClr val="676F7F"/>
      </a:lt2>
      <a:accent1>
        <a:srgbClr val="6258B1"/>
      </a:accent1>
      <a:accent2>
        <a:srgbClr val="00B2E3"/>
      </a:accent2>
      <a:accent3>
        <a:srgbClr val="002F6D"/>
      </a:accent3>
      <a:accent4>
        <a:srgbClr val="70A94F"/>
      </a:accent4>
      <a:accent5>
        <a:srgbClr val="FF6B12"/>
      </a:accent5>
      <a:accent6>
        <a:srgbClr val="CA579B"/>
      </a:accent6>
      <a:hlink>
        <a:srgbClr val="6258B1"/>
      </a:hlink>
      <a:folHlink>
        <a:srgbClr val="6258B1"/>
      </a:folHlink>
    </a:clrScheme>
    <a:fontScheme name="HEOR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HEOR Orange">
      <a:srgbClr val="FF6B12"/>
    </a:custClr>
    <a:custClr name="HEOR Red">
      <a:srgbClr val="CC112C"/>
    </a:custClr>
    <a:custClr name="HEOR Pink">
      <a:srgbClr val="CA579B"/>
    </a:custClr>
    <a:custClr name="HEOR Navy">
      <a:srgbClr val="002F6D"/>
    </a:custClr>
    <a:custClr name="HEOR Blue">
      <a:srgbClr val="2D7DE1"/>
    </a:custClr>
    <a:custClr name="HEOR Teal">
      <a:srgbClr val="005E85"/>
    </a:custClr>
    <a:custClr name="HEOR Yellow">
      <a:srgbClr val="DAE343"/>
    </a:custClr>
    <a:custClr name="HEOR Geen">
      <a:srgbClr val="00AE78"/>
    </a:custClr>
    <a:custClr name="HEOR Mink">
      <a:srgbClr val="AC979D"/>
    </a:custClr>
    <a:custClr name="HEOR Grey">
      <a:srgbClr val="676F7F"/>
    </a:custClr>
    <a:custClr name="HEOR Orange 50%">
      <a:srgbClr val="FFB588"/>
    </a:custClr>
    <a:custClr name="HEOR Red 50%">
      <a:srgbClr val="E58895"/>
    </a:custClr>
    <a:custClr name="HEOR Pink 50%">
      <a:srgbClr val="E4ABCD"/>
    </a:custClr>
    <a:custClr name="HEOR Navy 50%">
      <a:srgbClr val="7F97B6"/>
    </a:custClr>
    <a:custClr name="HEOR Blue 50%">
      <a:srgbClr val="96BEF0"/>
    </a:custClr>
    <a:custClr name="HEOR Teal 50%">
      <a:srgbClr val="7FAEC2"/>
    </a:custClr>
    <a:custClr name="HEOR Yellow 50%">
      <a:srgbClr val="ECF1A1"/>
    </a:custClr>
    <a:custClr name="HEOR Geen 50%">
      <a:srgbClr val="7FD6BB"/>
    </a:custClr>
    <a:custClr name="HEOR Mink 50%">
      <a:srgbClr val="D5CBCE"/>
    </a:custClr>
    <a:custClr name="HEOR Grey 50%">
      <a:srgbClr val="B3B7BF"/>
    </a:custClr>
    <a:custClr name="HEOR Orange 20%">
      <a:srgbClr val="FFE1D0"/>
    </a:custClr>
    <a:custClr name="HEOR Red 20%">
      <a:srgbClr val="F5CFD5"/>
    </a:custClr>
    <a:custClr name="HEOR Pink 20%">
      <a:srgbClr val="F4DDEB"/>
    </a:custClr>
    <a:custClr name="HEOR Navy 10%">
      <a:srgbClr val="E5EAF0"/>
    </a:custClr>
    <a:custClr name="HEOR Blue 20%">
      <a:srgbClr val="D5E5F9"/>
    </a:custClr>
    <a:custClr name="HEOR Teal 20%">
      <a:srgbClr val="CCDFE7"/>
    </a:custClr>
    <a:custClr name="HEOR Yellow 20%">
      <a:srgbClr val="F8F9D9"/>
    </a:custClr>
    <a:custClr name="HEOR Geen 20%">
      <a:srgbClr val="CCEFE4"/>
    </a:custClr>
    <a:custClr name="HEOR Mink 20%">
      <a:srgbClr val="EEEAEB"/>
    </a:custClr>
    <a:custClr name="HEOR Grey 20%">
      <a:srgbClr val="E1E2E5"/>
    </a:custClr>
    <a:custClr name="HEOR Orange DK">
      <a:srgbClr val="DF4602"/>
    </a:custClr>
    <a:custClr name="HEOR Red DK">
      <a:srgbClr val="AA182C"/>
    </a:custClr>
    <a:custClr name="HEOR Pink DK">
      <a:srgbClr val="9A0051"/>
    </a:custClr>
    <a:custClr name="HEOR Navy DK">
      <a:srgbClr val="002755"/>
    </a:custClr>
    <a:custClr name="HEOR Blue DK">
      <a:srgbClr val="0047BB"/>
    </a:custClr>
    <a:custClr name="HEOR Teal DK">
      <a:srgbClr val="00416B"/>
    </a:custClr>
    <a:custClr name="HEOR Yellow DK">
      <a:srgbClr val="A5AC00"/>
    </a:custClr>
    <a:custClr name="HEOR Geen DK">
      <a:srgbClr val="007A58"/>
    </a:custClr>
    <a:custClr name="HEOR Mink DK">
      <a:srgbClr val="7A6569"/>
    </a:custClr>
    <a:custClr name="HEOR Grey DK">
      <a:srgbClr val="464A5D"/>
    </a:custClr>
    <a:custClr name="100%">
      <a:srgbClr val="6258B1"/>
    </a:custClr>
    <a:custClr name="90%">
      <a:srgbClr val="7168B9"/>
    </a:custClr>
    <a:custClr name="80%">
      <a:srgbClr val="8179C1"/>
    </a:custClr>
    <a:custClr name="70%">
      <a:srgbClr val="918AC8"/>
    </a:custClr>
    <a:custClr name="60%">
      <a:srgbClr val="A19BD0"/>
    </a:custClr>
    <a:custClr name="50%">
      <a:srgbClr val="B0ABD8"/>
    </a:custClr>
    <a:custClr name="40%">
      <a:srgbClr val="C0BCE0"/>
    </a:custClr>
    <a:custClr name="30%">
      <a:srgbClr val="D0CDE7"/>
    </a:custClr>
    <a:custClr name="20%">
      <a:srgbClr val="E0DEEF"/>
    </a:custClr>
    <a:custClr name="10%">
      <a:srgbClr val="EFEEF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FDF3F-397D-48E0-9F86-F583C50CC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Matthews</dc:creator>
  <cp:keywords/>
  <dc:description/>
  <cp:lastModifiedBy>Patrice Carter</cp:lastModifiedBy>
  <cp:revision>3</cp:revision>
  <dcterms:created xsi:type="dcterms:W3CDTF">2022-11-07T15:41:00Z</dcterms:created>
  <dcterms:modified xsi:type="dcterms:W3CDTF">2022-11-07T15:45:00Z</dcterms:modified>
</cp:coreProperties>
</file>