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D9D6E" w14:textId="21FF97E5" w:rsidR="00927E75" w:rsidRDefault="00927E75" w:rsidP="00927E75">
      <w:pPr>
        <w:pStyle w:val="UnnumberedNumberedHeading1"/>
        <w:spacing w:before="0" w:line="276" w:lineRule="auto"/>
      </w:pPr>
      <w:bookmarkStart w:id="0" w:name="_Toc140071498"/>
      <w:r>
        <w:t>Additional File 7: Risk of bias of primary studies</w:t>
      </w:r>
      <w:bookmarkEnd w:id="0"/>
    </w:p>
    <w:p w14:paraId="3EDFF346" w14:textId="494767CC" w:rsidR="00221F40" w:rsidRDefault="00221F40" w:rsidP="005D2F5F">
      <w:pPr>
        <w:spacing w:line="276" w:lineRule="auto"/>
      </w:pPr>
      <w:r>
        <w:t xml:space="preserve">Review authors used various tools to assess </w:t>
      </w:r>
      <w:proofErr w:type="spellStart"/>
      <w:r>
        <w:t>RoB</w:t>
      </w:r>
      <w:proofErr w:type="spellEnd"/>
      <w:r>
        <w:t xml:space="preserve"> of primary studies, though the most common tool was </w:t>
      </w:r>
      <w:r w:rsidRPr="000B5FCB">
        <w:t>Critical Appraisal Skills Program checklist for qualitative research</w:t>
      </w:r>
      <w:r>
        <w:t xml:space="preserve">, used by 11 included reviews. All but 3 reviews assess </w:t>
      </w:r>
      <w:proofErr w:type="spellStart"/>
      <w:r>
        <w:t>RoB</w:t>
      </w:r>
      <w:proofErr w:type="spellEnd"/>
      <w:r>
        <w:t xml:space="preserve"> of included studies. Of reviews that assess </w:t>
      </w:r>
      <w:proofErr w:type="spellStart"/>
      <w:r>
        <w:t>RoB</w:t>
      </w:r>
      <w:proofErr w:type="spellEnd"/>
      <w:r>
        <w:t xml:space="preserve">, 12 report an overall </w:t>
      </w:r>
      <w:proofErr w:type="spellStart"/>
      <w:r>
        <w:t>RoB</w:t>
      </w:r>
      <w:proofErr w:type="spellEnd"/>
      <w:r>
        <w:t xml:space="preserve"> score, and 10 do not. </w:t>
      </w:r>
    </w:p>
    <w:p w14:paraId="5014BC96" w14:textId="77777777" w:rsidR="005D2F5F" w:rsidRPr="005D2F5F" w:rsidRDefault="005D2F5F" w:rsidP="005D2F5F">
      <w:pPr>
        <w:spacing w:line="276" w:lineRule="auto"/>
      </w:pPr>
    </w:p>
    <w:p w14:paraId="706D3D9B" w14:textId="77777777" w:rsidR="00927E75" w:rsidRDefault="00927E75" w:rsidP="00927E75">
      <w:pPr>
        <w:pStyle w:val="Heading3"/>
        <w:spacing w:before="0" w:line="276" w:lineRule="auto"/>
        <w:ind w:left="720" w:hanging="720"/>
      </w:pPr>
      <w:r w:rsidRPr="00647167">
        <w:t>Albert 2020</w:t>
      </w:r>
      <w:r>
        <w:t xml:space="preserve"> </w:t>
      </w:r>
      <w:r>
        <w:fldChar w:fldCharType="begin"/>
      </w:r>
      <w:r>
        <w:instrText xml:space="preserve"> ADDIN ZOTERO_ITEM CSL_CITATION {"citationID":"v2i2aE6H","properties":{"formattedCitation":"(52)","plainCitation":"(52)","noteIndex":0},"citationItems":[{"id":4677,"uris":["http://zotero.org/users/9556781/items/8WBS2SJL"],"itemData":{"id":4677,"type":"article-journal","abstract":"Background: Physical activity (PA) is vital to maintaining good health. However, WHO estimates that 60% of the world's population are inadequately active. To enhance PA, Physical Activity Referral Schemes (PARS) have been established by some countries. Objective: This study examined the functionality of the PARS process across different countries. Methods: This systematic review was performed and reported in accordance with the PRISMA guidelines. Sixteen electronic databases were searched from January 1990 to May 2020. PARS studies, published in English language and in peer-reviewed journals, that reported adherence, outcomes, disease conditions, interventions, facilitators and barriers, were included in this review. Results: Twenty-seven studies conducted across eight countries met the inclusion criteria. Most patients were referred for sedentary/inactivity reasons and supervised group-based activities was the most used intervention. Participants' average adherence rate was 77.5%. Adherence was either facilitated or hindered by type of support provided during and after intervention period. Inclusion of PA allied health specialist in the intervention enhanced positive health outcomes. Conclusion: PARS is a key driver and motivator for individuals to undertake and adhere to PA interventions. Utilization of guidelines on evidence-based interventional PA for different types of diseases, effective use of common group supervised activities and the involvement of PA specialists may aid PA adherence and foster positive health outcomes.","container-title":"Front Public Health","DOI":"10.3389/fpubh.2020.00257","ISSN":"2296-2565 (Print) 2296-2565","note":"Citation Key: Included by Hannah\nPMCID: PMC7329989","page":"257","title":"Functionality of Physical Activity Referral Schemes (PARS): A Systematic Review","volume":"8","author":[{"family":"Albert","given":"F. A."},{"family":"Crowe","given":"M. J."},{"family":"Malau-Aduli","given":"A. E. O."},{"family":"Malau-Aduli","given":"B. S."}],"issued":{"date-parts":[["2020"]]}}}],"schema":"https://github.com/citation-style-language/schema/raw/master/csl-citation.json"} </w:instrText>
      </w:r>
      <w:r>
        <w:fldChar w:fldCharType="separate"/>
      </w:r>
      <w:r w:rsidRPr="00F45A36">
        <w:rPr>
          <w:rFonts w:ascii="Calibri" w:hAnsi="Calibri" w:cs="Calibri"/>
        </w:rPr>
        <w:t>(52)</w:t>
      </w:r>
      <w:r>
        <w:fldChar w:fldCharType="end"/>
      </w:r>
      <w:r w:rsidRPr="00647167">
        <w:tab/>
      </w:r>
    </w:p>
    <w:p w14:paraId="29E14970" w14:textId="77777777" w:rsidR="00927E75" w:rsidRDefault="00927E75" w:rsidP="00927E75">
      <w:pPr>
        <w:spacing w:line="276" w:lineRule="auto"/>
        <w:rPr>
          <w:lang w:eastAsia="en-US"/>
        </w:rPr>
      </w:pPr>
      <w:r>
        <w:rPr>
          <w:lang w:eastAsia="en-US"/>
        </w:rPr>
        <w:t xml:space="preserve">This included review assessed </w:t>
      </w:r>
      <w:proofErr w:type="spellStart"/>
      <w:r>
        <w:t>RoB</w:t>
      </w:r>
      <w:proofErr w:type="spellEnd"/>
      <w:r>
        <w:rPr>
          <w:lang w:eastAsia="en-US"/>
        </w:rPr>
        <w:t xml:space="preserve"> using the </w:t>
      </w:r>
      <w:r w:rsidRPr="005E09A4">
        <w:rPr>
          <w:lang w:eastAsia="en-US"/>
        </w:rPr>
        <w:t>Quality Assessment Tool for Studies with Diverse Designs (QATSDD)</w:t>
      </w:r>
      <w:r>
        <w:rPr>
          <w:lang w:eastAsia="en-US"/>
        </w:rPr>
        <w:t xml:space="preserve"> tool. </w:t>
      </w:r>
      <w:proofErr w:type="spellStart"/>
      <w:r>
        <w:t>RoB</w:t>
      </w:r>
      <w:proofErr w:type="spellEnd"/>
      <w:r>
        <w:rPr>
          <w:lang w:eastAsia="en-US"/>
        </w:rPr>
        <w:t xml:space="preserve"> ratings for this tool can be interpreted as l</w:t>
      </w:r>
      <w:r w:rsidRPr="005E09A4">
        <w:rPr>
          <w:lang w:eastAsia="en-US"/>
        </w:rPr>
        <w:t>ow (&lt;50%), medium (50–80%), or high (&gt;80%) quality evidence.</w:t>
      </w:r>
      <w:r>
        <w:rPr>
          <w:lang w:eastAsia="en-US"/>
        </w:rPr>
        <w:t xml:space="preserve"> Below is the </w:t>
      </w:r>
      <w:proofErr w:type="spellStart"/>
      <w:r>
        <w:t>RoB</w:t>
      </w:r>
      <w:proofErr w:type="spellEnd"/>
      <w:r>
        <w:rPr>
          <w:lang w:eastAsia="en-US"/>
        </w:rPr>
        <w:t xml:space="preserve"> ratings for each included primary study. </w:t>
      </w:r>
    </w:p>
    <w:tbl>
      <w:tblPr>
        <w:tblW w:w="3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0"/>
        <w:gridCol w:w="1118"/>
      </w:tblGrid>
      <w:tr w:rsidR="00927E75" w:rsidRPr="00C523C3" w14:paraId="58D4E87C" w14:textId="77777777" w:rsidTr="00E31789">
        <w:trPr>
          <w:trHeight w:val="20"/>
        </w:trPr>
        <w:tc>
          <w:tcPr>
            <w:tcW w:w="2230" w:type="dxa"/>
            <w:shd w:val="clear" w:color="auto" w:fill="5B9BD5"/>
            <w:vAlign w:val="center"/>
            <w:hideMark/>
          </w:tcPr>
          <w:p w14:paraId="42CB1758"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r w:rsidRPr="006A1A3F">
              <w:rPr>
                <w:rFonts w:ascii="Arial Narrow" w:eastAsia="Times New Roman" w:hAnsi="Arial Narrow" w:cs="Calibri"/>
                <w:b/>
                <w:bCs/>
                <w:color w:val="FFFFFF" w:themeColor="background1"/>
                <w:sz w:val="18"/>
                <w:szCs w:val="18"/>
              </w:rPr>
              <w:t>Author, Year</w:t>
            </w:r>
          </w:p>
        </w:tc>
        <w:tc>
          <w:tcPr>
            <w:tcW w:w="1118" w:type="dxa"/>
            <w:shd w:val="clear" w:color="auto" w:fill="5B9BD5"/>
            <w:vAlign w:val="center"/>
          </w:tcPr>
          <w:p w14:paraId="044B53A7" w14:textId="77777777" w:rsidR="00927E75" w:rsidRPr="006A1A3F" w:rsidRDefault="00927E75" w:rsidP="00E31789">
            <w:pPr>
              <w:spacing w:line="276" w:lineRule="auto"/>
              <w:jc w:val="center"/>
              <w:rPr>
                <w:rFonts w:ascii="Arial Narrow" w:eastAsia="Times New Roman" w:hAnsi="Arial Narrow" w:cs="Times New Roman"/>
                <w:color w:val="FFFFFF" w:themeColor="background1"/>
                <w:sz w:val="18"/>
                <w:szCs w:val="18"/>
              </w:rPr>
            </w:pPr>
            <w:proofErr w:type="spellStart"/>
            <w:r w:rsidRPr="006A1A3F">
              <w:rPr>
                <w:rFonts w:ascii="Arial Narrow" w:hAnsi="Arial Narrow" w:cs="Calibri"/>
                <w:b/>
                <w:bCs/>
                <w:color w:val="FFFFFF" w:themeColor="background1"/>
                <w:sz w:val="18"/>
                <w:szCs w:val="18"/>
              </w:rPr>
              <w:t>RoB</w:t>
            </w:r>
            <w:proofErr w:type="spellEnd"/>
            <w:r w:rsidRPr="006A1A3F">
              <w:rPr>
                <w:rFonts w:ascii="Arial Narrow" w:hAnsi="Arial Narrow" w:cs="Calibri"/>
                <w:b/>
                <w:bCs/>
                <w:color w:val="FFFFFF" w:themeColor="background1"/>
                <w:sz w:val="18"/>
                <w:szCs w:val="18"/>
              </w:rPr>
              <w:t xml:space="preserve"> Rating</w:t>
            </w:r>
          </w:p>
        </w:tc>
      </w:tr>
      <w:tr w:rsidR="00927E75" w:rsidRPr="00C523C3" w14:paraId="72F03D44" w14:textId="77777777" w:rsidTr="00E31789">
        <w:trPr>
          <w:trHeight w:val="20"/>
        </w:trPr>
        <w:tc>
          <w:tcPr>
            <w:tcW w:w="2230" w:type="dxa"/>
            <w:shd w:val="clear" w:color="auto" w:fill="auto"/>
            <w:noWrap/>
            <w:hideMark/>
          </w:tcPr>
          <w:p w14:paraId="7AE7CD70"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Ackermann, 2005</w:t>
            </w:r>
          </w:p>
        </w:tc>
        <w:tc>
          <w:tcPr>
            <w:tcW w:w="1118" w:type="dxa"/>
          </w:tcPr>
          <w:p w14:paraId="29C12D36"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81%</w:t>
            </w:r>
          </w:p>
        </w:tc>
      </w:tr>
      <w:tr w:rsidR="00927E75" w:rsidRPr="00C523C3" w14:paraId="6507B3F0" w14:textId="77777777" w:rsidTr="00E31789">
        <w:trPr>
          <w:trHeight w:val="20"/>
        </w:trPr>
        <w:tc>
          <w:tcPr>
            <w:tcW w:w="2230" w:type="dxa"/>
            <w:shd w:val="clear" w:color="auto" w:fill="auto"/>
            <w:noWrap/>
            <w:hideMark/>
          </w:tcPr>
          <w:p w14:paraId="056B52F1"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Dinan, 2006</w:t>
            </w:r>
          </w:p>
        </w:tc>
        <w:tc>
          <w:tcPr>
            <w:tcW w:w="1118" w:type="dxa"/>
          </w:tcPr>
          <w:p w14:paraId="01599722"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39%</w:t>
            </w:r>
          </w:p>
        </w:tc>
      </w:tr>
      <w:tr w:rsidR="00927E75" w:rsidRPr="00C523C3" w14:paraId="7D47BD82" w14:textId="77777777" w:rsidTr="00E31789">
        <w:trPr>
          <w:trHeight w:val="20"/>
        </w:trPr>
        <w:tc>
          <w:tcPr>
            <w:tcW w:w="2230" w:type="dxa"/>
            <w:shd w:val="clear" w:color="auto" w:fill="auto"/>
            <w:noWrap/>
            <w:hideMark/>
          </w:tcPr>
          <w:p w14:paraId="738EEE0E" w14:textId="77777777" w:rsidR="00927E75" w:rsidRPr="00C523C3" w:rsidRDefault="00927E75" w:rsidP="00E31789">
            <w:pPr>
              <w:spacing w:line="276" w:lineRule="auto"/>
              <w:rPr>
                <w:rFonts w:ascii="Arial Narrow" w:eastAsia="Times New Roman" w:hAnsi="Arial Narrow" w:cs="Calibri"/>
                <w:color w:val="000000"/>
                <w:sz w:val="18"/>
                <w:szCs w:val="18"/>
              </w:rPr>
            </w:pPr>
            <w:proofErr w:type="spellStart"/>
            <w:r w:rsidRPr="00C523C3">
              <w:rPr>
                <w:rFonts w:ascii="Arial Narrow" w:eastAsia="Times New Roman" w:hAnsi="Arial Narrow" w:cs="Calibri"/>
                <w:color w:val="000000"/>
                <w:sz w:val="18"/>
                <w:szCs w:val="18"/>
              </w:rPr>
              <w:t>Dugdill</w:t>
            </w:r>
            <w:proofErr w:type="spellEnd"/>
            <w:r w:rsidRPr="00C523C3">
              <w:rPr>
                <w:rFonts w:ascii="Arial Narrow" w:eastAsia="Times New Roman" w:hAnsi="Arial Narrow" w:cs="Calibri"/>
                <w:color w:val="000000"/>
                <w:sz w:val="18"/>
                <w:szCs w:val="18"/>
              </w:rPr>
              <w:t>, 2005</w:t>
            </w:r>
          </w:p>
        </w:tc>
        <w:tc>
          <w:tcPr>
            <w:tcW w:w="1118" w:type="dxa"/>
          </w:tcPr>
          <w:p w14:paraId="4D4F7BA8"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31%</w:t>
            </w:r>
          </w:p>
        </w:tc>
      </w:tr>
      <w:tr w:rsidR="00927E75" w:rsidRPr="00C523C3" w14:paraId="79DEF5A2" w14:textId="77777777" w:rsidTr="00E31789">
        <w:trPr>
          <w:trHeight w:val="20"/>
        </w:trPr>
        <w:tc>
          <w:tcPr>
            <w:tcW w:w="2230" w:type="dxa"/>
            <w:shd w:val="clear" w:color="auto" w:fill="auto"/>
            <w:noWrap/>
            <w:hideMark/>
          </w:tcPr>
          <w:p w14:paraId="443E307E"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Eynon, 2018</w:t>
            </w:r>
          </w:p>
        </w:tc>
        <w:tc>
          <w:tcPr>
            <w:tcW w:w="1118" w:type="dxa"/>
          </w:tcPr>
          <w:p w14:paraId="20D72CD0"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74%</w:t>
            </w:r>
          </w:p>
        </w:tc>
      </w:tr>
      <w:tr w:rsidR="00927E75" w:rsidRPr="00C523C3" w14:paraId="66BB6AB9" w14:textId="77777777" w:rsidTr="00E31789">
        <w:trPr>
          <w:trHeight w:val="20"/>
        </w:trPr>
        <w:tc>
          <w:tcPr>
            <w:tcW w:w="2230" w:type="dxa"/>
            <w:shd w:val="clear" w:color="auto" w:fill="auto"/>
            <w:noWrap/>
            <w:hideMark/>
          </w:tcPr>
          <w:p w14:paraId="79825264" w14:textId="77777777" w:rsidR="00927E75" w:rsidRPr="00C523C3" w:rsidRDefault="00927E75" w:rsidP="00E31789">
            <w:pPr>
              <w:spacing w:line="276" w:lineRule="auto"/>
              <w:rPr>
                <w:rFonts w:ascii="Arial Narrow" w:eastAsia="Times New Roman" w:hAnsi="Arial Narrow" w:cs="Calibri"/>
                <w:color w:val="000000"/>
                <w:sz w:val="18"/>
                <w:szCs w:val="18"/>
              </w:rPr>
            </w:pPr>
            <w:proofErr w:type="spellStart"/>
            <w:r w:rsidRPr="00C523C3">
              <w:rPr>
                <w:rFonts w:ascii="Arial Narrow" w:eastAsia="Times New Roman" w:hAnsi="Arial Narrow" w:cs="Calibri"/>
                <w:color w:val="000000"/>
                <w:sz w:val="18"/>
                <w:szCs w:val="18"/>
              </w:rPr>
              <w:t>Gademan</w:t>
            </w:r>
            <w:proofErr w:type="spellEnd"/>
            <w:r w:rsidRPr="00C523C3">
              <w:rPr>
                <w:rFonts w:ascii="Arial Narrow" w:eastAsia="Times New Roman" w:hAnsi="Arial Narrow" w:cs="Calibri"/>
                <w:color w:val="000000"/>
                <w:sz w:val="18"/>
                <w:szCs w:val="18"/>
              </w:rPr>
              <w:t>, 2012</w:t>
            </w:r>
          </w:p>
        </w:tc>
        <w:tc>
          <w:tcPr>
            <w:tcW w:w="1118" w:type="dxa"/>
          </w:tcPr>
          <w:p w14:paraId="179FC0FD"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61%</w:t>
            </w:r>
          </w:p>
        </w:tc>
      </w:tr>
      <w:tr w:rsidR="00927E75" w:rsidRPr="00C523C3" w14:paraId="20742AA1" w14:textId="77777777" w:rsidTr="00E31789">
        <w:trPr>
          <w:trHeight w:val="20"/>
        </w:trPr>
        <w:tc>
          <w:tcPr>
            <w:tcW w:w="2230" w:type="dxa"/>
            <w:shd w:val="clear" w:color="auto" w:fill="auto"/>
            <w:noWrap/>
            <w:hideMark/>
          </w:tcPr>
          <w:p w14:paraId="3EFA199E"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Grandes, 2011</w:t>
            </w:r>
          </w:p>
        </w:tc>
        <w:tc>
          <w:tcPr>
            <w:tcW w:w="1118" w:type="dxa"/>
          </w:tcPr>
          <w:p w14:paraId="1BB59725"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69%</w:t>
            </w:r>
          </w:p>
        </w:tc>
      </w:tr>
      <w:tr w:rsidR="00927E75" w:rsidRPr="00C523C3" w14:paraId="6CDC3268" w14:textId="77777777" w:rsidTr="00E31789">
        <w:trPr>
          <w:trHeight w:val="20"/>
        </w:trPr>
        <w:tc>
          <w:tcPr>
            <w:tcW w:w="2230" w:type="dxa"/>
            <w:shd w:val="clear" w:color="auto" w:fill="auto"/>
            <w:noWrap/>
            <w:hideMark/>
          </w:tcPr>
          <w:p w14:paraId="23942135"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Grandes, 2009</w:t>
            </w:r>
          </w:p>
        </w:tc>
        <w:tc>
          <w:tcPr>
            <w:tcW w:w="1118" w:type="dxa"/>
          </w:tcPr>
          <w:p w14:paraId="04CAA302"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64%</w:t>
            </w:r>
          </w:p>
        </w:tc>
      </w:tr>
      <w:tr w:rsidR="00927E75" w:rsidRPr="00C523C3" w14:paraId="1E68A262" w14:textId="77777777" w:rsidTr="00E31789">
        <w:trPr>
          <w:trHeight w:val="20"/>
        </w:trPr>
        <w:tc>
          <w:tcPr>
            <w:tcW w:w="2230" w:type="dxa"/>
            <w:shd w:val="clear" w:color="auto" w:fill="auto"/>
            <w:noWrap/>
            <w:hideMark/>
          </w:tcPr>
          <w:p w14:paraId="56869FD7" w14:textId="77777777" w:rsidR="00927E75" w:rsidRPr="00C523C3" w:rsidRDefault="00927E75" w:rsidP="00E31789">
            <w:pPr>
              <w:spacing w:line="276" w:lineRule="auto"/>
              <w:rPr>
                <w:rFonts w:ascii="Arial Narrow" w:eastAsia="Times New Roman" w:hAnsi="Arial Narrow" w:cs="Calibri"/>
                <w:color w:val="000000"/>
                <w:sz w:val="18"/>
                <w:szCs w:val="18"/>
              </w:rPr>
            </w:pPr>
            <w:proofErr w:type="spellStart"/>
            <w:r w:rsidRPr="00C523C3">
              <w:rPr>
                <w:rFonts w:ascii="Arial Narrow" w:eastAsia="Times New Roman" w:hAnsi="Arial Narrow" w:cs="Calibri"/>
                <w:color w:val="000000"/>
                <w:sz w:val="18"/>
                <w:szCs w:val="18"/>
              </w:rPr>
              <w:t>Gusi</w:t>
            </w:r>
            <w:proofErr w:type="spellEnd"/>
            <w:r w:rsidRPr="00C523C3">
              <w:rPr>
                <w:rFonts w:ascii="Arial Narrow" w:eastAsia="Times New Roman" w:hAnsi="Arial Narrow" w:cs="Calibri"/>
                <w:color w:val="000000"/>
                <w:sz w:val="18"/>
                <w:szCs w:val="18"/>
              </w:rPr>
              <w:t>, 2008</w:t>
            </w:r>
          </w:p>
        </w:tc>
        <w:tc>
          <w:tcPr>
            <w:tcW w:w="1118" w:type="dxa"/>
          </w:tcPr>
          <w:p w14:paraId="05AECFDA"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69%</w:t>
            </w:r>
          </w:p>
        </w:tc>
      </w:tr>
      <w:tr w:rsidR="00927E75" w:rsidRPr="00C523C3" w14:paraId="2044512E" w14:textId="77777777" w:rsidTr="00E31789">
        <w:trPr>
          <w:trHeight w:val="20"/>
        </w:trPr>
        <w:tc>
          <w:tcPr>
            <w:tcW w:w="2230" w:type="dxa"/>
            <w:shd w:val="clear" w:color="auto" w:fill="auto"/>
            <w:noWrap/>
            <w:hideMark/>
          </w:tcPr>
          <w:p w14:paraId="2F2A4851"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Hanson, 2019</w:t>
            </w:r>
          </w:p>
        </w:tc>
        <w:tc>
          <w:tcPr>
            <w:tcW w:w="1118" w:type="dxa"/>
          </w:tcPr>
          <w:p w14:paraId="0425268B"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72%</w:t>
            </w:r>
          </w:p>
        </w:tc>
      </w:tr>
      <w:tr w:rsidR="00927E75" w:rsidRPr="00C523C3" w14:paraId="0FD46491" w14:textId="77777777" w:rsidTr="00E31789">
        <w:trPr>
          <w:trHeight w:val="20"/>
        </w:trPr>
        <w:tc>
          <w:tcPr>
            <w:tcW w:w="2230" w:type="dxa"/>
            <w:shd w:val="clear" w:color="auto" w:fill="auto"/>
            <w:noWrap/>
            <w:hideMark/>
          </w:tcPr>
          <w:p w14:paraId="77EB0B67"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Isaacs, 2007</w:t>
            </w:r>
          </w:p>
        </w:tc>
        <w:tc>
          <w:tcPr>
            <w:tcW w:w="1118" w:type="dxa"/>
          </w:tcPr>
          <w:p w14:paraId="0F216961"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81%</w:t>
            </w:r>
          </w:p>
        </w:tc>
      </w:tr>
      <w:tr w:rsidR="00927E75" w:rsidRPr="00C523C3" w14:paraId="2CD303E2" w14:textId="77777777" w:rsidTr="00E31789">
        <w:trPr>
          <w:trHeight w:val="20"/>
        </w:trPr>
        <w:tc>
          <w:tcPr>
            <w:tcW w:w="2230" w:type="dxa"/>
            <w:shd w:val="clear" w:color="auto" w:fill="auto"/>
            <w:noWrap/>
            <w:hideMark/>
          </w:tcPr>
          <w:p w14:paraId="6222B63C"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James, 2017</w:t>
            </w:r>
          </w:p>
        </w:tc>
        <w:tc>
          <w:tcPr>
            <w:tcW w:w="1118" w:type="dxa"/>
          </w:tcPr>
          <w:p w14:paraId="68B61867"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83%</w:t>
            </w:r>
          </w:p>
        </w:tc>
      </w:tr>
      <w:tr w:rsidR="00927E75" w:rsidRPr="00C523C3" w14:paraId="241CC8FD" w14:textId="77777777" w:rsidTr="00E31789">
        <w:trPr>
          <w:trHeight w:val="20"/>
        </w:trPr>
        <w:tc>
          <w:tcPr>
            <w:tcW w:w="2230" w:type="dxa"/>
            <w:shd w:val="clear" w:color="auto" w:fill="auto"/>
            <w:noWrap/>
            <w:hideMark/>
          </w:tcPr>
          <w:p w14:paraId="3648AE1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Joyce, 2010</w:t>
            </w:r>
          </w:p>
        </w:tc>
        <w:tc>
          <w:tcPr>
            <w:tcW w:w="1118" w:type="dxa"/>
          </w:tcPr>
          <w:p w14:paraId="1D4CBDD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56%</w:t>
            </w:r>
          </w:p>
        </w:tc>
      </w:tr>
      <w:tr w:rsidR="00927E75" w:rsidRPr="00C523C3" w14:paraId="10940D2D" w14:textId="77777777" w:rsidTr="00E31789">
        <w:trPr>
          <w:trHeight w:val="20"/>
        </w:trPr>
        <w:tc>
          <w:tcPr>
            <w:tcW w:w="2230" w:type="dxa"/>
            <w:shd w:val="clear" w:color="auto" w:fill="auto"/>
            <w:noWrap/>
            <w:hideMark/>
          </w:tcPr>
          <w:p w14:paraId="7F57557E" w14:textId="77777777" w:rsidR="00927E75" w:rsidRPr="00C523C3" w:rsidRDefault="00927E75" w:rsidP="00E31789">
            <w:pPr>
              <w:spacing w:line="276" w:lineRule="auto"/>
              <w:rPr>
                <w:rFonts w:ascii="Arial Narrow" w:eastAsia="Times New Roman" w:hAnsi="Arial Narrow" w:cs="Calibri"/>
                <w:color w:val="000000"/>
                <w:sz w:val="18"/>
                <w:szCs w:val="18"/>
              </w:rPr>
            </w:pPr>
            <w:proofErr w:type="spellStart"/>
            <w:r w:rsidRPr="00C523C3">
              <w:rPr>
                <w:rFonts w:ascii="Arial Narrow" w:eastAsia="Times New Roman" w:hAnsi="Arial Narrow" w:cs="Calibri"/>
                <w:color w:val="000000"/>
                <w:sz w:val="18"/>
                <w:szCs w:val="18"/>
              </w:rPr>
              <w:t>Kallings</w:t>
            </w:r>
            <w:proofErr w:type="spellEnd"/>
            <w:r w:rsidRPr="00C523C3">
              <w:rPr>
                <w:rFonts w:ascii="Arial Narrow" w:eastAsia="Times New Roman" w:hAnsi="Arial Narrow" w:cs="Calibri"/>
                <w:color w:val="000000"/>
                <w:sz w:val="18"/>
                <w:szCs w:val="18"/>
              </w:rPr>
              <w:t>, 2009</w:t>
            </w:r>
          </w:p>
        </w:tc>
        <w:tc>
          <w:tcPr>
            <w:tcW w:w="1118" w:type="dxa"/>
          </w:tcPr>
          <w:p w14:paraId="5477BCD5"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73%</w:t>
            </w:r>
          </w:p>
        </w:tc>
      </w:tr>
      <w:tr w:rsidR="00927E75" w:rsidRPr="00C523C3" w14:paraId="759466BE" w14:textId="77777777" w:rsidTr="00E31789">
        <w:trPr>
          <w:trHeight w:val="20"/>
        </w:trPr>
        <w:tc>
          <w:tcPr>
            <w:tcW w:w="2230" w:type="dxa"/>
            <w:shd w:val="clear" w:color="auto" w:fill="auto"/>
            <w:noWrap/>
            <w:hideMark/>
          </w:tcPr>
          <w:p w14:paraId="1ACA2A00"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Law, 2019</w:t>
            </w:r>
          </w:p>
        </w:tc>
        <w:tc>
          <w:tcPr>
            <w:tcW w:w="1118" w:type="dxa"/>
          </w:tcPr>
          <w:p w14:paraId="58BA13B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56%</w:t>
            </w:r>
          </w:p>
        </w:tc>
      </w:tr>
      <w:tr w:rsidR="00927E75" w:rsidRPr="00C523C3" w14:paraId="34008E3F" w14:textId="77777777" w:rsidTr="00E31789">
        <w:trPr>
          <w:trHeight w:val="20"/>
        </w:trPr>
        <w:tc>
          <w:tcPr>
            <w:tcW w:w="2230" w:type="dxa"/>
            <w:shd w:val="clear" w:color="auto" w:fill="auto"/>
            <w:noWrap/>
            <w:hideMark/>
          </w:tcPr>
          <w:p w14:paraId="5936777D"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Livingstone, 2015</w:t>
            </w:r>
          </w:p>
        </w:tc>
        <w:tc>
          <w:tcPr>
            <w:tcW w:w="1118" w:type="dxa"/>
          </w:tcPr>
          <w:p w14:paraId="1992E8FA"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61%</w:t>
            </w:r>
          </w:p>
        </w:tc>
      </w:tr>
      <w:tr w:rsidR="00927E75" w:rsidRPr="00C523C3" w14:paraId="464FB2B7" w14:textId="77777777" w:rsidTr="00E31789">
        <w:trPr>
          <w:trHeight w:val="20"/>
        </w:trPr>
        <w:tc>
          <w:tcPr>
            <w:tcW w:w="2230" w:type="dxa"/>
            <w:shd w:val="clear" w:color="auto" w:fill="auto"/>
            <w:noWrap/>
            <w:hideMark/>
          </w:tcPr>
          <w:p w14:paraId="145DCF0C"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Lundqvist, 2017</w:t>
            </w:r>
          </w:p>
        </w:tc>
        <w:tc>
          <w:tcPr>
            <w:tcW w:w="1118" w:type="dxa"/>
          </w:tcPr>
          <w:p w14:paraId="6DDCAFC3"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69%</w:t>
            </w:r>
          </w:p>
        </w:tc>
      </w:tr>
      <w:tr w:rsidR="00927E75" w:rsidRPr="00C523C3" w14:paraId="51BA552B" w14:textId="77777777" w:rsidTr="00E31789">
        <w:trPr>
          <w:trHeight w:val="20"/>
        </w:trPr>
        <w:tc>
          <w:tcPr>
            <w:tcW w:w="2230" w:type="dxa"/>
            <w:shd w:val="clear" w:color="auto" w:fill="auto"/>
            <w:noWrap/>
            <w:hideMark/>
          </w:tcPr>
          <w:p w14:paraId="7A87FF74"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Martin-Borras, 2018</w:t>
            </w:r>
          </w:p>
        </w:tc>
        <w:tc>
          <w:tcPr>
            <w:tcW w:w="1118" w:type="dxa"/>
          </w:tcPr>
          <w:p w14:paraId="4E5FF156"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72%</w:t>
            </w:r>
          </w:p>
        </w:tc>
      </w:tr>
      <w:tr w:rsidR="00927E75" w:rsidRPr="00C523C3" w14:paraId="6C1E7418" w14:textId="77777777" w:rsidTr="00E31789">
        <w:trPr>
          <w:trHeight w:val="20"/>
        </w:trPr>
        <w:tc>
          <w:tcPr>
            <w:tcW w:w="2230" w:type="dxa"/>
            <w:shd w:val="clear" w:color="auto" w:fill="auto"/>
            <w:noWrap/>
            <w:hideMark/>
          </w:tcPr>
          <w:p w14:paraId="74624628"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Moore, 2013</w:t>
            </w:r>
          </w:p>
        </w:tc>
        <w:tc>
          <w:tcPr>
            <w:tcW w:w="1118" w:type="dxa"/>
          </w:tcPr>
          <w:p w14:paraId="792A702D"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69%</w:t>
            </w:r>
          </w:p>
        </w:tc>
      </w:tr>
      <w:tr w:rsidR="00927E75" w:rsidRPr="00C523C3" w14:paraId="55B3051E" w14:textId="77777777" w:rsidTr="00E31789">
        <w:trPr>
          <w:trHeight w:val="20"/>
        </w:trPr>
        <w:tc>
          <w:tcPr>
            <w:tcW w:w="2230" w:type="dxa"/>
            <w:shd w:val="clear" w:color="auto" w:fill="auto"/>
            <w:noWrap/>
            <w:hideMark/>
          </w:tcPr>
          <w:p w14:paraId="67589F66"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Patel, 2013</w:t>
            </w:r>
          </w:p>
        </w:tc>
        <w:tc>
          <w:tcPr>
            <w:tcW w:w="1118" w:type="dxa"/>
          </w:tcPr>
          <w:p w14:paraId="4DE7EE6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69%</w:t>
            </w:r>
          </w:p>
        </w:tc>
      </w:tr>
      <w:tr w:rsidR="00927E75" w:rsidRPr="00C523C3" w14:paraId="22E609B9" w14:textId="77777777" w:rsidTr="00E31789">
        <w:trPr>
          <w:trHeight w:val="20"/>
        </w:trPr>
        <w:tc>
          <w:tcPr>
            <w:tcW w:w="2230" w:type="dxa"/>
            <w:shd w:val="clear" w:color="auto" w:fill="auto"/>
            <w:noWrap/>
            <w:hideMark/>
          </w:tcPr>
          <w:p w14:paraId="4FD84636"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Roessler and Ibsen, 2009</w:t>
            </w:r>
          </w:p>
        </w:tc>
        <w:tc>
          <w:tcPr>
            <w:tcW w:w="1118" w:type="dxa"/>
          </w:tcPr>
          <w:p w14:paraId="370A5830"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69%</w:t>
            </w:r>
          </w:p>
        </w:tc>
      </w:tr>
      <w:tr w:rsidR="00927E75" w:rsidRPr="00C523C3" w14:paraId="5A62B580" w14:textId="77777777" w:rsidTr="00E31789">
        <w:trPr>
          <w:trHeight w:val="20"/>
        </w:trPr>
        <w:tc>
          <w:tcPr>
            <w:tcW w:w="2230" w:type="dxa"/>
            <w:shd w:val="clear" w:color="auto" w:fill="auto"/>
            <w:noWrap/>
            <w:hideMark/>
          </w:tcPr>
          <w:p w14:paraId="6E0FC157" w14:textId="77777777" w:rsidR="00927E75" w:rsidRPr="00C523C3" w:rsidRDefault="00927E75" w:rsidP="00E31789">
            <w:pPr>
              <w:spacing w:line="276" w:lineRule="auto"/>
              <w:rPr>
                <w:rFonts w:ascii="Arial Narrow" w:eastAsia="Times New Roman" w:hAnsi="Arial Narrow" w:cs="Calibri"/>
                <w:color w:val="000000"/>
                <w:sz w:val="18"/>
                <w:szCs w:val="18"/>
              </w:rPr>
            </w:pPr>
            <w:proofErr w:type="spellStart"/>
            <w:r w:rsidRPr="00C523C3">
              <w:rPr>
                <w:rFonts w:ascii="Arial Narrow" w:eastAsia="Times New Roman" w:hAnsi="Arial Narrow" w:cs="Calibri"/>
                <w:color w:val="000000"/>
                <w:sz w:val="18"/>
                <w:szCs w:val="18"/>
              </w:rPr>
              <w:t>Romé</w:t>
            </w:r>
            <w:proofErr w:type="spellEnd"/>
            <w:r w:rsidRPr="00C523C3">
              <w:rPr>
                <w:rFonts w:ascii="Arial Narrow" w:eastAsia="Times New Roman" w:hAnsi="Arial Narrow" w:cs="Calibri"/>
                <w:color w:val="000000"/>
                <w:sz w:val="18"/>
                <w:szCs w:val="18"/>
              </w:rPr>
              <w:t>, 2014</w:t>
            </w:r>
          </w:p>
        </w:tc>
        <w:tc>
          <w:tcPr>
            <w:tcW w:w="1118" w:type="dxa"/>
          </w:tcPr>
          <w:p w14:paraId="6D791D37"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72%</w:t>
            </w:r>
          </w:p>
        </w:tc>
      </w:tr>
      <w:tr w:rsidR="00927E75" w:rsidRPr="00C523C3" w14:paraId="0961518F" w14:textId="77777777" w:rsidTr="00E31789">
        <w:trPr>
          <w:trHeight w:val="20"/>
        </w:trPr>
        <w:tc>
          <w:tcPr>
            <w:tcW w:w="2230" w:type="dxa"/>
            <w:shd w:val="clear" w:color="auto" w:fill="auto"/>
            <w:noWrap/>
            <w:hideMark/>
          </w:tcPr>
          <w:p w14:paraId="17D9C658"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Sharma, 2012</w:t>
            </w:r>
          </w:p>
        </w:tc>
        <w:tc>
          <w:tcPr>
            <w:tcW w:w="1118" w:type="dxa"/>
          </w:tcPr>
          <w:p w14:paraId="189AE574"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62%</w:t>
            </w:r>
          </w:p>
        </w:tc>
      </w:tr>
      <w:tr w:rsidR="00927E75" w:rsidRPr="00C523C3" w14:paraId="01FECA5E" w14:textId="77777777" w:rsidTr="00E31789">
        <w:trPr>
          <w:trHeight w:val="20"/>
        </w:trPr>
        <w:tc>
          <w:tcPr>
            <w:tcW w:w="2230" w:type="dxa"/>
            <w:shd w:val="clear" w:color="auto" w:fill="auto"/>
            <w:noWrap/>
            <w:hideMark/>
          </w:tcPr>
          <w:p w14:paraId="75829A30"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Shaw, 2012</w:t>
            </w:r>
          </w:p>
        </w:tc>
        <w:tc>
          <w:tcPr>
            <w:tcW w:w="1118" w:type="dxa"/>
          </w:tcPr>
          <w:p w14:paraId="2E6208F7"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67%</w:t>
            </w:r>
          </w:p>
        </w:tc>
      </w:tr>
      <w:tr w:rsidR="00927E75" w:rsidRPr="00C523C3" w14:paraId="6CEB4B6E" w14:textId="77777777" w:rsidTr="00E31789">
        <w:trPr>
          <w:trHeight w:val="20"/>
        </w:trPr>
        <w:tc>
          <w:tcPr>
            <w:tcW w:w="2230" w:type="dxa"/>
            <w:shd w:val="clear" w:color="auto" w:fill="auto"/>
            <w:noWrap/>
            <w:hideMark/>
          </w:tcPr>
          <w:p w14:paraId="26A63B70"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Sorensen, 2008</w:t>
            </w:r>
          </w:p>
        </w:tc>
        <w:tc>
          <w:tcPr>
            <w:tcW w:w="1118" w:type="dxa"/>
          </w:tcPr>
          <w:p w14:paraId="5242EF83"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81%</w:t>
            </w:r>
          </w:p>
        </w:tc>
      </w:tr>
      <w:tr w:rsidR="00927E75" w:rsidRPr="00C523C3" w14:paraId="14CEEB62" w14:textId="77777777" w:rsidTr="00E31789">
        <w:trPr>
          <w:trHeight w:val="20"/>
        </w:trPr>
        <w:tc>
          <w:tcPr>
            <w:tcW w:w="2230" w:type="dxa"/>
            <w:shd w:val="clear" w:color="auto" w:fill="auto"/>
            <w:noWrap/>
            <w:hideMark/>
          </w:tcPr>
          <w:p w14:paraId="19B9A8C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Taylor, 1998</w:t>
            </w:r>
          </w:p>
        </w:tc>
        <w:tc>
          <w:tcPr>
            <w:tcW w:w="1118" w:type="dxa"/>
          </w:tcPr>
          <w:p w14:paraId="028DCBC5"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67%</w:t>
            </w:r>
          </w:p>
        </w:tc>
      </w:tr>
      <w:tr w:rsidR="00927E75" w:rsidRPr="00C523C3" w14:paraId="3B2331D8" w14:textId="77777777" w:rsidTr="00E31789">
        <w:trPr>
          <w:trHeight w:val="20"/>
        </w:trPr>
        <w:tc>
          <w:tcPr>
            <w:tcW w:w="2230" w:type="dxa"/>
            <w:shd w:val="clear" w:color="auto" w:fill="auto"/>
            <w:noWrap/>
            <w:hideMark/>
          </w:tcPr>
          <w:p w14:paraId="6128C586"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Wormald &amp; Ingle, 2004</w:t>
            </w:r>
          </w:p>
        </w:tc>
        <w:tc>
          <w:tcPr>
            <w:tcW w:w="1118" w:type="dxa"/>
          </w:tcPr>
          <w:p w14:paraId="742E9BFD"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44%</w:t>
            </w:r>
          </w:p>
        </w:tc>
      </w:tr>
      <w:tr w:rsidR="00927E75" w:rsidRPr="00C523C3" w14:paraId="0E057148" w14:textId="77777777" w:rsidTr="00E31789">
        <w:trPr>
          <w:trHeight w:val="20"/>
        </w:trPr>
        <w:tc>
          <w:tcPr>
            <w:tcW w:w="2230" w:type="dxa"/>
            <w:shd w:val="clear" w:color="auto" w:fill="auto"/>
            <w:noWrap/>
          </w:tcPr>
          <w:p w14:paraId="503C0BE7"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Wormald, 2006</w:t>
            </w:r>
          </w:p>
        </w:tc>
        <w:tc>
          <w:tcPr>
            <w:tcW w:w="1118" w:type="dxa"/>
          </w:tcPr>
          <w:p w14:paraId="2AA16DFE"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51%</w:t>
            </w:r>
          </w:p>
        </w:tc>
      </w:tr>
    </w:tbl>
    <w:p w14:paraId="01D79FFE" w14:textId="0409A8A4" w:rsidR="00927E75" w:rsidRDefault="00927E75" w:rsidP="00927E75">
      <w:pPr>
        <w:pStyle w:val="Heading3"/>
      </w:pPr>
      <w:r w:rsidRPr="00647167">
        <w:t>Boocock 2021</w:t>
      </w:r>
      <w:r>
        <w:t xml:space="preserve"> </w:t>
      </w:r>
      <w:r>
        <w:fldChar w:fldCharType="begin"/>
      </w:r>
      <w:r>
        <w:instrText xml:space="preserve"> ADDIN ZOTERO_ITEM CSL_CITATION {"citationID":"xufscJ20","properties":{"formattedCitation":"(16)","plainCitation":"(16)","noteIndex":0},"citationItems":[{"id":3157,"uris":["http://zotero.org/users/9556781/items/NBKIK87G"],"itemData":{"id":3157,"type":"article-journal","abstract":"Abstract Background Dietary management of type 2 diabetes is considered as a key remission and management strategy. This review explored clinicians? perceived barriers and enablers to the dietary management of adults with type 2 diabetes in primary care. Methods MEDLINE, EMBASE, CINAHL, PsycINFO and ASSIA were searched from 1980 to 16 June 2020. Results Of 2021 records, 14 studies met the inclusion criteria, describing the 14 domains of the refined Theoretical Domains Framework. The data synthesised to the domains of environmental context and resources, intentions and beliefs about capabilities were considered most trustworthy, closely followed by knowledge, behavioural regulation and beliefs about consequences. Two-thirds of studies cited time for staff training or patient education as major constraints to type 2 diabetes management. Clinicians also identified lack of patient engagement and poor dietary adherence as issues. Despite this, clinician confidence about giving dietary advice to patients was high. With further exploration, knowledge gaps were apparent and feelings of despondency as a result of poor outcomes were visible. Conclusions This review revealed four clinician behaviours: (2) the perception of the dietitian; (2) the definition of a clinician qualified to give dietary advice; (3) clinician belief in dietary management as a treatment; and (4) clinician belief in a patient's capability to change dietary behaviour. These behaviours, if challenged and changed, have the potential to improve dietary management and outcomes for people with type 2 diabetes in primary care.","container-title":"Journal of Human Nutrition and Dietetics","DOI":"10.1111/jhn.12875","ISSN":"0952-3871","issue":"6","journalAbbreviation":"Journal of Human Nutrition and Dietetics","note":"publisher: John Wiley &amp; Sons, Ltd","page":"1042-1052","title":"Clinicians’ perceived barriers and enablers to the dietary management of adults with type 2 diabetes in primary care: A systematic review","volume":"34","author":[{"family":"Boocock","given":"Ruth C."},{"family":"Lake","given":"Amelia A."},{"family":"Haste","given":"Anna"},{"family":"Moore","given":"Helen J."}],"issued":{"date-parts":[["2021",12,1]]}}}],"schema":"https://github.com/citation-style-language/schema/raw/master/csl-citation.json"} </w:instrText>
      </w:r>
      <w:r>
        <w:fldChar w:fldCharType="separate"/>
      </w:r>
      <w:r w:rsidRPr="00F45A36">
        <w:rPr>
          <w:rFonts w:ascii="Calibri" w:hAnsi="Calibri" w:cs="Calibri"/>
        </w:rPr>
        <w:t>(16)</w:t>
      </w:r>
      <w:r>
        <w:fldChar w:fldCharType="end"/>
      </w:r>
    </w:p>
    <w:p w14:paraId="482175AA" w14:textId="77777777" w:rsidR="00927E75" w:rsidRPr="00C77C05" w:rsidRDefault="00927E75" w:rsidP="00927E75">
      <w:pPr>
        <w:spacing w:line="276" w:lineRule="auto"/>
        <w:rPr>
          <w:lang w:eastAsia="en-US"/>
        </w:rPr>
      </w:pPr>
      <w:r w:rsidRPr="00C77C05">
        <w:rPr>
          <w:lang w:eastAsia="en-US"/>
        </w:rPr>
        <w:t xml:space="preserve">This included review assessed </w:t>
      </w:r>
      <w:proofErr w:type="spellStart"/>
      <w:r>
        <w:t>RoB</w:t>
      </w:r>
      <w:proofErr w:type="spellEnd"/>
      <w:r w:rsidRPr="00C77C05">
        <w:rPr>
          <w:lang w:eastAsia="en-US"/>
        </w:rPr>
        <w:t xml:space="preserve"> using the NICE Methodology checklist for qualitative studies tool. </w:t>
      </w:r>
      <w:proofErr w:type="spellStart"/>
      <w:r>
        <w:t>RoB</w:t>
      </w:r>
      <w:proofErr w:type="spellEnd"/>
      <w:r w:rsidRPr="00C77C05">
        <w:rPr>
          <w:lang w:eastAsia="en-US"/>
        </w:rPr>
        <w:t xml:space="preserve"> ratings for this tool can be interpreted as 1-3 star, with 3 </w:t>
      </w:r>
      <w:proofErr w:type="gramStart"/>
      <w:r w:rsidRPr="00C77C05">
        <w:rPr>
          <w:lang w:eastAsia="en-US"/>
        </w:rPr>
        <w:t>star</w:t>
      </w:r>
      <w:proofErr w:type="gramEnd"/>
      <w:r w:rsidRPr="00C77C05">
        <w:rPr>
          <w:lang w:eastAsia="en-US"/>
        </w:rPr>
        <w:t xml:space="preserve"> being highest rating. Below is the </w:t>
      </w:r>
      <w:proofErr w:type="spellStart"/>
      <w:r>
        <w:t>RoB</w:t>
      </w:r>
      <w:proofErr w:type="spellEnd"/>
      <w:r w:rsidRPr="00C77C05">
        <w:rPr>
          <w:lang w:eastAsia="en-US"/>
        </w:rPr>
        <w:t xml:space="preserve"> ratings for each included primary study.</w:t>
      </w:r>
    </w:p>
    <w:tbl>
      <w:tblPr>
        <w:tblW w:w="3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1045"/>
      </w:tblGrid>
      <w:tr w:rsidR="00927E75" w:rsidRPr="00C523C3" w14:paraId="13D5E76B" w14:textId="77777777" w:rsidTr="00E31789">
        <w:trPr>
          <w:trHeight w:val="177"/>
        </w:trPr>
        <w:tc>
          <w:tcPr>
            <w:tcW w:w="2086" w:type="dxa"/>
            <w:shd w:val="clear" w:color="auto" w:fill="5B9BD5"/>
            <w:hideMark/>
          </w:tcPr>
          <w:p w14:paraId="46ABE2E9"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r w:rsidRPr="006A1A3F">
              <w:rPr>
                <w:rFonts w:ascii="Arial Narrow" w:eastAsia="Times New Roman" w:hAnsi="Arial Narrow" w:cs="Calibri"/>
                <w:b/>
                <w:bCs/>
                <w:color w:val="FFFFFF" w:themeColor="background1"/>
                <w:sz w:val="18"/>
                <w:szCs w:val="18"/>
              </w:rPr>
              <w:t>Author, Year</w:t>
            </w:r>
          </w:p>
        </w:tc>
        <w:tc>
          <w:tcPr>
            <w:tcW w:w="1045" w:type="dxa"/>
            <w:shd w:val="clear" w:color="auto" w:fill="5B9BD5"/>
          </w:tcPr>
          <w:p w14:paraId="4B2CE18E"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proofErr w:type="spellStart"/>
            <w:r w:rsidRPr="006A1A3F">
              <w:rPr>
                <w:rFonts w:ascii="Arial Narrow" w:eastAsia="Times New Roman" w:hAnsi="Arial Narrow" w:cs="Calibri"/>
                <w:b/>
                <w:bCs/>
                <w:color w:val="FFFFFF" w:themeColor="background1"/>
                <w:sz w:val="18"/>
                <w:szCs w:val="18"/>
              </w:rPr>
              <w:t>RoB</w:t>
            </w:r>
            <w:proofErr w:type="spellEnd"/>
            <w:r w:rsidRPr="006A1A3F">
              <w:rPr>
                <w:rFonts w:ascii="Arial Narrow" w:eastAsia="Times New Roman" w:hAnsi="Arial Narrow" w:cs="Calibri"/>
                <w:b/>
                <w:bCs/>
                <w:color w:val="FFFFFF" w:themeColor="background1"/>
                <w:sz w:val="18"/>
                <w:szCs w:val="18"/>
              </w:rPr>
              <w:t xml:space="preserve"> Rating</w:t>
            </w:r>
          </w:p>
        </w:tc>
      </w:tr>
      <w:tr w:rsidR="00B0410E" w:rsidRPr="00C523C3" w14:paraId="6CF49C4F" w14:textId="77777777" w:rsidTr="00E31789">
        <w:trPr>
          <w:trHeight w:val="196"/>
        </w:trPr>
        <w:tc>
          <w:tcPr>
            <w:tcW w:w="2086" w:type="dxa"/>
            <w:shd w:val="clear" w:color="auto" w:fill="auto"/>
            <w:noWrap/>
            <w:vAlign w:val="bottom"/>
          </w:tcPr>
          <w:p w14:paraId="1D182125" w14:textId="46FDC677"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Gianfrancesco, 2020</w:t>
            </w:r>
          </w:p>
        </w:tc>
        <w:tc>
          <w:tcPr>
            <w:tcW w:w="1045" w:type="dxa"/>
            <w:vAlign w:val="bottom"/>
          </w:tcPr>
          <w:p w14:paraId="41BC3972" w14:textId="10B3925C"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3 stars</w:t>
            </w:r>
          </w:p>
        </w:tc>
      </w:tr>
      <w:tr w:rsidR="00B0410E" w:rsidRPr="00C523C3" w14:paraId="4D2BFDA9" w14:textId="77777777" w:rsidTr="00E31789">
        <w:trPr>
          <w:trHeight w:val="196"/>
        </w:trPr>
        <w:tc>
          <w:tcPr>
            <w:tcW w:w="2086" w:type="dxa"/>
            <w:shd w:val="clear" w:color="auto" w:fill="auto"/>
            <w:noWrap/>
            <w:vAlign w:val="bottom"/>
          </w:tcPr>
          <w:p w14:paraId="519A98C2" w14:textId="4C9E58A2"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Jansink, 2010</w:t>
            </w:r>
          </w:p>
        </w:tc>
        <w:tc>
          <w:tcPr>
            <w:tcW w:w="1045" w:type="dxa"/>
            <w:vAlign w:val="bottom"/>
          </w:tcPr>
          <w:p w14:paraId="32E31867" w14:textId="71BB207B"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3 stars</w:t>
            </w:r>
          </w:p>
        </w:tc>
      </w:tr>
      <w:tr w:rsidR="00B0410E" w:rsidRPr="00C523C3" w14:paraId="29B50B99" w14:textId="77777777" w:rsidTr="00E31789">
        <w:trPr>
          <w:trHeight w:val="196"/>
        </w:trPr>
        <w:tc>
          <w:tcPr>
            <w:tcW w:w="2086" w:type="dxa"/>
            <w:shd w:val="clear" w:color="auto" w:fill="auto"/>
            <w:noWrap/>
            <w:vAlign w:val="bottom"/>
          </w:tcPr>
          <w:p w14:paraId="3C1BC828" w14:textId="32DA0286"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Katagiri, 2018</w:t>
            </w:r>
          </w:p>
        </w:tc>
        <w:tc>
          <w:tcPr>
            <w:tcW w:w="1045" w:type="dxa"/>
            <w:vAlign w:val="bottom"/>
          </w:tcPr>
          <w:p w14:paraId="10DA81DF" w14:textId="709FA19F"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3 stars</w:t>
            </w:r>
          </w:p>
        </w:tc>
      </w:tr>
      <w:tr w:rsidR="00B0410E" w:rsidRPr="00C523C3" w14:paraId="5C70C4C3" w14:textId="77777777" w:rsidTr="00E31789">
        <w:trPr>
          <w:trHeight w:val="196"/>
        </w:trPr>
        <w:tc>
          <w:tcPr>
            <w:tcW w:w="2086" w:type="dxa"/>
            <w:shd w:val="clear" w:color="auto" w:fill="auto"/>
            <w:noWrap/>
            <w:vAlign w:val="bottom"/>
          </w:tcPr>
          <w:p w14:paraId="744E28A2" w14:textId="370853E3"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Khairnar, 2019</w:t>
            </w:r>
          </w:p>
        </w:tc>
        <w:tc>
          <w:tcPr>
            <w:tcW w:w="1045" w:type="dxa"/>
            <w:vAlign w:val="bottom"/>
          </w:tcPr>
          <w:p w14:paraId="7579CB14" w14:textId="55870082"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3 stars</w:t>
            </w:r>
          </w:p>
        </w:tc>
      </w:tr>
      <w:tr w:rsidR="00B0410E" w:rsidRPr="00C523C3" w14:paraId="6E4F630D" w14:textId="77777777" w:rsidTr="00E31789">
        <w:trPr>
          <w:trHeight w:val="196"/>
        </w:trPr>
        <w:tc>
          <w:tcPr>
            <w:tcW w:w="2086" w:type="dxa"/>
            <w:shd w:val="clear" w:color="auto" w:fill="auto"/>
            <w:noWrap/>
            <w:vAlign w:val="bottom"/>
          </w:tcPr>
          <w:p w14:paraId="0A57D0F4" w14:textId="0323AF38"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Hawthorne, 2012</w:t>
            </w:r>
          </w:p>
        </w:tc>
        <w:tc>
          <w:tcPr>
            <w:tcW w:w="1045" w:type="dxa"/>
            <w:vAlign w:val="bottom"/>
          </w:tcPr>
          <w:p w14:paraId="65F7CBB9" w14:textId="0B05A1C2"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2 stars</w:t>
            </w:r>
          </w:p>
        </w:tc>
      </w:tr>
      <w:tr w:rsidR="00B0410E" w:rsidRPr="00C523C3" w14:paraId="3173C7F8" w14:textId="77777777" w:rsidTr="00E31789">
        <w:trPr>
          <w:trHeight w:val="196"/>
        </w:trPr>
        <w:tc>
          <w:tcPr>
            <w:tcW w:w="2086" w:type="dxa"/>
            <w:shd w:val="clear" w:color="auto" w:fill="auto"/>
            <w:noWrap/>
            <w:vAlign w:val="bottom"/>
          </w:tcPr>
          <w:p w14:paraId="126533D0" w14:textId="721B3B9C"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Hopper, 1995</w:t>
            </w:r>
          </w:p>
        </w:tc>
        <w:tc>
          <w:tcPr>
            <w:tcW w:w="1045" w:type="dxa"/>
            <w:vAlign w:val="bottom"/>
          </w:tcPr>
          <w:p w14:paraId="4F816104" w14:textId="19CABFFC"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2 stars</w:t>
            </w:r>
          </w:p>
        </w:tc>
      </w:tr>
      <w:tr w:rsidR="00B0410E" w:rsidRPr="00C523C3" w14:paraId="5721D4DF" w14:textId="77777777" w:rsidTr="00E31789">
        <w:trPr>
          <w:trHeight w:val="196"/>
        </w:trPr>
        <w:tc>
          <w:tcPr>
            <w:tcW w:w="2086" w:type="dxa"/>
            <w:shd w:val="clear" w:color="auto" w:fill="auto"/>
            <w:noWrap/>
            <w:vAlign w:val="bottom"/>
          </w:tcPr>
          <w:p w14:paraId="132E4524" w14:textId="1233D588"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Jacques, 1993</w:t>
            </w:r>
          </w:p>
        </w:tc>
        <w:tc>
          <w:tcPr>
            <w:tcW w:w="1045" w:type="dxa"/>
            <w:vAlign w:val="bottom"/>
          </w:tcPr>
          <w:p w14:paraId="711F4187" w14:textId="6993719C"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2 stars</w:t>
            </w:r>
          </w:p>
        </w:tc>
      </w:tr>
      <w:tr w:rsidR="00B0410E" w:rsidRPr="00C523C3" w14:paraId="2F9C3739" w14:textId="77777777" w:rsidTr="00E31789">
        <w:trPr>
          <w:trHeight w:val="196"/>
        </w:trPr>
        <w:tc>
          <w:tcPr>
            <w:tcW w:w="2086" w:type="dxa"/>
            <w:shd w:val="clear" w:color="auto" w:fill="auto"/>
            <w:noWrap/>
            <w:vAlign w:val="bottom"/>
          </w:tcPr>
          <w:p w14:paraId="72D7677C" w14:textId="4156D4B1"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lastRenderedPageBreak/>
              <w:t>Marrero, 2000</w:t>
            </w:r>
          </w:p>
        </w:tc>
        <w:tc>
          <w:tcPr>
            <w:tcW w:w="1045" w:type="dxa"/>
            <w:vAlign w:val="bottom"/>
          </w:tcPr>
          <w:p w14:paraId="4CA9F802" w14:textId="3B2A6052"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2 stars</w:t>
            </w:r>
          </w:p>
        </w:tc>
      </w:tr>
      <w:tr w:rsidR="00B0410E" w:rsidRPr="00C523C3" w14:paraId="4F5CC07C" w14:textId="77777777" w:rsidTr="00E31789">
        <w:trPr>
          <w:trHeight w:val="196"/>
        </w:trPr>
        <w:tc>
          <w:tcPr>
            <w:tcW w:w="2086" w:type="dxa"/>
            <w:shd w:val="clear" w:color="auto" w:fill="auto"/>
            <w:noWrap/>
            <w:vAlign w:val="bottom"/>
          </w:tcPr>
          <w:p w14:paraId="6F68088F" w14:textId="63BDF158"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McDowell, 2012</w:t>
            </w:r>
          </w:p>
        </w:tc>
        <w:tc>
          <w:tcPr>
            <w:tcW w:w="1045" w:type="dxa"/>
            <w:vAlign w:val="bottom"/>
          </w:tcPr>
          <w:p w14:paraId="051D47EB" w14:textId="08E0A8B8"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2 stars</w:t>
            </w:r>
          </w:p>
        </w:tc>
      </w:tr>
      <w:tr w:rsidR="00B0410E" w:rsidRPr="00C523C3" w14:paraId="46F2C79D" w14:textId="77777777" w:rsidTr="00E31789">
        <w:trPr>
          <w:trHeight w:val="196"/>
        </w:trPr>
        <w:tc>
          <w:tcPr>
            <w:tcW w:w="2086" w:type="dxa"/>
            <w:shd w:val="clear" w:color="auto" w:fill="auto"/>
            <w:noWrap/>
            <w:vAlign w:val="bottom"/>
          </w:tcPr>
          <w:p w14:paraId="333DCDA2" w14:textId="2DB555F7"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Parry Strong, 2014</w:t>
            </w:r>
          </w:p>
        </w:tc>
        <w:tc>
          <w:tcPr>
            <w:tcW w:w="1045" w:type="dxa"/>
            <w:vAlign w:val="bottom"/>
          </w:tcPr>
          <w:p w14:paraId="65068A41" w14:textId="20AFA446" w:rsidR="00B0410E" w:rsidRPr="00C523C3" w:rsidRDefault="00B0410E" w:rsidP="00B0410E">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2 stars</w:t>
            </w:r>
          </w:p>
        </w:tc>
      </w:tr>
      <w:tr w:rsidR="00927E75" w:rsidRPr="00C523C3" w14:paraId="4ABC5410" w14:textId="77777777" w:rsidTr="00E31789">
        <w:trPr>
          <w:trHeight w:val="196"/>
        </w:trPr>
        <w:tc>
          <w:tcPr>
            <w:tcW w:w="2086" w:type="dxa"/>
            <w:shd w:val="clear" w:color="auto" w:fill="auto"/>
            <w:noWrap/>
            <w:vAlign w:val="bottom"/>
          </w:tcPr>
          <w:p w14:paraId="101BBDC1"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de Fine, 2005</w:t>
            </w:r>
          </w:p>
        </w:tc>
        <w:tc>
          <w:tcPr>
            <w:tcW w:w="1045" w:type="dxa"/>
            <w:vAlign w:val="bottom"/>
          </w:tcPr>
          <w:p w14:paraId="134B4C57"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1 star</w:t>
            </w:r>
          </w:p>
        </w:tc>
      </w:tr>
      <w:tr w:rsidR="00927E75" w:rsidRPr="00C523C3" w14:paraId="7CC9636C" w14:textId="77777777" w:rsidTr="00E31789">
        <w:trPr>
          <w:trHeight w:val="196"/>
        </w:trPr>
        <w:tc>
          <w:tcPr>
            <w:tcW w:w="2086" w:type="dxa"/>
            <w:shd w:val="clear" w:color="auto" w:fill="auto"/>
            <w:noWrap/>
            <w:vAlign w:val="bottom"/>
          </w:tcPr>
          <w:p w14:paraId="35F1B4F7"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Fogelman, 2015</w:t>
            </w:r>
          </w:p>
        </w:tc>
        <w:tc>
          <w:tcPr>
            <w:tcW w:w="1045" w:type="dxa"/>
            <w:vAlign w:val="bottom"/>
          </w:tcPr>
          <w:p w14:paraId="14B848B1"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1 star</w:t>
            </w:r>
          </w:p>
        </w:tc>
      </w:tr>
      <w:tr w:rsidR="00927E75" w:rsidRPr="00C523C3" w14:paraId="6F1AC813" w14:textId="77777777" w:rsidTr="00E31789">
        <w:trPr>
          <w:trHeight w:val="196"/>
        </w:trPr>
        <w:tc>
          <w:tcPr>
            <w:tcW w:w="2086" w:type="dxa"/>
            <w:shd w:val="clear" w:color="auto" w:fill="auto"/>
            <w:noWrap/>
            <w:vAlign w:val="bottom"/>
          </w:tcPr>
          <w:p w14:paraId="5D46B547"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Gross, 2008</w:t>
            </w:r>
          </w:p>
        </w:tc>
        <w:tc>
          <w:tcPr>
            <w:tcW w:w="1045" w:type="dxa"/>
            <w:vAlign w:val="bottom"/>
          </w:tcPr>
          <w:p w14:paraId="7CA55E2C"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1 star</w:t>
            </w:r>
          </w:p>
        </w:tc>
      </w:tr>
      <w:tr w:rsidR="00927E75" w:rsidRPr="00C523C3" w14:paraId="61FAF9AC" w14:textId="77777777" w:rsidTr="00E31789">
        <w:trPr>
          <w:trHeight w:val="196"/>
        </w:trPr>
        <w:tc>
          <w:tcPr>
            <w:tcW w:w="2086" w:type="dxa"/>
            <w:shd w:val="clear" w:color="auto" w:fill="auto"/>
            <w:noWrap/>
            <w:vAlign w:val="bottom"/>
          </w:tcPr>
          <w:p w14:paraId="18814049"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Woodcock, 2001</w:t>
            </w:r>
          </w:p>
        </w:tc>
        <w:tc>
          <w:tcPr>
            <w:tcW w:w="1045" w:type="dxa"/>
            <w:vAlign w:val="bottom"/>
          </w:tcPr>
          <w:p w14:paraId="318BF9CD"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1 star</w:t>
            </w:r>
          </w:p>
        </w:tc>
      </w:tr>
    </w:tbl>
    <w:p w14:paraId="74493145" w14:textId="77777777" w:rsidR="00927E75" w:rsidRDefault="00927E75" w:rsidP="00927E75">
      <w:pPr>
        <w:pStyle w:val="Heading3"/>
      </w:pPr>
      <w:r w:rsidRPr="00647167">
        <w:t xml:space="preserve">Christensen </w:t>
      </w:r>
      <w:r w:rsidRPr="00927E75">
        <w:t>2016</w:t>
      </w:r>
      <w:r>
        <w:t xml:space="preserve"> </w:t>
      </w:r>
      <w:r>
        <w:fldChar w:fldCharType="begin"/>
      </w:r>
      <w:r>
        <w:instrText xml:space="preserve"> ADDIN ZOTERO_ITEM CSL_CITATION {"citationID":"3qFZXtPO","properties":{"formattedCitation":"(30)","plainCitation":"(30)","noteIndex":0},"citationItems":[{"id":4676,"uris":["http://zotero.org/users/9556781/items/5HD985LK"],"itemData":{"id":4676,"type":"article-journal","abstract":"PURPOSE: This review was designed as a qualitative metasynthesis aiming to identify factors influencing the intention to exercise and the execution of exercise among persons with multiple sclerosis (PwMS). METHOD: Based on principles laid out by Sandelowski and Barroso, this qualitative metasynthesis started with a systematic literature search for studies of PwMS's experiences relating to exercise in the following databases: CINAHL, Rehabilitation and Sports Medicine Source, PubMed, Web of Science and Psychology &amp; Behavioral Science. The metasynthesis procedure also included critical appraisal using the Consolidated Criteria for Reporting Qualitative Research checklist, and integrating synthesis of the articles' findings. RESULTS: The metasynthesis included nine articles. Factors identified as influencing intention to exercise and the execution of exercise included social support, professional support and outcome expectations. Strong relationships between these three themes were detected for the intention to exercise, the execution of exercise or both among PwMS. CONCLUSIONS: The present metasynthesis offers a comprehensive understanding of factors influencing the intention to exercise and the execution of exercise among PwMS. Our findings reveal that health professionals influence the part of the process where PwMS enter the exercise setting, as well as the PwMS's intention to exercise. IMPLICATIONS FOR REHABILITATION: Social support, professional support and outcome expectations are potential facilitators and barriers for the intention to exercise and the execution of exercise among PwMS. Health professionals specializing in MS rehabilitation can influence the intention and the execution of physical exercise among PwMS when there exists a personal and supportive patient-professional relationship. Outcome expectations may impact the motivational and volitional phases of physical exercise.","container-title":"Disabil Rehabil","DOI":"10.3109/09638288.2015.1091859","ISSN":"0963-8288","issue":"11","note":"Citation Key: Included by both","page":"1023-33","title":"The intention to exercise and the execution of exercise among persons with multiple sclerosis--a qualitative metasynthesis","volume":"38","author":[{"family":"Christensen","given":"M. E."},{"family":"Brincks","given":"J."},{"family":"Schnieber","given":"A."},{"family":"Soerensen","given":"D."}],"issued":{"date-parts":[["2016"]]}}}],"schema":"https://github.com/citation-style-language/schema/raw/master/csl-citation.json"} </w:instrText>
      </w:r>
      <w:r>
        <w:fldChar w:fldCharType="separate"/>
      </w:r>
      <w:r w:rsidRPr="00F45A36">
        <w:rPr>
          <w:rFonts w:ascii="Calibri" w:hAnsi="Calibri" w:cs="Calibri"/>
        </w:rPr>
        <w:t>(30)</w:t>
      </w:r>
      <w:r>
        <w:fldChar w:fldCharType="end"/>
      </w:r>
      <w:r w:rsidRPr="00647167">
        <w:tab/>
      </w:r>
    </w:p>
    <w:p w14:paraId="36F41296" w14:textId="77777777" w:rsidR="00927E75" w:rsidRPr="00E512CD" w:rsidRDefault="00927E75" w:rsidP="00927E75">
      <w:pPr>
        <w:spacing w:line="276" w:lineRule="auto"/>
        <w:rPr>
          <w:lang w:eastAsia="en-US"/>
        </w:rPr>
      </w:pPr>
      <w:r w:rsidRPr="00E512CD">
        <w:rPr>
          <w:lang w:eastAsia="en-US"/>
        </w:rPr>
        <w:t xml:space="preserve">This included review assessed </w:t>
      </w:r>
      <w:proofErr w:type="spellStart"/>
      <w:r>
        <w:t>RoB</w:t>
      </w:r>
      <w:proofErr w:type="spellEnd"/>
      <w:r w:rsidRPr="00E512CD">
        <w:rPr>
          <w:lang w:eastAsia="en-US"/>
        </w:rPr>
        <w:t xml:space="preserve"> using the Consolidated Criteria for Reporting Qualitative Research (COREQ) tool. </w:t>
      </w:r>
      <w:proofErr w:type="spellStart"/>
      <w:r>
        <w:t>RoB</w:t>
      </w:r>
      <w:proofErr w:type="spellEnd"/>
      <w:r w:rsidRPr="00E512CD">
        <w:rPr>
          <w:lang w:eastAsia="en-US"/>
        </w:rPr>
        <w:t xml:space="preserve"> ratings </w:t>
      </w:r>
      <w:r>
        <w:rPr>
          <w:lang w:eastAsia="en-US"/>
        </w:rPr>
        <w:t>are not reported for this study.</w:t>
      </w:r>
    </w:p>
    <w:p w14:paraId="4C79DB55" w14:textId="77777777" w:rsidR="00927E75" w:rsidRDefault="00927E75" w:rsidP="00927E75">
      <w:pPr>
        <w:pStyle w:val="Heading3"/>
      </w:pPr>
      <w:r w:rsidRPr="00647167">
        <w:t>Dash 2020</w:t>
      </w:r>
      <w:r>
        <w:t xml:space="preserve"> </w:t>
      </w:r>
      <w:r>
        <w:fldChar w:fldCharType="begin"/>
      </w:r>
      <w:r>
        <w:instrText xml:space="preserve"> ADDIN ZOTERO_ITEM CSL_CITATION {"citationID":"Y5pstEBl","properties":{"formattedCitation":"(37)","plainCitation":"(37)","noteIndex":0},"citationItems":[{"id":4675,"uris":["http://zotero.org/users/9556781/items/9ZGCQTPF"],"itemData":{"id":4675,"type":"article-journal","abstract":"AIMS: To explore the qualitative literature on the perceived factors, positive and negative, affecting participation by children and adolescents with type 1 diabetes in physical activity, from the perspective of children and adolescents with type 1 diabetes, their family members, teachers or sports coaches, and healthcare professionals. METHODS: MEDLINE, SPORTDiscus, PsycINFO, CINAHL and Scopus were systematically searched in July 2019. Eligible studies included any that reported qualitative findings on the perceived factors that affect participation in physical activity from either the perspective of children or adolescents with type 1 diabetes, their family members, teachers or coaches, and healthcare professionals. RESULTS: The literature search yielded a total of 7859 studies, of which 14 (13 qualitative studies and one mixed-methods study) met the review inclusion criteria. In total there were 12 unique populations containing 270 individuals, 105 children or adolescents with type 1 diabetes,108 family members, 37 teachers and 20 healthcare professionals. The main factors thought to influence physical activity for this population were the individual characteristics of children and adolescents, the requirement for self-blood glucose regulation, support systems including friends, family, teachers and professionals, education and knowledge, and communication. CONCLUSIONS: This review synthesizes views on the perceived factors from several different perspectives. The findings suggest that it is important to consider the needs of the wider support network, as well as the child's or adolescent's concerns and preferences, when developing new or existing strategies and programmes to promote physical activity in children and adolescents with type 1 diabetes.","container-title":"Diabet Med","DOI":"10.1111/dme.14299","ISSN":"0742-3071","issue":"6","note":"Citation Key: Included by Hannah","page":"934-944","title":"A qualitative synthesis of the perceived factors that affect participation in physical activity among children and adolescents with type 1 diabetes","volume":"37","author":[{"family":"Dash","given":"K."},{"family":"Goyder","given":"E. C."},{"family":"Quirk","given":"H."}],"issued":{"date-parts":[["2020",6]]}}}],"schema":"https://github.com/citation-style-language/schema/raw/master/csl-citation.json"} </w:instrText>
      </w:r>
      <w:r>
        <w:fldChar w:fldCharType="separate"/>
      </w:r>
      <w:r w:rsidRPr="00F45A36">
        <w:rPr>
          <w:rFonts w:ascii="Calibri" w:hAnsi="Calibri" w:cs="Calibri"/>
        </w:rPr>
        <w:t>(37)</w:t>
      </w:r>
      <w:r>
        <w:fldChar w:fldCharType="end"/>
      </w:r>
      <w:r w:rsidRPr="00647167">
        <w:tab/>
      </w:r>
    </w:p>
    <w:p w14:paraId="79E039B8" w14:textId="77777777" w:rsidR="00927E75" w:rsidRPr="00CB53E8" w:rsidRDefault="00927E75" w:rsidP="00927E75">
      <w:pPr>
        <w:spacing w:line="276" w:lineRule="auto"/>
        <w:rPr>
          <w:lang w:eastAsia="en-US"/>
        </w:rPr>
      </w:pPr>
      <w:r w:rsidRPr="00CB53E8">
        <w:rPr>
          <w:lang w:eastAsia="en-US"/>
        </w:rPr>
        <w:t xml:space="preserve">This included review assessed </w:t>
      </w:r>
      <w:proofErr w:type="spellStart"/>
      <w:r>
        <w:t>RoB</w:t>
      </w:r>
      <w:proofErr w:type="spellEnd"/>
      <w:r w:rsidRPr="00CB53E8">
        <w:rPr>
          <w:lang w:eastAsia="en-US"/>
        </w:rPr>
        <w:t xml:space="preserve"> using the Critical Appraisal Skills Programmes (CASP) checklist for qualitative research tool. </w:t>
      </w:r>
      <w:proofErr w:type="spellStart"/>
      <w:r>
        <w:t>RoB</w:t>
      </w:r>
      <w:proofErr w:type="spellEnd"/>
      <w:r w:rsidRPr="00CB53E8">
        <w:rPr>
          <w:lang w:eastAsia="en-US"/>
        </w:rPr>
        <w:t xml:space="preserve"> ratings for this tool can be interpreted as </w:t>
      </w:r>
      <w:r>
        <w:rPr>
          <w:lang w:eastAsia="en-US"/>
        </w:rPr>
        <w:t>a score</w:t>
      </w:r>
      <w:r w:rsidRPr="00CB53E8">
        <w:rPr>
          <w:lang w:eastAsia="en-US"/>
        </w:rPr>
        <w:t xml:space="preserve"> out of 10</w:t>
      </w:r>
      <w:r>
        <w:rPr>
          <w:lang w:eastAsia="en-US"/>
        </w:rPr>
        <w:t xml:space="preserve">, where higher score means higher </w:t>
      </w:r>
      <w:proofErr w:type="gramStart"/>
      <w:r>
        <w:rPr>
          <w:lang w:eastAsia="en-US"/>
        </w:rPr>
        <w:t>quality</w:t>
      </w:r>
      <w:r w:rsidRPr="00CB53E8">
        <w:rPr>
          <w:lang w:eastAsia="en-US"/>
        </w:rPr>
        <w:t>..</w:t>
      </w:r>
      <w:proofErr w:type="gramEnd"/>
      <w:r w:rsidRPr="00CB53E8">
        <w:rPr>
          <w:lang w:eastAsia="en-US"/>
        </w:rPr>
        <w:t xml:space="preserve"> Below is the </w:t>
      </w:r>
      <w:proofErr w:type="spellStart"/>
      <w:r>
        <w:t>RoB</w:t>
      </w:r>
      <w:proofErr w:type="spellEnd"/>
      <w:r w:rsidRPr="00CB53E8">
        <w:rPr>
          <w:lang w:eastAsia="en-US"/>
        </w:rPr>
        <w:t xml:space="preserve"> ratings for each included primary study.</w:t>
      </w:r>
    </w:p>
    <w:tbl>
      <w:tblPr>
        <w:tblW w:w="3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1045"/>
      </w:tblGrid>
      <w:tr w:rsidR="00927E75" w:rsidRPr="00C523C3" w14:paraId="7C483E33" w14:textId="77777777" w:rsidTr="00E31789">
        <w:trPr>
          <w:trHeight w:val="177"/>
        </w:trPr>
        <w:tc>
          <w:tcPr>
            <w:tcW w:w="2086" w:type="dxa"/>
            <w:shd w:val="clear" w:color="auto" w:fill="5B9BD5"/>
            <w:hideMark/>
          </w:tcPr>
          <w:p w14:paraId="2A1352FD"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r w:rsidRPr="006A1A3F">
              <w:rPr>
                <w:rFonts w:ascii="Arial Narrow" w:eastAsia="Times New Roman" w:hAnsi="Arial Narrow" w:cs="Calibri"/>
                <w:b/>
                <w:bCs/>
                <w:color w:val="FFFFFF" w:themeColor="background1"/>
                <w:sz w:val="18"/>
                <w:szCs w:val="18"/>
              </w:rPr>
              <w:t>Author, Year</w:t>
            </w:r>
          </w:p>
        </w:tc>
        <w:tc>
          <w:tcPr>
            <w:tcW w:w="1045" w:type="dxa"/>
            <w:shd w:val="clear" w:color="auto" w:fill="5B9BD5"/>
          </w:tcPr>
          <w:p w14:paraId="4263733A"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proofErr w:type="spellStart"/>
            <w:r w:rsidRPr="006A1A3F">
              <w:rPr>
                <w:rFonts w:ascii="Arial Narrow" w:eastAsia="Times New Roman" w:hAnsi="Arial Narrow" w:cs="Calibri"/>
                <w:b/>
                <w:bCs/>
                <w:color w:val="FFFFFF" w:themeColor="background1"/>
                <w:sz w:val="18"/>
                <w:szCs w:val="18"/>
              </w:rPr>
              <w:t>RoB</w:t>
            </w:r>
            <w:proofErr w:type="spellEnd"/>
            <w:r w:rsidRPr="006A1A3F">
              <w:rPr>
                <w:rFonts w:ascii="Arial Narrow" w:eastAsia="Times New Roman" w:hAnsi="Arial Narrow" w:cs="Calibri"/>
                <w:b/>
                <w:bCs/>
                <w:color w:val="FFFFFF" w:themeColor="background1"/>
                <w:sz w:val="18"/>
                <w:szCs w:val="18"/>
              </w:rPr>
              <w:t xml:space="preserve"> Rating</w:t>
            </w:r>
          </w:p>
        </w:tc>
      </w:tr>
      <w:tr w:rsidR="00927E75" w:rsidRPr="00C523C3" w14:paraId="4F3C57C5" w14:textId="77777777" w:rsidTr="00E31789">
        <w:trPr>
          <w:trHeight w:val="196"/>
        </w:trPr>
        <w:tc>
          <w:tcPr>
            <w:tcW w:w="2086" w:type="dxa"/>
            <w:shd w:val="clear" w:color="auto" w:fill="auto"/>
            <w:noWrap/>
            <w:vAlign w:val="bottom"/>
          </w:tcPr>
          <w:p w14:paraId="7A872B53"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Blake, 2018</w:t>
            </w:r>
          </w:p>
        </w:tc>
        <w:tc>
          <w:tcPr>
            <w:tcW w:w="1045" w:type="dxa"/>
            <w:vAlign w:val="bottom"/>
          </w:tcPr>
          <w:p w14:paraId="2E9618A6"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w:t>
            </w:r>
          </w:p>
        </w:tc>
      </w:tr>
      <w:tr w:rsidR="00927E75" w:rsidRPr="00C523C3" w14:paraId="631916F2" w14:textId="77777777" w:rsidTr="00E31789">
        <w:trPr>
          <w:trHeight w:val="196"/>
        </w:trPr>
        <w:tc>
          <w:tcPr>
            <w:tcW w:w="2086" w:type="dxa"/>
            <w:shd w:val="clear" w:color="auto" w:fill="auto"/>
            <w:noWrap/>
            <w:vAlign w:val="bottom"/>
          </w:tcPr>
          <w:p w14:paraId="58FFF4A2"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Burke, 2007</w:t>
            </w:r>
          </w:p>
        </w:tc>
        <w:tc>
          <w:tcPr>
            <w:tcW w:w="1045" w:type="dxa"/>
            <w:vAlign w:val="bottom"/>
          </w:tcPr>
          <w:p w14:paraId="6E58E369"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8</w:t>
            </w:r>
          </w:p>
        </w:tc>
      </w:tr>
      <w:tr w:rsidR="00927E75" w:rsidRPr="00C523C3" w14:paraId="1229077E" w14:textId="77777777" w:rsidTr="00E31789">
        <w:trPr>
          <w:trHeight w:val="196"/>
        </w:trPr>
        <w:tc>
          <w:tcPr>
            <w:tcW w:w="2086" w:type="dxa"/>
            <w:shd w:val="clear" w:color="auto" w:fill="auto"/>
            <w:noWrap/>
            <w:vAlign w:val="bottom"/>
          </w:tcPr>
          <w:p w14:paraId="54924004"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Fereday, 2009</w:t>
            </w:r>
          </w:p>
        </w:tc>
        <w:tc>
          <w:tcPr>
            <w:tcW w:w="1045" w:type="dxa"/>
            <w:vAlign w:val="bottom"/>
          </w:tcPr>
          <w:p w14:paraId="09AECE32"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9.5</w:t>
            </w:r>
          </w:p>
        </w:tc>
      </w:tr>
      <w:tr w:rsidR="00927E75" w:rsidRPr="00C523C3" w14:paraId="3485E166" w14:textId="77777777" w:rsidTr="00E31789">
        <w:trPr>
          <w:trHeight w:val="196"/>
        </w:trPr>
        <w:tc>
          <w:tcPr>
            <w:tcW w:w="2086" w:type="dxa"/>
            <w:shd w:val="clear" w:color="auto" w:fill="auto"/>
            <w:noWrap/>
            <w:vAlign w:val="bottom"/>
          </w:tcPr>
          <w:p w14:paraId="4B113082"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Freeborn, 2013</w:t>
            </w:r>
          </w:p>
        </w:tc>
        <w:tc>
          <w:tcPr>
            <w:tcW w:w="1045" w:type="dxa"/>
            <w:vAlign w:val="bottom"/>
          </w:tcPr>
          <w:p w14:paraId="6D7ECCDB"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7</w:t>
            </w:r>
          </w:p>
        </w:tc>
      </w:tr>
      <w:tr w:rsidR="00927E75" w:rsidRPr="00C523C3" w14:paraId="56A15ABC" w14:textId="77777777" w:rsidTr="00E31789">
        <w:trPr>
          <w:trHeight w:val="196"/>
        </w:trPr>
        <w:tc>
          <w:tcPr>
            <w:tcW w:w="2086" w:type="dxa"/>
            <w:shd w:val="clear" w:color="auto" w:fill="auto"/>
            <w:noWrap/>
            <w:vAlign w:val="bottom"/>
          </w:tcPr>
          <w:p w14:paraId="0F24D901"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MacMillan, 2015</w:t>
            </w:r>
          </w:p>
        </w:tc>
        <w:tc>
          <w:tcPr>
            <w:tcW w:w="1045" w:type="dxa"/>
            <w:vAlign w:val="bottom"/>
          </w:tcPr>
          <w:p w14:paraId="13A5B1C4"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9.5</w:t>
            </w:r>
          </w:p>
        </w:tc>
      </w:tr>
      <w:tr w:rsidR="00927E75" w:rsidRPr="00C523C3" w14:paraId="44D15C9E" w14:textId="77777777" w:rsidTr="00E31789">
        <w:trPr>
          <w:trHeight w:val="196"/>
        </w:trPr>
        <w:tc>
          <w:tcPr>
            <w:tcW w:w="2086" w:type="dxa"/>
            <w:shd w:val="clear" w:color="auto" w:fill="auto"/>
            <w:noWrap/>
            <w:vAlign w:val="bottom"/>
          </w:tcPr>
          <w:p w14:paraId="0722B06C"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MacMillan, 2016</w:t>
            </w:r>
          </w:p>
        </w:tc>
        <w:tc>
          <w:tcPr>
            <w:tcW w:w="1045" w:type="dxa"/>
            <w:vAlign w:val="bottom"/>
          </w:tcPr>
          <w:p w14:paraId="58D6D5B5"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8.5</w:t>
            </w:r>
          </w:p>
        </w:tc>
      </w:tr>
      <w:tr w:rsidR="00927E75" w:rsidRPr="00C523C3" w14:paraId="615F360B" w14:textId="77777777" w:rsidTr="00E31789">
        <w:trPr>
          <w:trHeight w:val="196"/>
        </w:trPr>
        <w:tc>
          <w:tcPr>
            <w:tcW w:w="2086" w:type="dxa"/>
            <w:shd w:val="clear" w:color="auto" w:fill="auto"/>
            <w:noWrap/>
            <w:vAlign w:val="bottom"/>
          </w:tcPr>
          <w:p w14:paraId="2EDAE766"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Mitchell, 2017</w:t>
            </w:r>
          </w:p>
        </w:tc>
        <w:tc>
          <w:tcPr>
            <w:tcW w:w="1045" w:type="dxa"/>
            <w:vAlign w:val="bottom"/>
          </w:tcPr>
          <w:p w14:paraId="1EEC1145"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w:t>
            </w:r>
          </w:p>
        </w:tc>
      </w:tr>
      <w:tr w:rsidR="00927E75" w:rsidRPr="00C523C3" w14:paraId="2A08A543" w14:textId="77777777" w:rsidTr="00E31789">
        <w:trPr>
          <w:trHeight w:val="196"/>
        </w:trPr>
        <w:tc>
          <w:tcPr>
            <w:tcW w:w="2086" w:type="dxa"/>
            <w:shd w:val="clear" w:color="auto" w:fill="auto"/>
            <w:noWrap/>
            <w:vAlign w:val="bottom"/>
          </w:tcPr>
          <w:p w14:paraId="1CA923C2"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Quirk, 2014</w:t>
            </w:r>
          </w:p>
        </w:tc>
        <w:tc>
          <w:tcPr>
            <w:tcW w:w="1045" w:type="dxa"/>
            <w:vAlign w:val="bottom"/>
          </w:tcPr>
          <w:p w14:paraId="1FCD8233"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w:t>
            </w:r>
          </w:p>
        </w:tc>
      </w:tr>
      <w:tr w:rsidR="00927E75" w:rsidRPr="00C523C3" w14:paraId="0CD861BC" w14:textId="77777777" w:rsidTr="00E31789">
        <w:trPr>
          <w:trHeight w:val="196"/>
        </w:trPr>
        <w:tc>
          <w:tcPr>
            <w:tcW w:w="2086" w:type="dxa"/>
            <w:shd w:val="clear" w:color="auto" w:fill="auto"/>
            <w:noWrap/>
            <w:vAlign w:val="bottom"/>
          </w:tcPr>
          <w:p w14:paraId="28B8C0CD"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Quirk, 2015</w:t>
            </w:r>
          </w:p>
        </w:tc>
        <w:tc>
          <w:tcPr>
            <w:tcW w:w="1045" w:type="dxa"/>
            <w:vAlign w:val="bottom"/>
          </w:tcPr>
          <w:p w14:paraId="52C93A8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w:t>
            </w:r>
          </w:p>
        </w:tc>
      </w:tr>
      <w:tr w:rsidR="00927E75" w:rsidRPr="00C523C3" w14:paraId="73A40209" w14:textId="77777777" w:rsidTr="00E31789">
        <w:trPr>
          <w:trHeight w:val="196"/>
        </w:trPr>
        <w:tc>
          <w:tcPr>
            <w:tcW w:w="2086" w:type="dxa"/>
            <w:shd w:val="clear" w:color="auto" w:fill="auto"/>
            <w:noWrap/>
            <w:vAlign w:val="bottom"/>
          </w:tcPr>
          <w:p w14:paraId="642A1E58"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Quirk, 2016</w:t>
            </w:r>
          </w:p>
        </w:tc>
        <w:tc>
          <w:tcPr>
            <w:tcW w:w="1045" w:type="dxa"/>
            <w:vAlign w:val="bottom"/>
          </w:tcPr>
          <w:p w14:paraId="3EDB06E3"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9.5</w:t>
            </w:r>
          </w:p>
        </w:tc>
      </w:tr>
      <w:tr w:rsidR="00927E75" w:rsidRPr="00C523C3" w14:paraId="4A745D4A" w14:textId="77777777" w:rsidTr="00E31789">
        <w:trPr>
          <w:trHeight w:val="196"/>
        </w:trPr>
        <w:tc>
          <w:tcPr>
            <w:tcW w:w="2086" w:type="dxa"/>
            <w:shd w:val="clear" w:color="auto" w:fill="auto"/>
            <w:noWrap/>
            <w:vAlign w:val="bottom"/>
          </w:tcPr>
          <w:p w14:paraId="75EF0FB9" w14:textId="77777777" w:rsidR="00927E75" w:rsidRPr="00C523C3" w:rsidRDefault="00927E75" w:rsidP="00E31789">
            <w:pPr>
              <w:spacing w:line="276" w:lineRule="auto"/>
              <w:rPr>
                <w:rFonts w:ascii="Arial Narrow" w:eastAsia="Times New Roman" w:hAnsi="Arial Narrow" w:cs="Calibri"/>
                <w:color w:val="000000"/>
                <w:sz w:val="18"/>
                <w:szCs w:val="18"/>
              </w:rPr>
            </w:pPr>
            <w:proofErr w:type="spellStart"/>
            <w:r w:rsidRPr="00C523C3">
              <w:rPr>
                <w:rFonts w:ascii="Arial Narrow" w:eastAsia="Times New Roman" w:hAnsi="Arial Narrow" w:cs="Calibri"/>
                <w:color w:val="000000"/>
                <w:sz w:val="18"/>
                <w:szCs w:val="18"/>
              </w:rPr>
              <w:t>Ryninks</w:t>
            </w:r>
            <w:proofErr w:type="spellEnd"/>
            <w:r w:rsidRPr="00C523C3">
              <w:rPr>
                <w:rFonts w:ascii="Arial Narrow" w:eastAsia="Times New Roman" w:hAnsi="Arial Narrow" w:cs="Calibri"/>
                <w:color w:val="000000"/>
                <w:sz w:val="18"/>
                <w:szCs w:val="18"/>
              </w:rPr>
              <w:t>, 2015</w:t>
            </w:r>
          </w:p>
        </w:tc>
        <w:tc>
          <w:tcPr>
            <w:tcW w:w="1045" w:type="dxa"/>
            <w:vAlign w:val="bottom"/>
          </w:tcPr>
          <w:p w14:paraId="6F3B212B"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8.5</w:t>
            </w:r>
          </w:p>
        </w:tc>
      </w:tr>
      <w:tr w:rsidR="00927E75" w:rsidRPr="00C523C3" w14:paraId="6776582A" w14:textId="77777777" w:rsidTr="00E31789">
        <w:trPr>
          <w:trHeight w:val="196"/>
        </w:trPr>
        <w:tc>
          <w:tcPr>
            <w:tcW w:w="2086" w:type="dxa"/>
            <w:shd w:val="clear" w:color="auto" w:fill="auto"/>
            <w:noWrap/>
            <w:vAlign w:val="bottom"/>
          </w:tcPr>
          <w:p w14:paraId="6D2BC4A9"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Sparapani, 2015</w:t>
            </w:r>
          </w:p>
        </w:tc>
        <w:tc>
          <w:tcPr>
            <w:tcW w:w="1045" w:type="dxa"/>
            <w:vAlign w:val="bottom"/>
          </w:tcPr>
          <w:p w14:paraId="43246CF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w:t>
            </w:r>
          </w:p>
        </w:tc>
      </w:tr>
      <w:tr w:rsidR="00927E75" w:rsidRPr="00C523C3" w14:paraId="0A4AE99E" w14:textId="77777777" w:rsidTr="00E31789">
        <w:trPr>
          <w:trHeight w:val="196"/>
        </w:trPr>
        <w:tc>
          <w:tcPr>
            <w:tcW w:w="2086" w:type="dxa"/>
            <w:shd w:val="clear" w:color="auto" w:fill="auto"/>
            <w:noWrap/>
            <w:vAlign w:val="bottom"/>
          </w:tcPr>
          <w:p w14:paraId="422121D1"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Wennick, 2009</w:t>
            </w:r>
          </w:p>
        </w:tc>
        <w:tc>
          <w:tcPr>
            <w:tcW w:w="1045" w:type="dxa"/>
            <w:vAlign w:val="bottom"/>
          </w:tcPr>
          <w:p w14:paraId="0C1B319C"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w:t>
            </w:r>
          </w:p>
        </w:tc>
      </w:tr>
      <w:tr w:rsidR="00927E75" w:rsidRPr="00C523C3" w14:paraId="588AB867" w14:textId="77777777" w:rsidTr="00E31789">
        <w:trPr>
          <w:trHeight w:val="196"/>
        </w:trPr>
        <w:tc>
          <w:tcPr>
            <w:tcW w:w="2086" w:type="dxa"/>
            <w:shd w:val="clear" w:color="auto" w:fill="auto"/>
            <w:noWrap/>
            <w:vAlign w:val="bottom"/>
          </w:tcPr>
          <w:p w14:paraId="76F111DC"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Wilkie, 2017</w:t>
            </w:r>
          </w:p>
        </w:tc>
        <w:tc>
          <w:tcPr>
            <w:tcW w:w="1045" w:type="dxa"/>
            <w:vAlign w:val="bottom"/>
          </w:tcPr>
          <w:p w14:paraId="19471F5B"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8.5</w:t>
            </w:r>
          </w:p>
        </w:tc>
      </w:tr>
    </w:tbl>
    <w:p w14:paraId="5CD13928" w14:textId="77777777" w:rsidR="00927E75" w:rsidRDefault="00927E75" w:rsidP="00927E75">
      <w:pPr>
        <w:pStyle w:val="Heading3"/>
      </w:pPr>
      <w:r w:rsidRPr="00647167">
        <w:t>Davenport 2019</w:t>
      </w:r>
      <w:r>
        <w:t xml:space="preserve"> </w:t>
      </w:r>
      <w:r>
        <w:fldChar w:fldCharType="begin"/>
      </w:r>
      <w:r>
        <w:instrText xml:space="preserve"> ADDIN ZOTERO_ITEM CSL_CITATION {"citationID":"alMnSxvs","properties":{"formattedCitation":"(40)","plainCitation":"(40)","noteIndex":0},"citationItems":[{"id":4674,"uris":["http://zotero.org/users/9556781/items/LLUSL2FG"],"itemData":{"id":4674,"type":"art</w:instrText>
      </w:r>
      <w:r>
        <w:rPr>
          <w:rFonts w:hint="eastAsia"/>
        </w:rPr>
        <w:instrText>icle-journal","abstract":"Purpose: To conduct a thematic synthesis to evaluate qualitative studies exploring individuals' experiences of psychological</w:instrText>
      </w:r>
      <w:r>
        <w:rPr>
          <w:rFonts w:hint="eastAsia"/>
        </w:rPr>
        <w:instrText>‐</w:instrText>
      </w:r>
      <w:r>
        <w:rPr>
          <w:rFonts w:hint="eastAsia"/>
        </w:rPr>
        <w:instrText>based interventions for bipolar disorder (BD). Method: A systematic search of relevant databases (Web of Science, PsycINFO, MEDLINE, CINAHL) was conducted using predefined search terms related to 'Bipolar' 'Qualitative method', 'Psychological</w:instrText>
      </w:r>
      <w:r>
        <w:rPr>
          <w:rFonts w:hint="eastAsia"/>
        </w:rPr>
        <w:instrText>‐</w:instrText>
      </w:r>
      <w:r>
        <w:rPr>
          <w:rFonts w:hint="eastAsia"/>
        </w:rPr>
        <w:instrText>based interventions' and 'Adults'. Studies meeting the inclusion criteria were selected and were then evaluated usin</w:instrText>
      </w:r>
      <w:r>
        <w:instrText>g established quality appraisal criteria. A thematic synthesis was used to synthesize the findings. Results: From the thematic synthesis, nine analytical themes were derived from the 10 identified research studies. These were helpful and unhelpful aspects of the intervention, increased knowledge of BD, mood recognition, control of moods, change of perspective, mood stability, empowerment, improved relationships and lifestyle changes. Conclusions: Findings from the review suggest there were characteristics</w:instrText>
      </w:r>
      <w:r>
        <w:rPr>
          <w:rFonts w:hint="eastAsia"/>
        </w:rPr>
        <w:instrText xml:space="preserve"> of psychological</w:instrText>
      </w:r>
      <w:r>
        <w:rPr>
          <w:rFonts w:hint="eastAsia"/>
        </w:rPr>
        <w:instrText>‐</w:instrText>
      </w:r>
      <w:r>
        <w:rPr>
          <w:rFonts w:hint="eastAsia"/>
        </w:rPr>
        <w:instrText>based interventions that individuals with BD valued and which helped facilitate areas of positive change, such as feeling empowered and in control of their moods and other aspects of their lives. However, there were also elements that individuals did not find as helpful and therefore reflects the challenge of a one</w:instrText>
      </w:r>
      <w:r>
        <w:rPr>
          <w:rFonts w:hint="eastAsia"/>
        </w:rPr>
        <w:instrText>‐</w:instrText>
      </w:r>
      <w:r>
        <w:rPr>
          <w:rFonts w:hint="eastAsia"/>
        </w:rPr>
        <w:instrText>size</w:instrText>
      </w:r>
      <w:r>
        <w:rPr>
          <w:rFonts w:hint="eastAsia"/>
        </w:rPr>
        <w:instrText>‐</w:instrText>
      </w:r>
      <w:r>
        <w:rPr>
          <w:rFonts w:hint="eastAsia"/>
        </w:rPr>
        <w:instrText>fits</w:instrText>
      </w:r>
      <w:r>
        <w:rPr>
          <w:rFonts w:hint="eastAsia"/>
        </w:rPr>
        <w:instrText>‐</w:instrText>
      </w:r>
      <w:r>
        <w:rPr>
          <w:rFonts w:hint="eastAsia"/>
        </w:rPr>
        <w:instrText>all model or plan of interventions, compared to a wider recognition of the individuals as being the agent of their recovery. Future qualitative research is needed to explore individual experiences across a range of psychological interventions, in order to further understand the therapeutic processes, which may facilitate recovery. Practitioner points: Psychological</w:instrText>
      </w:r>
      <w:r>
        <w:rPr>
          <w:rFonts w:hint="eastAsia"/>
        </w:rPr>
        <w:instrText>‐</w:instrText>
      </w:r>
      <w:r>
        <w:rPr>
          <w:rFonts w:hint="eastAsia"/>
        </w:rPr>
        <w:instrText>based interventions for BD need to consider facilita</w:instrText>
      </w:r>
      <w:r>
        <w:instrText>ting and measuring empowerment in individuals, rather than focusing just on mood stability.Clinicians with expertise and knowledge in BD should provide timely information to individuals and their families to help increase their understanding of the diagno</w:instrText>
      </w:r>
      <w:r>
        <w:rPr>
          <w:rFonts w:hint="eastAsia"/>
        </w:rPr>
        <w:instrText>sis.","container-title":"Psychology &amp; Psychotherapy: Theory, Research &amp; Practice","DOI":"10.1111/papt.12197","ISSN":"1476-0835","issue":"4","note":"Citation Key: Included by both","page":"499-522","title":"Individual experiences of psychological</w:instrText>
      </w:r>
      <w:r>
        <w:rPr>
          <w:rFonts w:hint="eastAsia"/>
        </w:rPr>
        <w:instrText>‐</w:instrText>
      </w:r>
      <w:r>
        <w:rPr>
          <w:rFonts w:hint="eastAsia"/>
        </w:rPr>
        <w:instrText>based int</w:instrText>
      </w:r>
      <w:r>
        <w:instrText xml:space="preserve">erventions for bipolar disorder: A systematic review and thematic synthesis","volume":"92","author":[{"family":"Davenport","given":"Kelly"},{"family":"Hardy","given":"Gillian"},{"family":"Tai","given":"Sara"},{"family":"Mansell","given":"Warren"}],"issued":{"date-parts":[["2019"]]}}}],"schema":"https://github.com/citation-style-language/schema/raw/master/csl-citation.json"} </w:instrText>
      </w:r>
      <w:r>
        <w:fldChar w:fldCharType="separate"/>
      </w:r>
      <w:r w:rsidRPr="00F45A36">
        <w:rPr>
          <w:rFonts w:ascii="Calibri" w:hAnsi="Calibri" w:cs="Calibri"/>
        </w:rPr>
        <w:t>(40)</w:t>
      </w:r>
      <w:r>
        <w:fldChar w:fldCharType="end"/>
      </w:r>
      <w:r w:rsidRPr="00647167">
        <w:tab/>
      </w:r>
    </w:p>
    <w:p w14:paraId="618AA964" w14:textId="77777777" w:rsidR="00927E75" w:rsidRPr="007C185E" w:rsidRDefault="00927E75" w:rsidP="00927E75">
      <w:pPr>
        <w:spacing w:line="276" w:lineRule="auto"/>
        <w:rPr>
          <w:lang w:eastAsia="en-US"/>
        </w:rPr>
      </w:pPr>
      <w:r w:rsidRPr="007C185E">
        <w:rPr>
          <w:lang w:eastAsia="en-US"/>
        </w:rPr>
        <w:t xml:space="preserve">This included review assessed </w:t>
      </w:r>
      <w:proofErr w:type="spellStart"/>
      <w:r>
        <w:t>RoB</w:t>
      </w:r>
      <w:proofErr w:type="spellEnd"/>
      <w:r w:rsidRPr="007C185E">
        <w:rPr>
          <w:lang w:eastAsia="en-US"/>
        </w:rPr>
        <w:t xml:space="preserve"> using the </w:t>
      </w:r>
      <w:r w:rsidRPr="00CB53E8">
        <w:rPr>
          <w:lang w:eastAsia="en-US"/>
        </w:rPr>
        <w:t>Critical Appraisal Skills Programmes (CASP) checklist for qualitative research tool</w:t>
      </w:r>
      <w:r w:rsidRPr="007C185E">
        <w:rPr>
          <w:lang w:eastAsia="en-US"/>
        </w:rPr>
        <w:t xml:space="preserve">. </w:t>
      </w:r>
      <w:r>
        <w:rPr>
          <w:lang w:eastAsia="en-US"/>
        </w:rPr>
        <w:t xml:space="preserve">Reported </w:t>
      </w:r>
      <w:proofErr w:type="spellStart"/>
      <w:r>
        <w:t>RoB</w:t>
      </w:r>
      <w:proofErr w:type="spellEnd"/>
      <w:r w:rsidRPr="007C185E">
        <w:rPr>
          <w:lang w:eastAsia="en-US"/>
        </w:rPr>
        <w:t xml:space="preserve"> ratings for this tool can be interpreted as S = satisfactory</w:t>
      </w:r>
      <w:r>
        <w:rPr>
          <w:lang w:eastAsia="en-US"/>
        </w:rPr>
        <w:t xml:space="preserve"> or</w:t>
      </w:r>
      <w:r w:rsidRPr="007C185E">
        <w:rPr>
          <w:lang w:eastAsia="en-US"/>
        </w:rPr>
        <w:t xml:space="preserve"> U = unable to evaluate. Below is the </w:t>
      </w:r>
      <w:proofErr w:type="spellStart"/>
      <w:r>
        <w:t>RoB</w:t>
      </w:r>
      <w:proofErr w:type="spellEnd"/>
      <w:r w:rsidRPr="007C185E">
        <w:rPr>
          <w:lang w:eastAsia="en-US"/>
        </w:rPr>
        <w:t xml:space="preserve"> ratings for each included primary study.</w:t>
      </w:r>
    </w:p>
    <w:tbl>
      <w:tblPr>
        <w:tblW w:w="3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1045"/>
      </w:tblGrid>
      <w:tr w:rsidR="00927E75" w:rsidRPr="00C523C3" w14:paraId="471E624A" w14:textId="77777777" w:rsidTr="00E31789">
        <w:trPr>
          <w:trHeight w:val="177"/>
        </w:trPr>
        <w:tc>
          <w:tcPr>
            <w:tcW w:w="2086" w:type="dxa"/>
            <w:shd w:val="clear" w:color="auto" w:fill="5B9BD5"/>
            <w:hideMark/>
          </w:tcPr>
          <w:p w14:paraId="1F9156D1"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r w:rsidRPr="006A1A3F">
              <w:rPr>
                <w:rFonts w:ascii="Arial Narrow" w:eastAsia="Times New Roman" w:hAnsi="Arial Narrow" w:cs="Calibri"/>
                <w:b/>
                <w:bCs/>
                <w:color w:val="FFFFFF" w:themeColor="background1"/>
                <w:sz w:val="18"/>
                <w:szCs w:val="18"/>
              </w:rPr>
              <w:t>Author, Year</w:t>
            </w:r>
          </w:p>
        </w:tc>
        <w:tc>
          <w:tcPr>
            <w:tcW w:w="1045" w:type="dxa"/>
            <w:shd w:val="clear" w:color="auto" w:fill="5B9BD5"/>
          </w:tcPr>
          <w:p w14:paraId="25BC6293"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proofErr w:type="spellStart"/>
            <w:r w:rsidRPr="006A1A3F">
              <w:rPr>
                <w:rFonts w:ascii="Arial Narrow" w:eastAsia="Times New Roman" w:hAnsi="Arial Narrow" w:cs="Calibri"/>
                <w:b/>
                <w:bCs/>
                <w:color w:val="FFFFFF" w:themeColor="background1"/>
                <w:sz w:val="18"/>
                <w:szCs w:val="18"/>
              </w:rPr>
              <w:t>RoB</w:t>
            </w:r>
            <w:proofErr w:type="spellEnd"/>
            <w:r w:rsidRPr="006A1A3F">
              <w:rPr>
                <w:rFonts w:ascii="Arial Narrow" w:eastAsia="Times New Roman" w:hAnsi="Arial Narrow" w:cs="Calibri"/>
                <w:b/>
                <w:bCs/>
                <w:color w:val="FFFFFF" w:themeColor="background1"/>
                <w:sz w:val="18"/>
                <w:szCs w:val="18"/>
              </w:rPr>
              <w:t xml:space="preserve"> Rating</w:t>
            </w:r>
          </w:p>
        </w:tc>
      </w:tr>
      <w:tr w:rsidR="00927E75" w:rsidRPr="00C523C3" w14:paraId="3BE3C04A" w14:textId="77777777" w:rsidTr="00E31789">
        <w:trPr>
          <w:trHeight w:val="196"/>
        </w:trPr>
        <w:tc>
          <w:tcPr>
            <w:tcW w:w="2086" w:type="dxa"/>
            <w:shd w:val="clear" w:color="auto" w:fill="auto"/>
            <w:noWrap/>
          </w:tcPr>
          <w:p w14:paraId="73AD9642"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Chadwick, 2011</w:t>
            </w:r>
          </w:p>
        </w:tc>
        <w:tc>
          <w:tcPr>
            <w:tcW w:w="1045" w:type="dxa"/>
            <w:vAlign w:val="bottom"/>
          </w:tcPr>
          <w:p w14:paraId="656A58F6"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S</w:t>
            </w:r>
          </w:p>
        </w:tc>
      </w:tr>
      <w:tr w:rsidR="00927E75" w:rsidRPr="00C523C3" w14:paraId="37277DDE" w14:textId="77777777" w:rsidTr="00E31789">
        <w:trPr>
          <w:trHeight w:val="196"/>
        </w:trPr>
        <w:tc>
          <w:tcPr>
            <w:tcW w:w="2086" w:type="dxa"/>
            <w:shd w:val="clear" w:color="auto" w:fill="auto"/>
            <w:noWrap/>
          </w:tcPr>
          <w:p w14:paraId="2B54B871"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Evans, 2016</w:t>
            </w:r>
          </w:p>
        </w:tc>
        <w:tc>
          <w:tcPr>
            <w:tcW w:w="1045" w:type="dxa"/>
            <w:vAlign w:val="bottom"/>
          </w:tcPr>
          <w:p w14:paraId="6C348D8E"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U</w:t>
            </w:r>
          </w:p>
        </w:tc>
      </w:tr>
      <w:tr w:rsidR="00927E75" w:rsidRPr="00C523C3" w14:paraId="646E57A3" w14:textId="77777777" w:rsidTr="00E31789">
        <w:trPr>
          <w:trHeight w:val="196"/>
        </w:trPr>
        <w:tc>
          <w:tcPr>
            <w:tcW w:w="2086" w:type="dxa"/>
            <w:shd w:val="clear" w:color="auto" w:fill="auto"/>
            <w:noWrap/>
          </w:tcPr>
          <w:p w14:paraId="01147C1A"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Joyce, 2016</w:t>
            </w:r>
          </w:p>
        </w:tc>
        <w:tc>
          <w:tcPr>
            <w:tcW w:w="1045" w:type="dxa"/>
            <w:vAlign w:val="bottom"/>
          </w:tcPr>
          <w:p w14:paraId="09E9ABBE"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S</w:t>
            </w:r>
          </w:p>
        </w:tc>
      </w:tr>
      <w:tr w:rsidR="00927E75" w:rsidRPr="00C523C3" w14:paraId="67528461" w14:textId="77777777" w:rsidTr="00E31789">
        <w:trPr>
          <w:trHeight w:val="196"/>
        </w:trPr>
        <w:tc>
          <w:tcPr>
            <w:tcW w:w="2086" w:type="dxa"/>
            <w:shd w:val="clear" w:color="auto" w:fill="auto"/>
            <w:noWrap/>
          </w:tcPr>
          <w:p w14:paraId="7824F5B8"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Menezes, 2012</w:t>
            </w:r>
          </w:p>
        </w:tc>
        <w:tc>
          <w:tcPr>
            <w:tcW w:w="1045" w:type="dxa"/>
            <w:vAlign w:val="bottom"/>
          </w:tcPr>
          <w:p w14:paraId="3CF392C6"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U</w:t>
            </w:r>
          </w:p>
        </w:tc>
      </w:tr>
      <w:tr w:rsidR="00927E75" w:rsidRPr="00C523C3" w14:paraId="212B53A1" w14:textId="77777777" w:rsidTr="00E31789">
        <w:trPr>
          <w:trHeight w:val="196"/>
        </w:trPr>
        <w:tc>
          <w:tcPr>
            <w:tcW w:w="2086" w:type="dxa"/>
            <w:shd w:val="clear" w:color="auto" w:fill="auto"/>
            <w:noWrap/>
          </w:tcPr>
          <w:p w14:paraId="63AD5DE5"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Morriss, 2016</w:t>
            </w:r>
          </w:p>
        </w:tc>
        <w:tc>
          <w:tcPr>
            <w:tcW w:w="1045" w:type="dxa"/>
            <w:vAlign w:val="bottom"/>
          </w:tcPr>
          <w:p w14:paraId="0CF8002C"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U</w:t>
            </w:r>
          </w:p>
        </w:tc>
      </w:tr>
      <w:tr w:rsidR="00927E75" w:rsidRPr="00C523C3" w14:paraId="70BA0B01" w14:textId="77777777" w:rsidTr="00E31789">
        <w:trPr>
          <w:trHeight w:val="196"/>
        </w:trPr>
        <w:tc>
          <w:tcPr>
            <w:tcW w:w="2086" w:type="dxa"/>
            <w:shd w:val="clear" w:color="auto" w:fill="auto"/>
            <w:noWrap/>
          </w:tcPr>
          <w:p w14:paraId="16341172"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O’Connor, 2008</w:t>
            </w:r>
          </w:p>
        </w:tc>
        <w:tc>
          <w:tcPr>
            <w:tcW w:w="1045" w:type="dxa"/>
            <w:vAlign w:val="bottom"/>
          </w:tcPr>
          <w:p w14:paraId="668E009A"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U</w:t>
            </w:r>
          </w:p>
        </w:tc>
      </w:tr>
      <w:tr w:rsidR="00927E75" w:rsidRPr="00C523C3" w14:paraId="3A81179B" w14:textId="77777777" w:rsidTr="00E31789">
        <w:trPr>
          <w:trHeight w:val="196"/>
        </w:trPr>
        <w:tc>
          <w:tcPr>
            <w:tcW w:w="2086" w:type="dxa"/>
            <w:shd w:val="clear" w:color="auto" w:fill="auto"/>
            <w:noWrap/>
          </w:tcPr>
          <w:p w14:paraId="2C451741"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Pontin, 2009</w:t>
            </w:r>
          </w:p>
        </w:tc>
        <w:tc>
          <w:tcPr>
            <w:tcW w:w="1045" w:type="dxa"/>
            <w:vAlign w:val="bottom"/>
          </w:tcPr>
          <w:p w14:paraId="7199F60C"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S</w:t>
            </w:r>
          </w:p>
        </w:tc>
      </w:tr>
      <w:tr w:rsidR="00927E75" w:rsidRPr="00C523C3" w14:paraId="52C520E5" w14:textId="77777777" w:rsidTr="00E31789">
        <w:trPr>
          <w:trHeight w:val="196"/>
        </w:trPr>
        <w:tc>
          <w:tcPr>
            <w:tcW w:w="2086" w:type="dxa"/>
            <w:shd w:val="clear" w:color="auto" w:fill="auto"/>
            <w:noWrap/>
          </w:tcPr>
          <w:p w14:paraId="057368DC"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Poole, 2012</w:t>
            </w:r>
          </w:p>
        </w:tc>
        <w:tc>
          <w:tcPr>
            <w:tcW w:w="1045" w:type="dxa"/>
            <w:vAlign w:val="bottom"/>
          </w:tcPr>
          <w:p w14:paraId="378A6157"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U</w:t>
            </w:r>
          </w:p>
        </w:tc>
      </w:tr>
      <w:tr w:rsidR="00927E75" w:rsidRPr="00C523C3" w14:paraId="1F1FCF1F" w14:textId="77777777" w:rsidTr="00E31789">
        <w:trPr>
          <w:trHeight w:val="196"/>
        </w:trPr>
        <w:tc>
          <w:tcPr>
            <w:tcW w:w="2086" w:type="dxa"/>
            <w:shd w:val="clear" w:color="auto" w:fill="auto"/>
            <w:noWrap/>
          </w:tcPr>
          <w:p w14:paraId="6F8BC64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Poole, 2015</w:t>
            </w:r>
          </w:p>
        </w:tc>
        <w:tc>
          <w:tcPr>
            <w:tcW w:w="1045" w:type="dxa"/>
            <w:vAlign w:val="bottom"/>
          </w:tcPr>
          <w:p w14:paraId="6043ABB9"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S</w:t>
            </w:r>
          </w:p>
        </w:tc>
      </w:tr>
      <w:tr w:rsidR="00927E75" w:rsidRPr="00C523C3" w14:paraId="0472A483" w14:textId="77777777" w:rsidTr="00E31789">
        <w:trPr>
          <w:trHeight w:val="196"/>
        </w:trPr>
        <w:tc>
          <w:tcPr>
            <w:tcW w:w="2086" w:type="dxa"/>
            <w:shd w:val="clear" w:color="auto" w:fill="auto"/>
            <w:noWrap/>
          </w:tcPr>
          <w:p w14:paraId="225995DB"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Straughan, 2006</w:t>
            </w:r>
          </w:p>
        </w:tc>
        <w:tc>
          <w:tcPr>
            <w:tcW w:w="1045" w:type="dxa"/>
            <w:vAlign w:val="bottom"/>
          </w:tcPr>
          <w:p w14:paraId="61D6B1D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S</w:t>
            </w:r>
          </w:p>
        </w:tc>
      </w:tr>
    </w:tbl>
    <w:p w14:paraId="3D1DE9AA" w14:textId="77777777" w:rsidR="00927E75" w:rsidRDefault="00927E75" w:rsidP="00927E75">
      <w:pPr>
        <w:pStyle w:val="Heading3"/>
      </w:pPr>
      <w:proofErr w:type="spellStart"/>
      <w:r w:rsidRPr="00647167">
        <w:t>Finazzi</w:t>
      </w:r>
      <w:proofErr w:type="spellEnd"/>
      <w:r w:rsidRPr="00647167">
        <w:t xml:space="preserve"> 2022</w:t>
      </w:r>
      <w:r>
        <w:t xml:space="preserve"> </w:t>
      </w:r>
      <w:r>
        <w:fldChar w:fldCharType="begin"/>
      </w:r>
      <w:r>
        <w:instrText xml:space="preserve"> ADDIN ZOTERO_ITEM CSL_CITATION {"citationID":"vacGHVQr","properties":{"formattedCitation":"(31)","plainCitation":"(31)","noteIndex":0},"citationItems":[{"id":4673,"uris":["http://zotero.org/users/9556781/items/DSLR57K4"],"itemData":{"id":4673,"type":"article-journal","abstract":"Primary care mental health services play a crucial role in public mental health by providing local and accessible psychological interventions that meet individuals' needs. Despite growing research investigating service users' perspectives of psychological interventions, a qualitative systematic review in this context is not available. The present meta-synthesis collates the existing articles and gives a thematic synthesis of qualitative studies on service users' experience of psychological interventions in primary care. Multiple databases (CINAHL, EMBASE, PsychINFO, MEDLINE, and Cochrane Library) were searched for published qualitative studies of service users' experiences of psychological interventions delivered in primary care. Articles were included if they met inclusion criteria. Study quality was assessed using the Critical Appraisal Skills Programme tool. All types of psychological interventions were considered across model and delivery format (e.g., face-to-face, computerised programmes, and group). NVIVO was used to code the dataset and themes were extracted following thematic synthesis. Twenty-two studies were included. Four analytical themes and 10 subthemes emerged. The identified themes were as follows: (1) 'Access and Acceptability: facilitators and barriers', (2) 'Structural aspects'; (3) 'Therapeutic process' and (4) 'Outcomes'. A model of interrelationships between themes is proposed. Findings suggest several 'essential ingredients' across psychological interventions and modalities. The crucial role of relational factors, the importance of assessing service users' perceptions of treatment features (e.g., remote delivery) and of tailoring the intervention to their needs were emphasised. Results also suggest involving service users more in discussions and decisions about psychological interventions offered might enhance access, acceptability, and engagement. Recommendations for practice and research are provided.","container-title":"Clin Psychol Psychother","DOI":"10.1002/cpp.2650","ISSN":"1063-3995","issue":"2","note":"Citation Key: Included by both","page":"400-423","title":"Service users experience of psychological interventions in primary care settings: A qualitative meta-synthesis","volume":"29","author":[{"family":"Finazzi","given":"E."},{"family":"MacBeth","given":"A."}],"issued":{"date-parts":[["2022",3]]}}}],"schema":"https://github.com/citation-style-language/schema/raw/master/csl-citation.json"} </w:instrText>
      </w:r>
      <w:r>
        <w:fldChar w:fldCharType="separate"/>
      </w:r>
      <w:r w:rsidRPr="00F45A36">
        <w:rPr>
          <w:rFonts w:ascii="Calibri" w:hAnsi="Calibri" w:cs="Calibri"/>
        </w:rPr>
        <w:t>(31)</w:t>
      </w:r>
      <w:r>
        <w:fldChar w:fldCharType="end"/>
      </w:r>
      <w:r w:rsidRPr="00647167">
        <w:tab/>
      </w:r>
    </w:p>
    <w:p w14:paraId="3F9A01D0" w14:textId="77777777" w:rsidR="00927E75" w:rsidRPr="00F968D5" w:rsidRDefault="00927E75" w:rsidP="00927E75">
      <w:pPr>
        <w:spacing w:line="276" w:lineRule="auto"/>
        <w:rPr>
          <w:lang w:eastAsia="en-US"/>
        </w:rPr>
      </w:pPr>
      <w:r w:rsidRPr="00F968D5">
        <w:rPr>
          <w:lang w:eastAsia="en-US"/>
        </w:rPr>
        <w:t xml:space="preserve">This included review assessed </w:t>
      </w:r>
      <w:proofErr w:type="spellStart"/>
      <w:r>
        <w:t>RoB</w:t>
      </w:r>
      <w:proofErr w:type="spellEnd"/>
      <w:r w:rsidRPr="00F968D5">
        <w:rPr>
          <w:lang w:eastAsia="en-US"/>
        </w:rPr>
        <w:t xml:space="preserve"> using the </w:t>
      </w:r>
      <w:r w:rsidRPr="00CB53E8">
        <w:rPr>
          <w:lang w:eastAsia="en-US"/>
        </w:rPr>
        <w:t>Critical Appraisal Skills Programmes (CASP) checklist for qualitative research tool</w:t>
      </w:r>
      <w:r>
        <w:rPr>
          <w:lang w:eastAsia="en-US"/>
        </w:rPr>
        <w:t xml:space="preserve">. </w:t>
      </w:r>
      <w:proofErr w:type="spellStart"/>
      <w:r>
        <w:t>RoB</w:t>
      </w:r>
      <w:proofErr w:type="spellEnd"/>
      <w:r w:rsidRPr="00F968D5">
        <w:rPr>
          <w:lang w:eastAsia="en-US"/>
        </w:rPr>
        <w:t xml:space="preserve"> ratings for this tool can be interpreted as high quality: 9–10; moderate quality: 7.5–8.5; low quality: 6.5–7; exclude: scores below 6. Below is the </w:t>
      </w:r>
      <w:proofErr w:type="spellStart"/>
      <w:r>
        <w:t>RoB</w:t>
      </w:r>
      <w:proofErr w:type="spellEnd"/>
      <w:r w:rsidRPr="00F968D5">
        <w:rPr>
          <w:lang w:eastAsia="en-US"/>
        </w:rPr>
        <w:t xml:space="preserve"> ratings for each included primary study.</w:t>
      </w:r>
    </w:p>
    <w:tbl>
      <w:tblPr>
        <w:tblW w:w="3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1045"/>
      </w:tblGrid>
      <w:tr w:rsidR="00927E75" w:rsidRPr="00C523C3" w14:paraId="062C2788" w14:textId="77777777" w:rsidTr="00E31789">
        <w:trPr>
          <w:trHeight w:val="177"/>
        </w:trPr>
        <w:tc>
          <w:tcPr>
            <w:tcW w:w="2086" w:type="dxa"/>
            <w:shd w:val="clear" w:color="auto" w:fill="5B9BD5"/>
            <w:hideMark/>
          </w:tcPr>
          <w:p w14:paraId="1244675A"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r w:rsidRPr="006A1A3F">
              <w:rPr>
                <w:rFonts w:ascii="Arial Narrow" w:eastAsia="Times New Roman" w:hAnsi="Arial Narrow" w:cs="Calibri"/>
                <w:b/>
                <w:bCs/>
                <w:color w:val="FFFFFF" w:themeColor="background1"/>
                <w:sz w:val="18"/>
                <w:szCs w:val="18"/>
              </w:rPr>
              <w:lastRenderedPageBreak/>
              <w:t>Author, Year</w:t>
            </w:r>
          </w:p>
        </w:tc>
        <w:tc>
          <w:tcPr>
            <w:tcW w:w="1045" w:type="dxa"/>
            <w:shd w:val="clear" w:color="auto" w:fill="5B9BD5"/>
          </w:tcPr>
          <w:p w14:paraId="653D928D"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proofErr w:type="spellStart"/>
            <w:r w:rsidRPr="006A1A3F">
              <w:rPr>
                <w:rFonts w:ascii="Arial Narrow" w:eastAsia="Times New Roman" w:hAnsi="Arial Narrow" w:cs="Calibri"/>
                <w:b/>
                <w:bCs/>
                <w:color w:val="FFFFFF" w:themeColor="background1"/>
                <w:sz w:val="18"/>
                <w:szCs w:val="18"/>
              </w:rPr>
              <w:t>RoB</w:t>
            </w:r>
            <w:proofErr w:type="spellEnd"/>
            <w:r w:rsidRPr="006A1A3F">
              <w:rPr>
                <w:rFonts w:ascii="Arial Narrow" w:eastAsia="Times New Roman" w:hAnsi="Arial Narrow" w:cs="Calibri"/>
                <w:b/>
                <w:bCs/>
                <w:color w:val="FFFFFF" w:themeColor="background1"/>
                <w:sz w:val="18"/>
                <w:szCs w:val="18"/>
              </w:rPr>
              <w:t xml:space="preserve"> Rating</w:t>
            </w:r>
          </w:p>
        </w:tc>
      </w:tr>
      <w:tr w:rsidR="00927E75" w:rsidRPr="00C523C3" w14:paraId="324DF230" w14:textId="77777777" w:rsidTr="00E31789">
        <w:trPr>
          <w:trHeight w:val="196"/>
        </w:trPr>
        <w:tc>
          <w:tcPr>
            <w:tcW w:w="2086" w:type="dxa"/>
            <w:shd w:val="clear" w:color="auto" w:fill="auto"/>
            <w:noWrap/>
            <w:vAlign w:val="bottom"/>
          </w:tcPr>
          <w:p w14:paraId="66F54CFE"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Allen, 2009</w:t>
            </w:r>
          </w:p>
        </w:tc>
        <w:tc>
          <w:tcPr>
            <w:tcW w:w="1045" w:type="dxa"/>
            <w:vAlign w:val="bottom"/>
          </w:tcPr>
          <w:p w14:paraId="6B979C24"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9.5</w:t>
            </w:r>
          </w:p>
        </w:tc>
      </w:tr>
      <w:tr w:rsidR="00927E75" w:rsidRPr="00C523C3" w14:paraId="14D5CE03" w14:textId="77777777" w:rsidTr="00E31789">
        <w:trPr>
          <w:trHeight w:val="196"/>
        </w:trPr>
        <w:tc>
          <w:tcPr>
            <w:tcW w:w="2086" w:type="dxa"/>
            <w:shd w:val="clear" w:color="auto" w:fill="auto"/>
            <w:noWrap/>
            <w:vAlign w:val="bottom"/>
          </w:tcPr>
          <w:p w14:paraId="7350DE7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Amos, 2019</w:t>
            </w:r>
          </w:p>
        </w:tc>
        <w:tc>
          <w:tcPr>
            <w:tcW w:w="1045" w:type="dxa"/>
            <w:vAlign w:val="bottom"/>
          </w:tcPr>
          <w:p w14:paraId="00749DC9"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w:t>
            </w:r>
          </w:p>
        </w:tc>
      </w:tr>
      <w:tr w:rsidR="00927E75" w:rsidRPr="00C523C3" w14:paraId="5F9394C4" w14:textId="77777777" w:rsidTr="00E31789">
        <w:trPr>
          <w:trHeight w:val="196"/>
        </w:trPr>
        <w:tc>
          <w:tcPr>
            <w:tcW w:w="2086" w:type="dxa"/>
            <w:shd w:val="clear" w:color="auto" w:fill="auto"/>
            <w:noWrap/>
            <w:vAlign w:val="bottom"/>
          </w:tcPr>
          <w:p w14:paraId="694D0016"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Bahu, 2019</w:t>
            </w:r>
          </w:p>
        </w:tc>
        <w:tc>
          <w:tcPr>
            <w:tcW w:w="1045" w:type="dxa"/>
            <w:vAlign w:val="bottom"/>
          </w:tcPr>
          <w:p w14:paraId="4A093DC5"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7</w:t>
            </w:r>
          </w:p>
        </w:tc>
      </w:tr>
      <w:tr w:rsidR="00927E75" w:rsidRPr="00C523C3" w14:paraId="6487D716" w14:textId="77777777" w:rsidTr="00E31789">
        <w:trPr>
          <w:trHeight w:val="196"/>
        </w:trPr>
        <w:tc>
          <w:tcPr>
            <w:tcW w:w="2086" w:type="dxa"/>
            <w:shd w:val="clear" w:color="auto" w:fill="auto"/>
            <w:noWrap/>
            <w:vAlign w:val="bottom"/>
          </w:tcPr>
          <w:p w14:paraId="3BBF1A1D" w14:textId="77777777" w:rsidR="00927E75" w:rsidRPr="00C523C3" w:rsidRDefault="00927E75" w:rsidP="00E31789">
            <w:pPr>
              <w:spacing w:line="276" w:lineRule="auto"/>
              <w:rPr>
                <w:rFonts w:ascii="Arial Narrow" w:eastAsia="Times New Roman" w:hAnsi="Arial Narrow" w:cs="Calibri"/>
                <w:color w:val="000000"/>
                <w:sz w:val="18"/>
                <w:szCs w:val="18"/>
              </w:rPr>
            </w:pPr>
            <w:proofErr w:type="spellStart"/>
            <w:r w:rsidRPr="00C523C3">
              <w:rPr>
                <w:rFonts w:ascii="Arial Narrow" w:eastAsia="Times New Roman" w:hAnsi="Arial Narrow" w:cs="Calibri"/>
                <w:color w:val="000000"/>
                <w:sz w:val="18"/>
                <w:szCs w:val="18"/>
              </w:rPr>
              <w:t>Bendelin</w:t>
            </w:r>
            <w:proofErr w:type="spellEnd"/>
            <w:r w:rsidRPr="00C523C3">
              <w:rPr>
                <w:rFonts w:ascii="Arial Narrow" w:eastAsia="Times New Roman" w:hAnsi="Arial Narrow" w:cs="Calibri"/>
                <w:color w:val="000000"/>
                <w:sz w:val="18"/>
                <w:szCs w:val="18"/>
              </w:rPr>
              <w:t>, 2011</w:t>
            </w:r>
          </w:p>
        </w:tc>
        <w:tc>
          <w:tcPr>
            <w:tcW w:w="1045" w:type="dxa"/>
            <w:vAlign w:val="bottom"/>
          </w:tcPr>
          <w:p w14:paraId="2D59AE7E"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10</w:t>
            </w:r>
          </w:p>
        </w:tc>
      </w:tr>
      <w:tr w:rsidR="00927E75" w:rsidRPr="00C523C3" w14:paraId="7277B3E2" w14:textId="77777777" w:rsidTr="00E31789">
        <w:trPr>
          <w:trHeight w:val="196"/>
        </w:trPr>
        <w:tc>
          <w:tcPr>
            <w:tcW w:w="2086" w:type="dxa"/>
            <w:shd w:val="clear" w:color="auto" w:fill="auto"/>
            <w:noWrap/>
            <w:vAlign w:val="bottom"/>
          </w:tcPr>
          <w:p w14:paraId="4A53537D"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Christodoulou, 2018</w:t>
            </w:r>
          </w:p>
        </w:tc>
        <w:tc>
          <w:tcPr>
            <w:tcW w:w="1045" w:type="dxa"/>
            <w:vAlign w:val="bottom"/>
          </w:tcPr>
          <w:p w14:paraId="79B6BCD8"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10</w:t>
            </w:r>
          </w:p>
        </w:tc>
      </w:tr>
      <w:tr w:rsidR="00927E75" w:rsidRPr="00C523C3" w14:paraId="3DD82DA1" w14:textId="77777777" w:rsidTr="00E31789">
        <w:trPr>
          <w:trHeight w:val="196"/>
        </w:trPr>
        <w:tc>
          <w:tcPr>
            <w:tcW w:w="2086" w:type="dxa"/>
            <w:shd w:val="clear" w:color="auto" w:fill="auto"/>
            <w:noWrap/>
            <w:vAlign w:val="bottom"/>
          </w:tcPr>
          <w:p w14:paraId="753CEA65" w14:textId="77777777" w:rsidR="00927E75" w:rsidRPr="00C523C3" w:rsidRDefault="00927E75" w:rsidP="00E31789">
            <w:pPr>
              <w:spacing w:line="276" w:lineRule="auto"/>
              <w:rPr>
                <w:rFonts w:ascii="Arial Narrow" w:eastAsia="Times New Roman" w:hAnsi="Arial Narrow" w:cs="Calibri"/>
                <w:color w:val="000000"/>
                <w:sz w:val="18"/>
                <w:szCs w:val="18"/>
              </w:rPr>
            </w:pPr>
            <w:proofErr w:type="spellStart"/>
            <w:r w:rsidRPr="00C523C3">
              <w:rPr>
                <w:rFonts w:ascii="Arial Narrow" w:eastAsia="Times New Roman" w:hAnsi="Arial Narrow" w:cs="Calibri"/>
                <w:color w:val="000000"/>
                <w:sz w:val="18"/>
                <w:szCs w:val="18"/>
              </w:rPr>
              <w:t>Doukani</w:t>
            </w:r>
            <w:proofErr w:type="spellEnd"/>
            <w:r w:rsidRPr="00C523C3">
              <w:rPr>
                <w:rFonts w:ascii="Arial Narrow" w:eastAsia="Times New Roman" w:hAnsi="Arial Narrow" w:cs="Calibri"/>
                <w:color w:val="000000"/>
                <w:sz w:val="18"/>
                <w:szCs w:val="18"/>
              </w:rPr>
              <w:t>, 2020</w:t>
            </w:r>
          </w:p>
        </w:tc>
        <w:tc>
          <w:tcPr>
            <w:tcW w:w="1045" w:type="dxa"/>
            <w:vAlign w:val="bottom"/>
          </w:tcPr>
          <w:p w14:paraId="3CF92A4A"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w:t>
            </w:r>
          </w:p>
        </w:tc>
      </w:tr>
      <w:tr w:rsidR="00927E75" w:rsidRPr="00C523C3" w14:paraId="0D3C736E" w14:textId="77777777" w:rsidTr="00E31789">
        <w:trPr>
          <w:trHeight w:val="196"/>
        </w:trPr>
        <w:tc>
          <w:tcPr>
            <w:tcW w:w="2086" w:type="dxa"/>
            <w:shd w:val="clear" w:color="auto" w:fill="auto"/>
            <w:noWrap/>
            <w:vAlign w:val="bottom"/>
          </w:tcPr>
          <w:p w14:paraId="295B3DAD"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Farrand, 2018</w:t>
            </w:r>
          </w:p>
        </w:tc>
        <w:tc>
          <w:tcPr>
            <w:tcW w:w="1045" w:type="dxa"/>
            <w:vAlign w:val="bottom"/>
          </w:tcPr>
          <w:p w14:paraId="2C59D490"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w:t>
            </w:r>
          </w:p>
        </w:tc>
      </w:tr>
      <w:tr w:rsidR="00927E75" w:rsidRPr="00C523C3" w14:paraId="73C041CE" w14:textId="77777777" w:rsidTr="00E31789">
        <w:trPr>
          <w:trHeight w:val="196"/>
        </w:trPr>
        <w:tc>
          <w:tcPr>
            <w:tcW w:w="2086" w:type="dxa"/>
            <w:shd w:val="clear" w:color="auto" w:fill="auto"/>
            <w:noWrap/>
            <w:vAlign w:val="bottom"/>
          </w:tcPr>
          <w:p w14:paraId="6324F1A4"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Foy, 2019</w:t>
            </w:r>
          </w:p>
        </w:tc>
        <w:tc>
          <w:tcPr>
            <w:tcW w:w="1045" w:type="dxa"/>
            <w:vAlign w:val="bottom"/>
          </w:tcPr>
          <w:p w14:paraId="1B5700A4"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7</w:t>
            </w:r>
          </w:p>
        </w:tc>
      </w:tr>
      <w:tr w:rsidR="00927E75" w:rsidRPr="00C523C3" w14:paraId="221DA0AF" w14:textId="77777777" w:rsidTr="00E31789">
        <w:trPr>
          <w:trHeight w:val="196"/>
        </w:trPr>
        <w:tc>
          <w:tcPr>
            <w:tcW w:w="2086" w:type="dxa"/>
            <w:shd w:val="clear" w:color="auto" w:fill="auto"/>
            <w:noWrap/>
            <w:vAlign w:val="bottom"/>
          </w:tcPr>
          <w:p w14:paraId="31A97ED0"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Goldman, 2016</w:t>
            </w:r>
          </w:p>
        </w:tc>
        <w:tc>
          <w:tcPr>
            <w:tcW w:w="1045" w:type="dxa"/>
            <w:vAlign w:val="bottom"/>
          </w:tcPr>
          <w:p w14:paraId="4E72B885"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8</w:t>
            </w:r>
          </w:p>
        </w:tc>
      </w:tr>
      <w:tr w:rsidR="00927E75" w:rsidRPr="00C523C3" w14:paraId="1DEECDCE" w14:textId="77777777" w:rsidTr="00E31789">
        <w:trPr>
          <w:trHeight w:val="196"/>
        </w:trPr>
        <w:tc>
          <w:tcPr>
            <w:tcW w:w="2086" w:type="dxa"/>
            <w:shd w:val="clear" w:color="auto" w:fill="auto"/>
            <w:noWrap/>
            <w:vAlign w:val="bottom"/>
          </w:tcPr>
          <w:p w14:paraId="65AA0F4C"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Hadfield, 2019</w:t>
            </w:r>
          </w:p>
        </w:tc>
        <w:tc>
          <w:tcPr>
            <w:tcW w:w="1045" w:type="dxa"/>
            <w:vAlign w:val="bottom"/>
          </w:tcPr>
          <w:p w14:paraId="4819B984"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w:t>
            </w:r>
          </w:p>
        </w:tc>
      </w:tr>
      <w:tr w:rsidR="00927E75" w:rsidRPr="00C523C3" w14:paraId="05316D50" w14:textId="77777777" w:rsidTr="00E31789">
        <w:trPr>
          <w:trHeight w:val="196"/>
        </w:trPr>
        <w:tc>
          <w:tcPr>
            <w:tcW w:w="2086" w:type="dxa"/>
            <w:shd w:val="clear" w:color="auto" w:fill="auto"/>
            <w:noWrap/>
            <w:vAlign w:val="bottom"/>
          </w:tcPr>
          <w:p w14:paraId="6D5A0AE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Haller, 2019</w:t>
            </w:r>
          </w:p>
        </w:tc>
        <w:tc>
          <w:tcPr>
            <w:tcW w:w="1045" w:type="dxa"/>
            <w:vAlign w:val="bottom"/>
          </w:tcPr>
          <w:p w14:paraId="32626E62"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9.5</w:t>
            </w:r>
          </w:p>
        </w:tc>
      </w:tr>
      <w:tr w:rsidR="00927E75" w:rsidRPr="00C523C3" w14:paraId="53B42FBD" w14:textId="77777777" w:rsidTr="00E31789">
        <w:trPr>
          <w:trHeight w:val="196"/>
        </w:trPr>
        <w:tc>
          <w:tcPr>
            <w:tcW w:w="2086" w:type="dxa"/>
            <w:shd w:val="clear" w:color="auto" w:fill="auto"/>
            <w:noWrap/>
            <w:vAlign w:val="bottom"/>
          </w:tcPr>
          <w:p w14:paraId="543B4305"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Holst, 2017</w:t>
            </w:r>
          </w:p>
        </w:tc>
        <w:tc>
          <w:tcPr>
            <w:tcW w:w="1045" w:type="dxa"/>
            <w:vAlign w:val="bottom"/>
          </w:tcPr>
          <w:p w14:paraId="0086F00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9.5</w:t>
            </w:r>
          </w:p>
        </w:tc>
      </w:tr>
      <w:tr w:rsidR="00927E75" w:rsidRPr="00C523C3" w14:paraId="4F03711D" w14:textId="77777777" w:rsidTr="00E31789">
        <w:trPr>
          <w:trHeight w:val="196"/>
        </w:trPr>
        <w:tc>
          <w:tcPr>
            <w:tcW w:w="2086" w:type="dxa"/>
            <w:shd w:val="clear" w:color="auto" w:fill="auto"/>
            <w:noWrap/>
            <w:vAlign w:val="bottom"/>
          </w:tcPr>
          <w:p w14:paraId="429839A8"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Knowles, 2014</w:t>
            </w:r>
          </w:p>
        </w:tc>
        <w:tc>
          <w:tcPr>
            <w:tcW w:w="1045" w:type="dxa"/>
            <w:vAlign w:val="bottom"/>
          </w:tcPr>
          <w:p w14:paraId="64E8B8B9"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w:t>
            </w:r>
          </w:p>
        </w:tc>
      </w:tr>
      <w:tr w:rsidR="00927E75" w:rsidRPr="00C523C3" w14:paraId="62E91342" w14:textId="77777777" w:rsidTr="00E31789">
        <w:trPr>
          <w:trHeight w:val="196"/>
        </w:trPr>
        <w:tc>
          <w:tcPr>
            <w:tcW w:w="2086" w:type="dxa"/>
            <w:shd w:val="clear" w:color="auto" w:fill="auto"/>
            <w:noWrap/>
            <w:vAlign w:val="bottom"/>
          </w:tcPr>
          <w:p w14:paraId="5217528E" w14:textId="77777777" w:rsidR="00927E75" w:rsidRPr="00C523C3" w:rsidRDefault="00927E75" w:rsidP="00E31789">
            <w:pPr>
              <w:spacing w:line="276" w:lineRule="auto"/>
              <w:rPr>
                <w:rFonts w:ascii="Arial Narrow" w:eastAsia="Times New Roman" w:hAnsi="Arial Narrow" w:cs="Calibri"/>
                <w:color w:val="000000"/>
                <w:sz w:val="18"/>
                <w:szCs w:val="18"/>
              </w:rPr>
            </w:pPr>
            <w:proofErr w:type="spellStart"/>
            <w:r w:rsidRPr="00C523C3">
              <w:rPr>
                <w:rFonts w:ascii="Arial Narrow" w:eastAsia="Times New Roman" w:hAnsi="Arial Narrow" w:cs="Calibri"/>
                <w:color w:val="000000"/>
                <w:sz w:val="18"/>
                <w:szCs w:val="18"/>
              </w:rPr>
              <w:t>Leonidaki</w:t>
            </w:r>
            <w:proofErr w:type="spellEnd"/>
            <w:r w:rsidRPr="00C523C3">
              <w:rPr>
                <w:rFonts w:ascii="Arial Narrow" w:eastAsia="Times New Roman" w:hAnsi="Arial Narrow" w:cs="Calibri"/>
                <w:color w:val="000000"/>
                <w:sz w:val="18"/>
                <w:szCs w:val="18"/>
              </w:rPr>
              <w:t>, 2016</w:t>
            </w:r>
          </w:p>
        </w:tc>
        <w:tc>
          <w:tcPr>
            <w:tcW w:w="1045" w:type="dxa"/>
            <w:vAlign w:val="bottom"/>
          </w:tcPr>
          <w:p w14:paraId="63C6F670"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w:t>
            </w:r>
          </w:p>
        </w:tc>
      </w:tr>
      <w:tr w:rsidR="00927E75" w:rsidRPr="00C523C3" w14:paraId="48EF08EE" w14:textId="77777777" w:rsidTr="00E31789">
        <w:trPr>
          <w:trHeight w:val="196"/>
        </w:trPr>
        <w:tc>
          <w:tcPr>
            <w:tcW w:w="2086" w:type="dxa"/>
            <w:shd w:val="clear" w:color="auto" w:fill="auto"/>
            <w:noWrap/>
            <w:vAlign w:val="bottom"/>
          </w:tcPr>
          <w:p w14:paraId="2294AC63" w14:textId="77777777" w:rsidR="00927E75" w:rsidRPr="00C523C3" w:rsidRDefault="00927E75" w:rsidP="00E31789">
            <w:pPr>
              <w:spacing w:line="276" w:lineRule="auto"/>
              <w:rPr>
                <w:rFonts w:ascii="Arial Narrow" w:eastAsia="Times New Roman" w:hAnsi="Arial Narrow" w:cs="Calibri"/>
                <w:color w:val="000000"/>
                <w:sz w:val="18"/>
                <w:szCs w:val="18"/>
              </w:rPr>
            </w:pPr>
            <w:proofErr w:type="spellStart"/>
            <w:r w:rsidRPr="00C523C3">
              <w:rPr>
                <w:rFonts w:ascii="Arial Narrow" w:eastAsia="Times New Roman" w:hAnsi="Arial Narrow" w:cs="Calibri"/>
                <w:color w:val="000000"/>
                <w:sz w:val="18"/>
                <w:szCs w:val="18"/>
              </w:rPr>
              <w:t>Lillevoll</w:t>
            </w:r>
            <w:proofErr w:type="spellEnd"/>
            <w:r w:rsidRPr="00C523C3">
              <w:rPr>
                <w:rFonts w:ascii="Arial Narrow" w:eastAsia="Times New Roman" w:hAnsi="Arial Narrow" w:cs="Calibri"/>
                <w:color w:val="000000"/>
                <w:sz w:val="18"/>
                <w:szCs w:val="18"/>
              </w:rPr>
              <w:t>, 2013</w:t>
            </w:r>
          </w:p>
        </w:tc>
        <w:tc>
          <w:tcPr>
            <w:tcW w:w="1045" w:type="dxa"/>
            <w:vAlign w:val="bottom"/>
          </w:tcPr>
          <w:p w14:paraId="3CA60A89"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10</w:t>
            </w:r>
          </w:p>
        </w:tc>
      </w:tr>
      <w:tr w:rsidR="00927E75" w:rsidRPr="00C523C3" w14:paraId="31686C0B" w14:textId="77777777" w:rsidTr="00E31789">
        <w:trPr>
          <w:trHeight w:val="196"/>
        </w:trPr>
        <w:tc>
          <w:tcPr>
            <w:tcW w:w="2086" w:type="dxa"/>
            <w:shd w:val="clear" w:color="auto" w:fill="auto"/>
            <w:noWrap/>
            <w:vAlign w:val="bottom"/>
          </w:tcPr>
          <w:p w14:paraId="1536602A"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Mackinnon, 2016</w:t>
            </w:r>
          </w:p>
        </w:tc>
        <w:tc>
          <w:tcPr>
            <w:tcW w:w="1045" w:type="dxa"/>
            <w:vAlign w:val="bottom"/>
          </w:tcPr>
          <w:p w14:paraId="6213EC98"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75</w:t>
            </w:r>
          </w:p>
        </w:tc>
      </w:tr>
      <w:tr w:rsidR="00927E75" w:rsidRPr="00C523C3" w14:paraId="50E66D72" w14:textId="77777777" w:rsidTr="00E31789">
        <w:trPr>
          <w:trHeight w:val="196"/>
        </w:trPr>
        <w:tc>
          <w:tcPr>
            <w:tcW w:w="2086" w:type="dxa"/>
            <w:shd w:val="clear" w:color="auto" w:fill="auto"/>
            <w:noWrap/>
            <w:vAlign w:val="bottom"/>
          </w:tcPr>
          <w:p w14:paraId="0E05C042"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McElvaney, 2013</w:t>
            </w:r>
          </w:p>
        </w:tc>
        <w:tc>
          <w:tcPr>
            <w:tcW w:w="1045" w:type="dxa"/>
            <w:vAlign w:val="bottom"/>
          </w:tcPr>
          <w:p w14:paraId="0DAD6ACA"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w:t>
            </w:r>
          </w:p>
        </w:tc>
      </w:tr>
      <w:tr w:rsidR="00927E75" w:rsidRPr="00C523C3" w14:paraId="3FA16D9A" w14:textId="77777777" w:rsidTr="00E31789">
        <w:trPr>
          <w:trHeight w:val="196"/>
        </w:trPr>
        <w:tc>
          <w:tcPr>
            <w:tcW w:w="2086" w:type="dxa"/>
            <w:shd w:val="clear" w:color="auto" w:fill="auto"/>
            <w:noWrap/>
            <w:vAlign w:val="bottom"/>
          </w:tcPr>
          <w:p w14:paraId="330192B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Millett, 2018</w:t>
            </w:r>
          </w:p>
        </w:tc>
        <w:tc>
          <w:tcPr>
            <w:tcW w:w="1045" w:type="dxa"/>
            <w:vAlign w:val="bottom"/>
          </w:tcPr>
          <w:p w14:paraId="5E67652E"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8</w:t>
            </w:r>
          </w:p>
        </w:tc>
      </w:tr>
      <w:tr w:rsidR="00927E75" w:rsidRPr="00C523C3" w14:paraId="6AF16C14" w14:textId="77777777" w:rsidTr="00E31789">
        <w:trPr>
          <w:trHeight w:val="196"/>
        </w:trPr>
        <w:tc>
          <w:tcPr>
            <w:tcW w:w="2086" w:type="dxa"/>
            <w:shd w:val="clear" w:color="auto" w:fill="auto"/>
            <w:noWrap/>
            <w:vAlign w:val="bottom"/>
          </w:tcPr>
          <w:p w14:paraId="2EF68942"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Newbold, 2013</w:t>
            </w:r>
          </w:p>
        </w:tc>
        <w:tc>
          <w:tcPr>
            <w:tcW w:w="1045" w:type="dxa"/>
            <w:vAlign w:val="bottom"/>
          </w:tcPr>
          <w:p w14:paraId="42FC7A6C"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8.5</w:t>
            </w:r>
          </w:p>
        </w:tc>
      </w:tr>
      <w:tr w:rsidR="00927E75" w:rsidRPr="00C523C3" w14:paraId="5D61D8DE" w14:textId="77777777" w:rsidTr="00E31789">
        <w:trPr>
          <w:trHeight w:val="196"/>
        </w:trPr>
        <w:tc>
          <w:tcPr>
            <w:tcW w:w="2086" w:type="dxa"/>
            <w:shd w:val="clear" w:color="auto" w:fill="auto"/>
            <w:noWrap/>
            <w:vAlign w:val="bottom"/>
          </w:tcPr>
          <w:p w14:paraId="4ACC3C38"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Perera-Delcourt, 2019</w:t>
            </w:r>
          </w:p>
        </w:tc>
        <w:tc>
          <w:tcPr>
            <w:tcW w:w="1045" w:type="dxa"/>
            <w:vAlign w:val="bottom"/>
          </w:tcPr>
          <w:p w14:paraId="182EFB0D"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9.5</w:t>
            </w:r>
          </w:p>
        </w:tc>
      </w:tr>
      <w:tr w:rsidR="00927E75" w:rsidRPr="00C523C3" w14:paraId="564A9788" w14:textId="77777777" w:rsidTr="00E31789">
        <w:trPr>
          <w:trHeight w:val="196"/>
        </w:trPr>
        <w:tc>
          <w:tcPr>
            <w:tcW w:w="2086" w:type="dxa"/>
            <w:shd w:val="clear" w:color="auto" w:fill="auto"/>
            <w:noWrap/>
            <w:vAlign w:val="bottom"/>
          </w:tcPr>
          <w:p w14:paraId="0DC9B0DE"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Rogers, 2004</w:t>
            </w:r>
          </w:p>
        </w:tc>
        <w:tc>
          <w:tcPr>
            <w:tcW w:w="1045" w:type="dxa"/>
            <w:vAlign w:val="bottom"/>
          </w:tcPr>
          <w:p w14:paraId="0D92DD90"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8</w:t>
            </w:r>
          </w:p>
        </w:tc>
      </w:tr>
      <w:tr w:rsidR="00927E75" w:rsidRPr="00C523C3" w14:paraId="3E1211CB" w14:textId="77777777" w:rsidTr="00E31789">
        <w:trPr>
          <w:trHeight w:val="196"/>
        </w:trPr>
        <w:tc>
          <w:tcPr>
            <w:tcW w:w="2086" w:type="dxa"/>
            <w:shd w:val="clear" w:color="auto" w:fill="auto"/>
            <w:noWrap/>
            <w:vAlign w:val="bottom"/>
          </w:tcPr>
          <w:p w14:paraId="06A41B6B"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Rushton, 2020</w:t>
            </w:r>
          </w:p>
        </w:tc>
        <w:tc>
          <w:tcPr>
            <w:tcW w:w="1045" w:type="dxa"/>
            <w:vAlign w:val="bottom"/>
          </w:tcPr>
          <w:p w14:paraId="60BC97A2"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8.5</w:t>
            </w:r>
          </w:p>
        </w:tc>
      </w:tr>
    </w:tbl>
    <w:p w14:paraId="564180D2" w14:textId="77777777" w:rsidR="00927E75" w:rsidRDefault="00927E75" w:rsidP="00927E75">
      <w:pPr>
        <w:pStyle w:val="Heading3"/>
      </w:pPr>
      <w:r w:rsidRPr="00647167">
        <w:t>Hall 2019</w:t>
      </w:r>
      <w:r>
        <w:t xml:space="preserve"> </w:t>
      </w:r>
      <w:r>
        <w:fldChar w:fldCharType="begin"/>
      </w:r>
      <w:r>
        <w:instrText xml:space="preserve"> ADDIN ZOTERO_ITEM CSL_CITATION {"citationID":"NIeHsHeP","properties":{"formattedCitation":"(48)","plainCitation":"(48)","noteIndex":0},"citationItems":[{"id":4672,"uris":["http://zotero.org/users/9556781/items/H9W8MCA4"],"itemData":{"id":4672,"type":"article-journal","abstract":"BACKGROUND: Adoption of low back pain guidelines is a well-documented problem. Information to guide the development of behaviour change interventions is needed. The review is the first to synthesise the evidence regarding physicians' barriers to providing evidence-based care for LBP using the Theoretical Domains Framework (TDF). Using the TDF allowed us to map specific physician-reported barriers to individual guideline recommendations. Therefore, the results can provide direction to future interventions to increase physician compliance with evidence-based care for LBP. METHODS: We searched the literature for qualitative studies from inception to July 2018. Two authors independently screened titles, abstracts, and full texts for eligibility and extracted data on study characteristics, reporting quality, and methodological rigour. Guided by a TDF coding manual, two reviewers independently coded the individual study themes using NVivo. After coding, we assessed confidence in the findings using the GRADE-CERQual approach. RESULTS: Fourteen studies (n = 318 physicians) from 9 countries reported barriers to adopting one of the 5 guideline-recommended behaviours regarding in-clinic diagnostic assessments (9 studies, n = 198), advice on activity (7 studies, n = 194), medication prescription (2 studies, n = 39), imaging referrals (11 studies, n = 270), and treatment/specialist referrals (8 studies, n = 193). Imaging behaviour is influenced by (1) social influence-from patients requesting an image or wanting a diagnosis (n = 252, 9 studies), (2) beliefs about consequence-physicians believe that providing a scan will reassure patients (n = 175, 6 studies), and (3) environmental context and resources-physicians report a lack of time to have a conversation with patients about diagnosis and why a scan is not needed (n = 179, 6 studies). Referrals to conservative care is influenced by environmental context and resources-long wait-times or a complete lack of access to adjunct services prevented physicians from referring to these services (n = 82, 5 studies). CONCLUSIONS: Physicians face numerous barriers to providing evidence-based LBP care which we have mapped onto 7 TDF domains. Two to five TDF domains are involved in determining physician behaviour, confirming the complexity of this problem. This is important as interventions often target a single domain where multiple domains are involved. Interventions designed to address all the domains involved while considering context-specific factors may prove most successful in increasing guideline adoption. REGISTRATION: PROSPERO 2017, CRD42017070703.","container-title":"Implement Sci","DOI":"10.1186/s13012-019-0884-4","ISSN":"1748-5908","issue":"1","note":"Citation Key: Included by both\nPMCID: PMC6505266","page":"49","title":"Physician-reported barriers to using evidence-based recommendations for low back pain in clinical practice: a systematic review and synthesis of qualitative studies using the Theoretical Domains Framework","volume":"14","author":[{"family":"Hall","given":"A. M."},{"family":"Scurrey","given":"S. R."},{"family":"Pike","given":"A. E."},{"family":"Albury","given":"C."},{"family":"Richmond","given":"H. L."},{"family":"Matthews","given":"J."},{"family":"Toomey","given":"E."},{"family":"Hayden","given":"J. A."},{"family":"Etchegary","given":"H."}],"issued":{"date-parts":[["2019",5,7]]}}}],"schema":"https://github.com/citation-style-language/schema/raw/master/csl-citation.json"} </w:instrText>
      </w:r>
      <w:r>
        <w:fldChar w:fldCharType="separate"/>
      </w:r>
      <w:r w:rsidRPr="00F45A36">
        <w:rPr>
          <w:rFonts w:ascii="Calibri" w:hAnsi="Calibri" w:cs="Calibri"/>
        </w:rPr>
        <w:t>(48)</w:t>
      </w:r>
      <w:r>
        <w:fldChar w:fldCharType="end"/>
      </w:r>
      <w:r w:rsidRPr="00647167">
        <w:tab/>
      </w:r>
    </w:p>
    <w:p w14:paraId="29F7DD98" w14:textId="77777777" w:rsidR="00927E75" w:rsidRPr="001F75C1" w:rsidRDefault="00927E75" w:rsidP="00927E75">
      <w:pPr>
        <w:spacing w:line="276" w:lineRule="auto"/>
        <w:rPr>
          <w:lang w:eastAsia="en-US"/>
        </w:rPr>
      </w:pPr>
      <w:r w:rsidRPr="001F75C1">
        <w:rPr>
          <w:lang w:eastAsia="en-US"/>
        </w:rPr>
        <w:t xml:space="preserve">This included review assessed </w:t>
      </w:r>
      <w:proofErr w:type="spellStart"/>
      <w:r>
        <w:t>RoB</w:t>
      </w:r>
      <w:proofErr w:type="spellEnd"/>
      <w:r w:rsidRPr="001F75C1">
        <w:rPr>
          <w:lang w:eastAsia="en-US"/>
        </w:rPr>
        <w:t xml:space="preserve"> using the Critical Appraisal and Skills Programme (CASP) </w:t>
      </w:r>
      <w:r>
        <w:rPr>
          <w:lang w:eastAsia="en-US"/>
        </w:rPr>
        <w:t xml:space="preserve">checklist </w:t>
      </w:r>
      <w:r w:rsidRPr="001F75C1">
        <w:rPr>
          <w:lang w:eastAsia="en-US"/>
        </w:rPr>
        <w:t xml:space="preserve">in combination with the Consolidated criteria for reporting qualitative research (COREQ) tool. </w:t>
      </w:r>
      <w:r>
        <w:rPr>
          <w:lang w:eastAsia="en-US"/>
        </w:rPr>
        <w:t xml:space="preserve">Reported </w:t>
      </w:r>
      <w:proofErr w:type="spellStart"/>
      <w:r>
        <w:t>RoB</w:t>
      </w:r>
      <w:proofErr w:type="spellEnd"/>
      <w:r w:rsidRPr="009B2EE3">
        <w:t xml:space="preserve"> </w:t>
      </w:r>
      <w:proofErr w:type="spellStart"/>
      <w:r>
        <w:t>RoB</w:t>
      </w:r>
      <w:proofErr w:type="spellEnd"/>
      <w:r w:rsidRPr="001F75C1">
        <w:rPr>
          <w:lang w:eastAsia="en-US"/>
        </w:rPr>
        <w:t xml:space="preserve"> ratings for this tool can be interpreted as good, moderate, or low methodological rigour. Below is the </w:t>
      </w:r>
      <w:proofErr w:type="spellStart"/>
      <w:r>
        <w:t>RoB</w:t>
      </w:r>
      <w:proofErr w:type="spellEnd"/>
      <w:r w:rsidRPr="001F75C1">
        <w:rPr>
          <w:lang w:eastAsia="en-US"/>
        </w:rPr>
        <w:t xml:space="preserve"> ratings for each included primary study.</w:t>
      </w:r>
    </w:p>
    <w:tbl>
      <w:tblPr>
        <w:tblW w:w="3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1102"/>
      </w:tblGrid>
      <w:tr w:rsidR="00927E75" w:rsidRPr="00C523C3" w14:paraId="79FD0D44" w14:textId="77777777" w:rsidTr="00E31789">
        <w:trPr>
          <w:trHeight w:val="177"/>
        </w:trPr>
        <w:tc>
          <w:tcPr>
            <w:tcW w:w="2086" w:type="dxa"/>
            <w:shd w:val="clear" w:color="auto" w:fill="5B9BD5"/>
            <w:hideMark/>
          </w:tcPr>
          <w:p w14:paraId="24FCD9E0"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r w:rsidRPr="006A1A3F">
              <w:rPr>
                <w:rFonts w:ascii="Arial Narrow" w:eastAsia="Times New Roman" w:hAnsi="Arial Narrow" w:cs="Calibri"/>
                <w:b/>
                <w:bCs/>
                <w:color w:val="FFFFFF" w:themeColor="background1"/>
                <w:sz w:val="18"/>
                <w:szCs w:val="18"/>
              </w:rPr>
              <w:t>Author, Year</w:t>
            </w:r>
          </w:p>
        </w:tc>
        <w:tc>
          <w:tcPr>
            <w:tcW w:w="1102" w:type="dxa"/>
            <w:shd w:val="clear" w:color="auto" w:fill="5B9BD5"/>
          </w:tcPr>
          <w:p w14:paraId="133F2F0F"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proofErr w:type="spellStart"/>
            <w:r w:rsidRPr="006A1A3F">
              <w:rPr>
                <w:rFonts w:ascii="Arial Narrow" w:eastAsia="Times New Roman" w:hAnsi="Arial Narrow" w:cs="Calibri"/>
                <w:b/>
                <w:bCs/>
                <w:color w:val="FFFFFF" w:themeColor="background1"/>
                <w:sz w:val="18"/>
                <w:szCs w:val="18"/>
              </w:rPr>
              <w:t>RoB</w:t>
            </w:r>
            <w:proofErr w:type="spellEnd"/>
            <w:r w:rsidRPr="006A1A3F">
              <w:rPr>
                <w:rFonts w:ascii="Arial Narrow" w:eastAsia="Times New Roman" w:hAnsi="Arial Narrow" w:cs="Calibri"/>
                <w:b/>
                <w:bCs/>
                <w:color w:val="FFFFFF" w:themeColor="background1"/>
                <w:sz w:val="18"/>
                <w:szCs w:val="18"/>
              </w:rPr>
              <w:t xml:space="preserve"> Rating</w:t>
            </w:r>
          </w:p>
        </w:tc>
      </w:tr>
      <w:tr w:rsidR="00927E75" w:rsidRPr="00C523C3" w14:paraId="264D352D" w14:textId="77777777" w:rsidTr="00E31789">
        <w:trPr>
          <w:trHeight w:val="196"/>
        </w:trPr>
        <w:tc>
          <w:tcPr>
            <w:tcW w:w="2086" w:type="dxa"/>
            <w:shd w:val="clear" w:color="auto" w:fill="auto"/>
            <w:noWrap/>
            <w:vAlign w:val="bottom"/>
          </w:tcPr>
          <w:p w14:paraId="7BF2DA18"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Bishop, 2015</w:t>
            </w:r>
          </w:p>
        </w:tc>
        <w:tc>
          <w:tcPr>
            <w:tcW w:w="1102" w:type="dxa"/>
            <w:vAlign w:val="bottom"/>
          </w:tcPr>
          <w:p w14:paraId="2EA5B63E"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Moderate</w:t>
            </w:r>
          </w:p>
        </w:tc>
      </w:tr>
      <w:tr w:rsidR="00927E75" w:rsidRPr="00C523C3" w14:paraId="3BB80BCE" w14:textId="77777777" w:rsidTr="00E31789">
        <w:trPr>
          <w:trHeight w:val="196"/>
        </w:trPr>
        <w:tc>
          <w:tcPr>
            <w:tcW w:w="2086" w:type="dxa"/>
            <w:shd w:val="clear" w:color="auto" w:fill="auto"/>
            <w:noWrap/>
            <w:vAlign w:val="bottom"/>
          </w:tcPr>
          <w:p w14:paraId="7AFDD237"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Breen, 2007</w:t>
            </w:r>
          </w:p>
        </w:tc>
        <w:tc>
          <w:tcPr>
            <w:tcW w:w="1102" w:type="dxa"/>
            <w:vAlign w:val="bottom"/>
          </w:tcPr>
          <w:p w14:paraId="76768422"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Moderate</w:t>
            </w:r>
          </w:p>
        </w:tc>
      </w:tr>
      <w:tr w:rsidR="00927E75" w:rsidRPr="00C523C3" w14:paraId="18E9B23D" w14:textId="77777777" w:rsidTr="00E31789">
        <w:trPr>
          <w:trHeight w:val="196"/>
        </w:trPr>
        <w:tc>
          <w:tcPr>
            <w:tcW w:w="2086" w:type="dxa"/>
            <w:shd w:val="clear" w:color="auto" w:fill="auto"/>
            <w:noWrap/>
            <w:vAlign w:val="bottom"/>
          </w:tcPr>
          <w:p w14:paraId="1EA9B6A1"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 xml:space="preserve">Chenot, 2008 </w:t>
            </w:r>
          </w:p>
        </w:tc>
        <w:tc>
          <w:tcPr>
            <w:tcW w:w="1102" w:type="dxa"/>
            <w:vAlign w:val="bottom"/>
          </w:tcPr>
          <w:p w14:paraId="6FCFFB54"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Low</w:t>
            </w:r>
          </w:p>
        </w:tc>
      </w:tr>
      <w:tr w:rsidR="00927E75" w:rsidRPr="00C523C3" w14:paraId="20A2CD5E" w14:textId="77777777" w:rsidTr="00E31789">
        <w:trPr>
          <w:trHeight w:val="196"/>
        </w:trPr>
        <w:tc>
          <w:tcPr>
            <w:tcW w:w="2086" w:type="dxa"/>
            <w:shd w:val="clear" w:color="auto" w:fill="auto"/>
            <w:noWrap/>
            <w:vAlign w:val="bottom"/>
          </w:tcPr>
          <w:p w14:paraId="58679737"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Corbett, 2009</w:t>
            </w:r>
          </w:p>
        </w:tc>
        <w:tc>
          <w:tcPr>
            <w:tcW w:w="1102" w:type="dxa"/>
            <w:vAlign w:val="bottom"/>
          </w:tcPr>
          <w:p w14:paraId="1920F6A5"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Good</w:t>
            </w:r>
          </w:p>
        </w:tc>
      </w:tr>
      <w:tr w:rsidR="00927E75" w:rsidRPr="00C523C3" w14:paraId="2B37F1F7" w14:textId="77777777" w:rsidTr="00E31789">
        <w:trPr>
          <w:trHeight w:val="196"/>
        </w:trPr>
        <w:tc>
          <w:tcPr>
            <w:tcW w:w="2086" w:type="dxa"/>
            <w:shd w:val="clear" w:color="auto" w:fill="auto"/>
            <w:noWrap/>
            <w:vAlign w:val="bottom"/>
          </w:tcPr>
          <w:p w14:paraId="20AD562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 xml:space="preserve">Darlow, 2014 </w:t>
            </w:r>
          </w:p>
        </w:tc>
        <w:tc>
          <w:tcPr>
            <w:tcW w:w="1102" w:type="dxa"/>
            <w:vAlign w:val="bottom"/>
          </w:tcPr>
          <w:p w14:paraId="34D0040B"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Good</w:t>
            </w:r>
          </w:p>
        </w:tc>
      </w:tr>
      <w:tr w:rsidR="00927E75" w:rsidRPr="00C523C3" w14:paraId="13B259B7" w14:textId="77777777" w:rsidTr="00E31789">
        <w:trPr>
          <w:trHeight w:val="196"/>
        </w:trPr>
        <w:tc>
          <w:tcPr>
            <w:tcW w:w="2086" w:type="dxa"/>
            <w:shd w:val="clear" w:color="auto" w:fill="auto"/>
            <w:noWrap/>
            <w:vAlign w:val="bottom"/>
          </w:tcPr>
          <w:p w14:paraId="1C4A4DA6"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 xml:space="preserve">French, 2012 </w:t>
            </w:r>
          </w:p>
        </w:tc>
        <w:tc>
          <w:tcPr>
            <w:tcW w:w="1102" w:type="dxa"/>
            <w:vAlign w:val="bottom"/>
          </w:tcPr>
          <w:p w14:paraId="6991A6A1"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Good</w:t>
            </w:r>
          </w:p>
        </w:tc>
      </w:tr>
      <w:tr w:rsidR="00927E75" w:rsidRPr="00C523C3" w14:paraId="0B8EF449" w14:textId="77777777" w:rsidTr="00E31789">
        <w:trPr>
          <w:trHeight w:val="196"/>
        </w:trPr>
        <w:tc>
          <w:tcPr>
            <w:tcW w:w="2086" w:type="dxa"/>
            <w:shd w:val="clear" w:color="auto" w:fill="auto"/>
            <w:noWrap/>
            <w:vAlign w:val="bottom"/>
          </w:tcPr>
          <w:p w14:paraId="3C28722F"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Fullen, 2008</w:t>
            </w:r>
          </w:p>
        </w:tc>
        <w:tc>
          <w:tcPr>
            <w:tcW w:w="1102" w:type="dxa"/>
            <w:vAlign w:val="bottom"/>
          </w:tcPr>
          <w:p w14:paraId="76B15175"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Good</w:t>
            </w:r>
          </w:p>
        </w:tc>
      </w:tr>
      <w:tr w:rsidR="00927E75" w:rsidRPr="00C523C3" w14:paraId="01727C49" w14:textId="77777777" w:rsidTr="00E31789">
        <w:trPr>
          <w:trHeight w:val="196"/>
        </w:trPr>
        <w:tc>
          <w:tcPr>
            <w:tcW w:w="2086" w:type="dxa"/>
            <w:shd w:val="clear" w:color="auto" w:fill="auto"/>
            <w:noWrap/>
            <w:vAlign w:val="bottom"/>
          </w:tcPr>
          <w:p w14:paraId="063E54E3"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Green, 2015</w:t>
            </w:r>
          </w:p>
        </w:tc>
        <w:tc>
          <w:tcPr>
            <w:tcW w:w="1102" w:type="dxa"/>
            <w:vAlign w:val="bottom"/>
          </w:tcPr>
          <w:p w14:paraId="204B3D11"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Moderate</w:t>
            </w:r>
          </w:p>
        </w:tc>
      </w:tr>
      <w:tr w:rsidR="00927E75" w:rsidRPr="00C523C3" w14:paraId="34EADF7D" w14:textId="77777777" w:rsidTr="00E31789">
        <w:trPr>
          <w:trHeight w:val="196"/>
        </w:trPr>
        <w:tc>
          <w:tcPr>
            <w:tcW w:w="2086" w:type="dxa"/>
            <w:shd w:val="clear" w:color="auto" w:fill="auto"/>
            <w:noWrap/>
            <w:vAlign w:val="bottom"/>
          </w:tcPr>
          <w:p w14:paraId="2016BE75"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Poitras, 2012</w:t>
            </w:r>
          </w:p>
        </w:tc>
        <w:tc>
          <w:tcPr>
            <w:tcW w:w="1102" w:type="dxa"/>
            <w:vAlign w:val="bottom"/>
          </w:tcPr>
          <w:p w14:paraId="2395625A"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Good</w:t>
            </w:r>
          </w:p>
        </w:tc>
      </w:tr>
      <w:tr w:rsidR="00927E75" w:rsidRPr="00C523C3" w14:paraId="6948B025" w14:textId="77777777" w:rsidTr="00E31789">
        <w:trPr>
          <w:trHeight w:val="196"/>
        </w:trPr>
        <w:tc>
          <w:tcPr>
            <w:tcW w:w="2086" w:type="dxa"/>
            <w:shd w:val="clear" w:color="auto" w:fill="auto"/>
            <w:noWrap/>
            <w:vAlign w:val="bottom"/>
          </w:tcPr>
          <w:p w14:paraId="318C96DD" w14:textId="77777777" w:rsidR="00927E75" w:rsidRPr="00C523C3" w:rsidRDefault="00927E75" w:rsidP="00E31789">
            <w:pPr>
              <w:spacing w:line="276" w:lineRule="auto"/>
              <w:rPr>
                <w:rFonts w:ascii="Arial Narrow" w:eastAsia="Times New Roman" w:hAnsi="Arial Narrow" w:cs="Calibri"/>
                <w:color w:val="000000"/>
                <w:sz w:val="18"/>
                <w:szCs w:val="18"/>
              </w:rPr>
            </w:pPr>
            <w:proofErr w:type="spellStart"/>
            <w:r w:rsidRPr="00C523C3">
              <w:rPr>
                <w:rFonts w:ascii="Arial Narrow" w:eastAsia="Times New Roman" w:hAnsi="Arial Narrow" w:cs="Calibri"/>
                <w:color w:val="000000"/>
                <w:sz w:val="18"/>
                <w:szCs w:val="18"/>
              </w:rPr>
              <w:t>Schers</w:t>
            </w:r>
            <w:proofErr w:type="spellEnd"/>
            <w:r w:rsidRPr="00C523C3">
              <w:rPr>
                <w:rFonts w:ascii="Arial Narrow" w:eastAsia="Times New Roman" w:hAnsi="Arial Narrow" w:cs="Calibri"/>
                <w:color w:val="000000"/>
                <w:sz w:val="18"/>
                <w:szCs w:val="18"/>
              </w:rPr>
              <w:t>, 2001</w:t>
            </w:r>
          </w:p>
        </w:tc>
        <w:tc>
          <w:tcPr>
            <w:tcW w:w="1102" w:type="dxa"/>
            <w:vAlign w:val="bottom"/>
          </w:tcPr>
          <w:p w14:paraId="79847350"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Moderate</w:t>
            </w:r>
          </w:p>
        </w:tc>
      </w:tr>
      <w:tr w:rsidR="00927E75" w:rsidRPr="00C523C3" w14:paraId="21D9B153" w14:textId="77777777" w:rsidTr="00E31789">
        <w:trPr>
          <w:trHeight w:val="196"/>
        </w:trPr>
        <w:tc>
          <w:tcPr>
            <w:tcW w:w="2086" w:type="dxa"/>
            <w:shd w:val="clear" w:color="auto" w:fill="auto"/>
            <w:noWrap/>
            <w:vAlign w:val="bottom"/>
          </w:tcPr>
          <w:p w14:paraId="249A6937"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Shye, 1998</w:t>
            </w:r>
          </w:p>
        </w:tc>
        <w:tc>
          <w:tcPr>
            <w:tcW w:w="1102" w:type="dxa"/>
            <w:vAlign w:val="bottom"/>
          </w:tcPr>
          <w:p w14:paraId="52C31A6D" w14:textId="77777777" w:rsidR="00927E75" w:rsidRPr="00C523C3" w:rsidRDefault="00927E75" w:rsidP="00E31789">
            <w:pPr>
              <w:spacing w:line="276" w:lineRule="auto"/>
              <w:rPr>
                <w:rFonts w:ascii="Arial Narrow" w:eastAsia="Times New Roman" w:hAnsi="Arial Narrow" w:cs="Calibri"/>
                <w:color w:val="000000"/>
                <w:sz w:val="18"/>
                <w:szCs w:val="18"/>
              </w:rPr>
            </w:pPr>
            <w:r w:rsidRPr="00C523C3">
              <w:rPr>
                <w:rFonts w:ascii="Arial Narrow" w:eastAsia="Times New Roman" w:hAnsi="Arial Narrow" w:cs="Calibri"/>
                <w:color w:val="000000"/>
                <w:sz w:val="18"/>
                <w:szCs w:val="18"/>
              </w:rPr>
              <w:t>Moderate</w:t>
            </w:r>
          </w:p>
        </w:tc>
      </w:tr>
    </w:tbl>
    <w:p w14:paraId="37747BF1" w14:textId="77777777" w:rsidR="00927E75" w:rsidRDefault="00927E75" w:rsidP="00927E75">
      <w:pPr>
        <w:pStyle w:val="Heading3"/>
      </w:pPr>
      <w:r w:rsidRPr="00647167">
        <w:t>Havas 2016</w:t>
      </w:r>
      <w:r>
        <w:t xml:space="preserve"> </w:t>
      </w:r>
      <w:r>
        <w:fldChar w:fldCharType="begin"/>
      </w:r>
      <w:r>
        <w:instrText xml:space="preserve"> ADDIN ZOTERO_ITEM CSL_CITATION {"citationID":"Ge3ckVBc","properties":{"formattedCitation":"(53)","plainCitation":"(53)","noteIndex":0},"citationItems":[{"id":4671,"uris":["http://zotero.org/users/9556781/items/YU4VH6AE"],"itemData":{"id":4671,"type":"article-journal","abstract":"BACKGROUND: Self-management of chronic kidney disease (CKD) is crucial for health outcomes and people need to be effectively supported by healthcare professionals (HCPs). Some programmes designed to improve self-management have been implemented, but people with the disease are rarely consulted regarding what they desire from these programmes. OBJECTIVES: To provide a synthesis of the literature on preferences for self-management support of people with CKD. DESIGN: An integrative review. METHODS: Four databases (MedLine, CINAHL, PsycARTICLES and PsycINFO) were searched using relevant search terms. RESULTS: The search strategy identified 1,913 records, of which 12 studies met inclusion criteria. Ten themes were identified as important areas to be addressed by self-management interventions. In addition, patient suggestions for implementation of such interventions are discussed. CONCLUSION: The principles of a person-centred approach ought to frame the support provided by HCPs when supporting those with CKD to better self-manage.","container-title":"J Ren Care","DOI":"10.1111/jorc.12140","ISSN":"1755-6678","issue":"1","note":"Citation Key: Included by Hannah","page":"7-14","title":"Self-management support for people with chronic kidney disease: Patient perspectives","volume":"42","author":[{"family":"Havas","given":"K."},{"family":"Bonner","given":"A."},{"family":"Douglas","given":"C."}],"issued":{"date-parts":[["2016",3]]}}}],"schema":"https://github.com/citation-style-language/schema/raw/master/csl-citation.json"} </w:instrText>
      </w:r>
      <w:r>
        <w:fldChar w:fldCharType="separate"/>
      </w:r>
      <w:r w:rsidRPr="00F45A36">
        <w:rPr>
          <w:rFonts w:ascii="Calibri" w:hAnsi="Calibri" w:cs="Calibri"/>
        </w:rPr>
        <w:t>(53)</w:t>
      </w:r>
      <w:r>
        <w:fldChar w:fldCharType="end"/>
      </w:r>
      <w:r w:rsidRPr="00647167">
        <w:tab/>
      </w:r>
    </w:p>
    <w:p w14:paraId="0AC3AEA3" w14:textId="77777777" w:rsidR="00927E75" w:rsidRPr="00E512CD" w:rsidRDefault="00927E75" w:rsidP="00927E75">
      <w:pPr>
        <w:spacing w:line="276" w:lineRule="auto"/>
        <w:rPr>
          <w:lang w:eastAsia="en-US"/>
        </w:rPr>
      </w:pPr>
      <w:r w:rsidRPr="00EF3852">
        <w:rPr>
          <w:lang w:eastAsia="en-US"/>
        </w:rPr>
        <w:t xml:space="preserve">This included review assessed </w:t>
      </w:r>
      <w:proofErr w:type="spellStart"/>
      <w:r>
        <w:t>RoB</w:t>
      </w:r>
      <w:proofErr w:type="spellEnd"/>
      <w:r w:rsidRPr="00EF3852">
        <w:rPr>
          <w:lang w:eastAsia="en-US"/>
        </w:rPr>
        <w:t xml:space="preserve"> using the Consolidated Criteria for Reporting Qualitative Research (COREQ) tool. </w:t>
      </w:r>
      <w:proofErr w:type="spellStart"/>
      <w:r>
        <w:t>RoB</w:t>
      </w:r>
      <w:proofErr w:type="spellEnd"/>
      <w:r w:rsidRPr="00E512CD">
        <w:rPr>
          <w:lang w:eastAsia="en-US"/>
        </w:rPr>
        <w:t xml:space="preserve"> ratings </w:t>
      </w:r>
      <w:r>
        <w:rPr>
          <w:lang w:eastAsia="en-US"/>
        </w:rPr>
        <w:t>are not reported for this study.</w:t>
      </w:r>
    </w:p>
    <w:p w14:paraId="100F4DC7" w14:textId="77777777" w:rsidR="00927E75" w:rsidRDefault="00927E75" w:rsidP="00927E75">
      <w:pPr>
        <w:pStyle w:val="Heading3"/>
      </w:pPr>
      <w:proofErr w:type="spellStart"/>
      <w:r w:rsidRPr="00647167">
        <w:t>Hilberdink</w:t>
      </w:r>
      <w:proofErr w:type="spellEnd"/>
      <w:r w:rsidRPr="00647167">
        <w:t xml:space="preserve"> 2020</w:t>
      </w:r>
      <w:r>
        <w:t xml:space="preserve"> </w:t>
      </w:r>
      <w:r>
        <w:fldChar w:fldCharType="begin"/>
      </w:r>
      <w:r>
        <w:instrText xml:space="preserve"> ADDIN ZOTERO_ITEM CSL_CITATION {"citationID":"NgyJ1YyI","properties":{"formattedCitation":"(36)","plainCitation":"(36)","noteIndex":0},"citationItems":[{"id":4670,"uris":["http://zotero.org/users/9556781/items/P4FU94S7"],"itemData":{"id":4670,"type":"article-journal","abstract":"Objective: Many individuals with axial spondyloarthritis (axSpA) do not engage in adequate exercise, despite its proven health benefits. This study aimed to identify the intervention components needed to optimize exercise behavior in people with axSpA.Methods: The first three steps of the Intervention Mapping protocol were used: 1) needs assessment; 2) identification of axSpA-specific exercise barriers and facilitators (´determinants'); 3) selection of effective intervention components addressing potentially modifiable determinants. All three steps included scoping reviews and semi-structured interviews with patients (n = 2) and physical therapists (n = 2).Results: The scoping reviews included 28, 23 and 15 papers, respectively. Step 1 showed that only one third of axSpA patients exercise regularly, demonstrating especially a lack of strengthening and cardiorespiratory exercises. Based on eight determinants identified in Step 2, 10 intervention components were selected in Step 3: education, motivational interviewing, goal setting, action planning, monitoring, feedback, tailoring, guided practice, therapists' training and group exercise encouragement.Conclusion: Using the Intervention Mapping method, 10 intervention components for optimizing exercise behavior in people with axSpA were identified and an intervention with behavior change guidance and a training for health professionals is proposed.Practice Implications: This study provides a foundation for the development of an axSpA-specific exercise intervention.","container-title":"Patient Education &amp; Counseling","DOI":"10.1016/j.pec.2019.12.017","ISSN":"0738-3991","issue":"5","note":"Citation Key: Included by Hannah","page":"952-959","title":"How to optimize exercise behavior in axial spondyloarthritis? Results of an intervention mapping study","volume":"103","author":[{"family":"Hilberdink","given":"Bas"},{"family":"Giesen","given":"Florus","non-dropping-particle":"van der"},{"family":"Vliet Vlieland","given":"Thea"},{"family":"Nijkamp","given":"Marjan"},{"family":"Weely","given":"Salima","non-dropping-particle":"van"}],"issued":{"date-parts":[["2020"]]}}}],"schema":"https://github.com/citation-style-language/schema/raw/master/csl-citation.json"} </w:instrText>
      </w:r>
      <w:r>
        <w:fldChar w:fldCharType="separate"/>
      </w:r>
      <w:r w:rsidRPr="00F45A36">
        <w:rPr>
          <w:rFonts w:ascii="Calibri" w:hAnsi="Calibri" w:cs="Calibri"/>
        </w:rPr>
        <w:t>(36)</w:t>
      </w:r>
      <w:r>
        <w:fldChar w:fldCharType="end"/>
      </w:r>
      <w:r w:rsidRPr="00647167">
        <w:tab/>
      </w:r>
    </w:p>
    <w:p w14:paraId="3627855D" w14:textId="77777777" w:rsidR="00927E75" w:rsidRPr="000349E7" w:rsidRDefault="00927E75" w:rsidP="00927E75">
      <w:pPr>
        <w:spacing w:line="276" w:lineRule="auto"/>
        <w:rPr>
          <w:lang w:eastAsia="en-US"/>
        </w:rPr>
      </w:pPr>
      <w:r>
        <w:rPr>
          <w:lang w:eastAsia="en-US"/>
        </w:rPr>
        <w:t xml:space="preserve">This included review did not assess </w:t>
      </w:r>
      <w:proofErr w:type="spellStart"/>
      <w:r>
        <w:t>RoB</w:t>
      </w:r>
      <w:proofErr w:type="spellEnd"/>
      <w:r>
        <w:rPr>
          <w:lang w:eastAsia="en-US"/>
        </w:rPr>
        <w:t xml:space="preserve"> of included studies. </w:t>
      </w:r>
    </w:p>
    <w:p w14:paraId="253411DC" w14:textId="77777777" w:rsidR="00927E75" w:rsidRDefault="00927E75" w:rsidP="00927E75">
      <w:pPr>
        <w:pStyle w:val="Heading3"/>
      </w:pPr>
      <w:r w:rsidRPr="00647167">
        <w:t>Hurley 2018</w:t>
      </w:r>
      <w:r>
        <w:t xml:space="preserve"> </w:t>
      </w:r>
      <w:r>
        <w:fldChar w:fldCharType="begin"/>
      </w:r>
      <w:r>
        <w:instrText xml:space="preserve"> ADDIN ZOTERO_ITEM CSL_CITATION {"citationID":"Y30ncAdm","properties":{"formattedCitation":"(51)","plainCitation":"(51)","noteIndex":0},"citationItems":[{"id":2931,"uris":["http://zotero.org/users/9556781/items/RVJHQ9A6"],"itemData":{"id":2931,"type":"article-journal","abstract":"Background Chronic peripheral joint pain due to osteoarthritis (OA) is extremely prevalent and a major cause of physical dysfunction and psychosocial distress. Exercise is recommended to reduce joint pain and improve physical function, but the effect of exercise on psychosocial function (health beliefs, depression, anxiety and quality of life) in this population is unknown.","container-title":"Cochrane Database of Systematic Reviews","DOI":"10.1002/14651858.CD010842.pub2","ISSN":"14651858","language":"en","source":"DOI.org (Crossref)","title":"Exercise interventions and patient beliefs for people with hip, knee or hip and knee osteoarthritis: a mixed methods review","title-short":"Exercise interventions and patient beliefs for people with hip, knee or hip and knee osteoarthritis","URL":"https://doi.wiley.com/10.1002/14651858.CD010842.pub2","author":[{"family":"Hurley","given":"Michael"},{"family":"Dickson","given":"Kelly"},{"family":"Hallett","given":"Rachel"},{"family":"Grant","given":"Robert"},{"family":"Hauari","given":"Hanan"},{"family":"Walsh","given":"Nicola"},{"family":"Stansfield","given":"Claire"},{"family":"Oliver","given":"Sandy"}],"editor":[{"literal":"Cochrane Musculoskeletal Group"}],"accessed":{"date-parts":[["2022",7,28]]},"issued":{"date-parts":[["2018",4,17]]}}}],"schema":"https://github.com/citation-style-language/schema/raw/master/csl-citation.json"} </w:instrText>
      </w:r>
      <w:r>
        <w:fldChar w:fldCharType="separate"/>
      </w:r>
      <w:r w:rsidRPr="00F45A36">
        <w:rPr>
          <w:rFonts w:ascii="Calibri" w:hAnsi="Calibri" w:cs="Calibri"/>
        </w:rPr>
        <w:t>(51)</w:t>
      </w:r>
      <w:r>
        <w:fldChar w:fldCharType="end"/>
      </w:r>
      <w:r w:rsidRPr="00647167">
        <w:tab/>
      </w:r>
    </w:p>
    <w:p w14:paraId="599DECED" w14:textId="77777777" w:rsidR="00927E75" w:rsidRPr="00632733" w:rsidRDefault="00927E75" w:rsidP="00927E75">
      <w:pPr>
        <w:spacing w:line="276" w:lineRule="auto"/>
        <w:rPr>
          <w:lang w:eastAsia="en-US"/>
        </w:rPr>
      </w:pPr>
      <w:r w:rsidRPr="00632733">
        <w:rPr>
          <w:lang w:eastAsia="en-US"/>
        </w:rPr>
        <w:t xml:space="preserve">This included review assessed </w:t>
      </w:r>
      <w:proofErr w:type="spellStart"/>
      <w:r>
        <w:t>RoB</w:t>
      </w:r>
      <w:proofErr w:type="spellEnd"/>
      <w:r w:rsidRPr="00632733">
        <w:rPr>
          <w:lang w:eastAsia="en-US"/>
        </w:rPr>
        <w:t xml:space="preserve"> using the EPPI-Centre tool. </w:t>
      </w:r>
      <w:proofErr w:type="spellStart"/>
      <w:r>
        <w:t>RoB</w:t>
      </w:r>
      <w:proofErr w:type="spellEnd"/>
      <w:r w:rsidRPr="00632733">
        <w:rPr>
          <w:lang w:eastAsia="en-US"/>
        </w:rPr>
        <w:t xml:space="preserve"> ratings for this tool can be interpreted as </w:t>
      </w:r>
      <w:r>
        <w:rPr>
          <w:lang w:eastAsia="en-US"/>
        </w:rPr>
        <w:t>h</w:t>
      </w:r>
      <w:r w:rsidRPr="00632733">
        <w:rPr>
          <w:lang w:eastAsia="en-US"/>
        </w:rPr>
        <w:t>igh</w:t>
      </w:r>
      <w:r>
        <w:rPr>
          <w:lang w:eastAsia="en-US"/>
        </w:rPr>
        <w:t>,</w:t>
      </w:r>
      <w:r w:rsidRPr="00632733">
        <w:rPr>
          <w:lang w:eastAsia="en-US"/>
        </w:rPr>
        <w:t xml:space="preserve"> </w:t>
      </w:r>
      <w:proofErr w:type="gramStart"/>
      <w:r w:rsidRPr="00632733">
        <w:rPr>
          <w:lang w:eastAsia="en-US"/>
        </w:rPr>
        <w:t>medium</w:t>
      </w:r>
      <w:proofErr w:type="gramEnd"/>
      <w:r w:rsidRPr="00632733">
        <w:rPr>
          <w:lang w:eastAsia="en-US"/>
        </w:rPr>
        <w:t xml:space="preserve"> or low credibility and dependability. Below is the </w:t>
      </w:r>
      <w:proofErr w:type="spellStart"/>
      <w:r>
        <w:t>RoB</w:t>
      </w:r>
      <w:proofErr w:type="spellEnd"/>
      <w:r w:rsidRPr="00632733">
        <w:rPr>
          <w:lang w:eastAsia="en-US"/>
        </w:rPr>
        <w:t xml:space="preserve"> ratings for each included primary study.</w:t>
      </w:r>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3154"/>
      </w:tblGrid>
      <w:tr w:rsidR="00927E75" w:rsidRPr="002D4F6E" w14:paraId="1311FD27" w14:textId="77777777" w:rsidTr="00E31789">
        <w:trPr>
          <w:trHeight w:val="177"/>
        </w:trPr>
        <w:tc>
          <w:tcPr>
            <w:tcW w:w="2086" w:type="dxa"/>
            <w:shd w:val="clear" w:color="auto" w:fill="5B9BD5"/>
            <w:hideMark/>
          </w:tcPr>
          <w:p w14:paraId="1A972F4B"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r w:rsidRPr="006A1A3F">
              <w:rPr>
                <w:rFonts w:ascii="Arial Narrow" w:eastAsia="Times New Roman" w:hAnsi="Arial Narrow" w:cs="Calibri"/>
                <w:b/>
                <w:bCs/>
                <w:color w:val="FFFFFF" w:themeColor="background1"/>
                <w:sz w:val="18"/>
                <w:szCs w:val="18"/>
              </w:rPr>
              <w:t>Author, Year</w:t>
            </w:r>
          </w:p>
        </w:tc>
        <w:tc>
          <w:tcPr>
            <w:tcW w:w="3154" w:type="dxa"/>
            <w:shd w:val="clear" w:color="auto" w:fill="5B9BD5"/>
          </w:tcPr>
          <w:p w14:paraId="34FE1901"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proofErr w:type="spellStart"/>
            <w:r w:rsidRPr="006A1A3F">
              <w:rPr>
                <w:rFonts w:ascii="Arial Narrow" w:eastAsia="Times New Roman" w:hAnsi="Arial Narrow" w:cs="Calibri"/>
                <w:b/>
                <w:bCs/>
                <w:color w:val="FFFFFF" w:themeColor="background1"/>
                <w:sz w:val="18"/>
                <w:szCs w:val="18"/>
              </w:rPr>
              <w:t>RoB</w:t>
            </w:r>
            <w:proofErr w:type="spellEnd"/>
            <w:r w:rsidRPr="006A1A3F">
              <w:rPr>
                <w:rFonts w:ascii="Arial Narrow" w:eastAsia="Times New Roman" w:hAnsi="Arial Narrow" w:cs="Calibri"/>
                <w:b/>
                <w:bCs/>
                <w:color w:val="FFFFFF" w:themeColor="background1"/>
                <w:sz w:val="18"/>
                <w:szCs w:val="18"/>
              </w:rPr>
              <w:t xml:space="preserve"> Rating</w:t>
            </w:r>
          </w:p>
        </w:tc>
      </w:tr>
      <w:tr w:rsidR="00927E75" w:rsidRPr="002D4F6E" w14:paraId="1D43B488" w14:textId="77777777" w:rsidTr="00E31789">
        <w:trPr>
          <w:trHeight w:val="196"/>
        </w:trPr>
        <w:tc>
          <w:tcPr>
            <w:tcW w:w="2086" w:type="dxa"/>
            <w:shd w:val="clear" w:color="auto" w:fill="auto"/>
            <w:noWrap/>
            <w:vAlign w:val="bottom"/>
          </w:tcPr>
          <w:p w14:paraId="34298714"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lastRenderedPageBreak/>
              <w:t>Campbell, 2001</w:t>
            </w:r>
          </w:p>
        </w:tc>
        <w:tc>
          <w:tcPr>
            <w:tcW w:w="3154" w:type="dxa"/>
            <w:vAlign w:val="bottom"/>
          </w:tcPr>
          <w:p w14:paraId="382FCFCD"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High Dependability; Medium Credibility</w:t>
            </w:r>
          </w:p>
        </w:tc>
      </w:tr>
      <w:tr w:rsidR="00927E75" w:rsidRPr="002D4F6E" w14:paraId="58D068BE" w14:textId="77777777" w:rsidTr="00E31789">
        <w:trPr>
          <w:trHeight w:val="196"/>
        </w:trPr>
        <w:tc>
          <w:tcPr>
            <w:tcW w:w="2086" w:type="dxa"/>
            <w:shd w:val="clear" w:color="auto" w:fill="auto"/>
            <w:noWrap/>
            <w:vAlign w:val="bottom"/>
          </w:tcPr>
          <w:p w14:paraId="49717CB4"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Fisken, 2016</w:t>
            </w:r>
          </w:p>
        </w:tc>
        <w:tc>
          <w:tcPr>
            <w:tcW w:w="3154" w:type="dxa"/>
            <w:vAlign w:val="bottom"/>
          </w:tcPr>
          <w:p w14:paraId="21C9E12E"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Medium Dependability; Medium Credibility</w:t>
            </w:r>
          </w:p>
        </w:tc>
      </w:tr>
      <w:tr w:rsidR="00927E75" w:rsidRPr="002D4F6E" w14:paraId="282A2A76" w14:textId="77777777" w:rsidTr="00E31789">
        <w:trPr>
          <w:trHeight w:val="196"/>
        </w:trPr>
        <w:tc>
          <w:tcPr>
            <w:tcW w:w="2086" w:type="dxa"/>
            <w:shd w:val="clear" w:color="auto" w:fill="auto"/>
            <w:noWrap/>
            <w:vAlign w:val="bottom"/>
          </w:tcPr>
          <w:p w14:paraId="4E4F225B"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Hendry, 2006</w:t>
            </w:r>
          </w:p>
        </w:tc>
        <w:tc>
          <w:tcPr>
            <w:tcW w:w="3154" w:type="dxa"/>
            <w:vAlign w:val="bottom"/>
          </w:tcPr>
          <w:p w14:paraId="4CE5D506" w14:textId="77777777" w:rsidR="00927E75" w:rsidRPr="002D4F6E" w:rsidRDefault="00927E75" w:rsidP="00E31789">
            <w:pPr>
              <w:spacing w:line="276" w:lineRule="auto"/>
              <w:rPr>
                <w:rFonts w:ascii="Arial Narrow" w:eastAsia="Times New Roman" w:hAnsi="Arial Narrow" w:cs="Calibri"/>
                <w:color w:val="000000"/>
                <w:sz w:val="18"/>
                <w:szCs w:val="18"/>
              </w:rPr>
            </w:pPr>
            <w:proofErr w:type="gramStart"/>
            <w:r w:rsidRPr="002D4F6E">
              <w:rPr>
                <w:rFonts w:ascii="Arial Narrow" w:eastAsia="Times New Roman" w:hAnsi="Arial Narrow" w:cs="Calibri"/>
                <w:color w:val="000000"/>
                <w:sz w:val="18"/>
                <w:szCs w:val="18"/>
              </w:rPr>
              <w:t>High  Dependability</w:t>
            </w:r>
            <w:proofErr w:type="gramEnd"/>
            <w:r w:rsidRPr="002D4F6E">
              <w:rPr>
                <w:rFonts w:ascii="Arial Narrow" w:eastAsia="Times New Roman" w:hAnsi="Arial Narrow" w:cs="Calibri"/>
                <w:color w:val="000000"/>
                <w:sz w:val="18"/>
                <w:szCs w:val="18"/>
              </w:rPr>
              <w:t>; High Credibility</w:t>
            </w:r>
          </w:p>
        </w:tc>
      </w:tr>
      <w:tr w:rsidR="00927E75" w:rsidRPr="002D4F6E" w14:paraId="1B7A4253" w14:textId="77777777" w:rsidTr="00E31789">
        <w:trPr>
          <w:trHeight w:val="196"/>
        </w:trPr>
        <w:tc>
          <w:tcPr>
            <w:tcW w:w="2086" w:type="dxa"/>
            <w:shd w:val="clear" w:color="auto" w:fill="auto"/>
            <w:noWrap/>
            <w:vAlign w:val="bottom"/>
          </w:tcPr>
          <w:p w14:paraId="74ABBE31"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Hinman, 2016</w:t>
            </w:r>
          </w:p>
        </w:tc>
        <w:tc>
          <w:tcPr>
            <w:tcW w:w="3154" w:type="dxa"/>
            <w:vAlign w:val="bottom"/>
          </w:tcPr>
          <w:p w14:paraId="7BAC4905"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High Dependability; High Credibility</w:t>
            </w:r>
          </w:p>
        </w:tc>
      </w:tr>
      <w:tr w:rsidR="00927E75" w:rsidRPr="002D4F6E" w14:paraId="7C269F49" w14:textId="77777777" w:rsidTr="00E31789">
        <w:trPr>
          <w:trHeight w:val="196"/>
        </w:trPr>
        <w:tc>
          <w:tcPr>
            <w:tcW w:w="2086" w:type="dxa"/>
            <w:shd w:val="clear" w:color="auto" w:fill="auto"/>
            <w:noWrap/>
            <w:vAlign w:val="bottom"/>
          </w:tcPr>
          <w:p w14:paraId="3C4F2738"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Hurley, 2010</w:t>
            </w:r>
          </w:p>
        </w:tc>
        <w:tc>
          <w:tcPr>
            <w:tcW w:w="3154" w:type="dxa"/>
            <w:vAlign w:val="bottom"/>
          </w:tcPr>
          <w:p w14:paraId="43A06A9B"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High Dependability; High Credibility</w:t>
            </w:r>
          </w:p>
        </w:tc>
      </w:tr>
      <w:tr w:rsidR="00927E75" w:rsidRPr="002D4F6E" w14:paraId="03EC1329" w14:textId="77777777" w:rsidTr="00E31789">
        <w:trPr>
          <w:trHeight w:val="196"/>
        </w:trPr>
        <w:tc>
          <w:tcPr>
            <w:tcW w:w="2086" w:type="dxa"/>
            <w:shd w:val="clear" w:color="auto" w:fill="auto"/>
            <w:noWrap/>
            <w:vAlign w:val="bottom"/>
          </w:tcPr>
          <w:p w14:paraId="70B9B1B2"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Larmer, 2014b</w:t>
            </w:r>
          </w:p>
        </w:tc>
        <w:tc>
          <w:tcPr>
            <w:tcW w:w="3154" w:type="dxa"/>
            <w:vAlign w:val="bottom"/>
          </w:tcPr>
          <w:p w14:paraId="1EE2F55F"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High Dependability; Medium Credibility</w:t>
            </w:r>
          </w:p>
        </w:tc>
      </w:tr>
      <w:tr w:rsidR="00927E75" w:rsidRPr="002D4F6E" w14:paraId="1A847501" w14:textId="77777777" w:rsidTr="00E31789">
        <w:trPr>
          <w:trHeight w:val="196"/>
        </w:trPr>
        <w:tc>
          <w:tcPr>
            <w:tcW w:w="2086" w:type="dxa"/>
            <w:shd w:val="clear" w:color="auto" w:fill="auto"/>
            <w:noWrap/>
            <w:vAlign w:val="bottom"/>
          </w:tcPr>
          <w:p w14:paraId="12A7B09D"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Moody, 2012</w:t>
            </w:r>
          </w:p>
        </w:tc>
        <w:tc>
          <w:tcPr>
            <w:tcW w:w="3154" w:type="dxa"/>
            <w:vAlign w:val="bottom"/>
          </w:tcPr>
          <w:p w14:paraId="462F2AA9"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Medium Dependability; High Credibility</w:t>
            </w:r>
          </w:p>
        </w:tc>
      </w:tr>
      <w:tr w:rsidR="00927E75" w:rsidRPr="002D4F6E" w14:paraId="4E126762" w14:textId="77777777" w:rsidTr="00E31789">
        <w:trPr>
          <w:trHeight w:val="196"/>
        </w:trPr>
        <w:tc>
          <w:tcPr>
            <w:tcW w:w="2086" w:type="dxa"/>
            <w:shd w:val="clear" w:color="auto" w:fill="auto"/>
            <w:noWrap/>
            <w:vAlign w:val="bottom"/>
          </w:tcPr>
          <w:p w14:paraId="66897882"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Morden, 2011</w:t>
            </w:r>
          </w:p>
        </w:tc>
        <w:tc>
          <w:tcPr>
            <w:tcW w:w="3154" w:type="dxa"/>
            <w:vAlign w:val="bottom"/>
          </w:tcPr>
          <w:p w14:paraId="42E10890" w14:textId="77777777" w:rsidR="00927E75" w:rsidRPr="002D4F6E" w:rsidRDefault="00927E75" w:rsidP="00E31789">
            <w:pPr>
              <w:spacing w:line="276" w:lineRule="auto"/>
              <w:rPr>
                <w:rFonts w:ascii="Arial Narrow" w:eastAsia="Times New Roman" w:hAnsi="Arial Narrow" w:cs="Calibri"/>
                <w:color w:val="000000"/>
                <w:sz w:val="18"/>
                <w:szCs w:val="18"/>
              </w:rPr>
            </w:pPr>
            <w:proofErr w:type="gramStart"/>
            <w:r w:rsidRPr="002D4F6E">
              <w:rPr>
                <w:rFonts w:ascii="Arial Narrow" w:eastAsia="Times New Roman" w:hAnsi="Arial Narrow" w:cs="Calibri"/>
                <w:color w:val="000000"/>
                <w:sz w:val="18"/>
                <w:szCs w:val="18"/>
              </w:rPr>
              <w:t>High  Dependability</w:t>
            </w:r>
            <w:proofErr w:type="gramEnd"/>
            <w:r w:rsidRPr="002D4F6E">
              <w:rPr>
                <w:rFonts w:ascii="Arial Narrow" w:eastAsia="Times New Roman" w:hAnsi="Arial Narrow" w:cs="Calibri"/>
                <w:color w:val="000000"/>
                <w:sz w:val="18"/>
                <w:szCs w:val="18"/>
              </w:rPr>
              <w:t>; High Credibility</w:t>
            </w:r>
          </w:p>
        </w:tc>
      </w:tr>
      <w:tr w:rsidR="00927E75" w:rsidRPr="002D4F6E" w14:paraId="7C8C70FF" w14:textId="77777777" w:rsidTr="00E31789">
        <w:trPr>
          <w:trHeight w:val="196"/>
        </w:trPr>
        <w:tc>
          <w:tcPr>
            <w:tcW w:w="2086" w:type="dxa"/>
            <w:shd w:val="clear" w:color="auto" w:fill="auto"/>
            <w:noWrap/>
            <w:vAlign w:val="bottom"/>
          </w:tcPr>
          <w:p w14:paraId="33150A19"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Petursdottir, 2010</w:t>
            </w:r>
          </w:p>
        </w:tc>
        <w:tc>
          <w:tcPr>
            <w:tcW w:w="3154" w:type="dxa"/>
            <w:vAlign w:val="bottom"/>
          </w:tcPr>
          <w:p w14:paraId="49311F59" w14:textId="77777777" w:rsidR="00927E75" w:rsidRPr="002D4F6E" w:rsidRDefault="00927E75" w:rsidP="00E31789">
            <w:pPr>
              <w:spacing w:line="276" w:lineRule="auto"/>
              <w:rPr>
                <w:rFonts w:ascii="Arial Narrow" w:eastAsia="Times New Roman" w:hAnsi="Arial Narrow" w:cs="Calibri"/>
                <w:color w:val="000000"/>
                <w:sz w:val="18"/>
                <w:szCs w:val="18"/>
              </w:rPr>
            </w:pPr>
            <w:proofErr w:type="gramStart"/>
            <w:r w:rsidRPr="002D4F6E">
              <w:rPr>
                <w:rFonts w:ascii="Arial Narrow" w:eastAsia="Times New Roman" w:hAnsi="Arial Narrow" w:cs="Calibri"/>
                <w:color w:val="000000"/>
                <w:sz w:val="18"/>
                <w:szCs w:val="18"/>
              </w:rPr>
              <w:t>High  Dependability</w:t>
            </w:r>
            <w:proofErr w:type="gramEnd"/>
            <w:r w:rsidRPr="002D4F6E">
              <w:rPr>
                <w:rFonts w:ascii="Arial Narrow" w:eastAsia="Times New Roman" w:hAnsi="Arial Narrow" w:cs="Calibri"/>
                <w:color w:val="000000"/>
                <w:sz w:val="18"/>
                <w:szCs w:val="18"/>
              </w:rPr>
              <w:t>; High Credibility</w:t>
            </w:r>
          </w:p>
        </w:tc>
      </w:tr>
      <w:tr w:rsidR="00927E75" w:rsidRPr="002D4F6E" w14:paraId="1C87A574" w14:textId="77777777" w:rsidTr="00E31789">
        <w:trPr>
          <w:trHeight w:val="196"/>
        </w:trPr>
        <w:tc>
          <w:tcPr>
            <w:tcW w:w="2086" w:type="dxa"/>
            <w:shd w:val="clear" w:color="auto" w:fill="auto"/>
            <w:noWrap/>
            <w:vAlign w:val="bottom"/>
          </w:tcPr>
          <w:p w14:paraId="32D7D468"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Stone, 2015</w:t>
            </w:r>
          </w:p>
        </w:tc>
        <w:tc>
          <w:tcPr>
            <w:tcW w:w="3154" w:type="dxa"/>
            <w:vAlign w:val="bottom"/>
          </w:tcPr>
          <w:p w14:paraId="1CFC77AB" w14:textId="77777777" w:rsidR="00927E75" w:rsidRPr="002D4F6E" w:rsidRDefault="00927E75" w:rsidP="00E31789">
            <w:pPr>
              <w:spacing w:line="276" w:lineRule="auto"/>
              <w:rPr>
                <w:rFonts w:ascii="Arial Narrow" w:eastAsia="Times New Roman" w:hAnsi="Arial Narrow" w:cs="Calibri"/>
                <w:color w:val="000000"/>
                <w:sz w:val="18"/>
                <w:szCs w:val="18"/>
              </w:rPr>
            </w:pPr>
            <w:proofErr w:type="gramStart"/>
            <w:r w:rsidRPr="002D4F6E">
              <w:rPr>
                <w:rFonts w:ascii="Arial Narrow" w:eastAsia="Times New Roman" w:hAnsi="Arial Narrow" w:cs="Calibri"/>
                <w:color w:val="000000"/>
                <w:sz w:val="18"/>
                <w:szCs w:val="18"/>
              </w:rPr>
              <w:t>High  Dependability</w:t>
            </w:r>
            <w:proofErr w:type="gramEnd"/>
            <w:r w:rsidRPr="002D4F6E">
              <w:rPr>
                <w:rFonts w:ascii="Arial Narrow" w:eastAsia="Times New Roman" w:hAnsi="Arial Narrow" w:cs="Calibri"/>
                <w:color w:val="000000"/>
                <w:sz w:val="18"/>
                <w:szCs w:val="18"/>
              </w:rPr>
              <w:t>; High Credibility</w:t>
            </w:r>
          </w:p>
        </w:tc>
      </w:tr>
      <w:tr w:rsidR="00927E75" w:rsidRPr="002D4F6E" w14:paraId="6E411A6E" w14:textId="77777777" w:rsidTr="00E31789">
        <w:trPr>
          <w:trHeight w:val="196"/>
        </w:trPr>
        <w:tc>
          <w:tcPr>
            <w:tcW w:w="2086" w:type="dxa"/>
            <w:shd w:val="clear" w:color="auto" w:fill="auto"/>
            <w:noWrap/>
            <w:vAlign w:val="bottom"/>
          </w:tcPr>
          <w:p w14:paraId="1AE30DD0"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Thorstensson, 2006</w:t>
            </w:r>
          </w:p>
        </w:tc>
        <w:tc>
          <w:tcPr>
            <w:tcW w:w="3154" w:type="dxa"/>
            <w:vAlign w:val="bottom"/>
          </w:tcPr>
          <w:p w14:paraId="1395A0A8" w14:textId="77777777" w:rsidR="00927E75" w:rsidRPr="002D4F6E" w:rsidRDefault="00927E75" w:rsidP="00E31789">
            <w:pPr>
              <w:spacing w:line="276" w:lineRule="auto"/>
              <w:rPr>
                <w:rFonts w:ascii="Arial Narrow" w:eastAsia="Times New Roman" w:hAnsi="Arial Narrow" w:cs="Calibri"/>
                <w:color w:val="000000"/>
                <w:sz w:val="18"/>
                <w:szCs w:val="18"/>
              </w:rPr>
            </w:pPr>
            <w:proofErr w:type="gramStart"/>
            <w:r w:rsidRPr="002D4F6E">
              <w:rPr>
                <w:rFonts w:ascii="Arial Narrow" w:eastAsia="Times New Roman" w:hAnsi="Arial Narrow" w:cs="Calibri"/>
                <w:color w:val="000000"/>
                <w:sz w:val="18"/>
                <w:szCs w:val="18"/>
              </w:rPr>
              <w:t>High  Dependability</w:t>
            </w:r>
            <w:proofErr w:type="gramEnd"/>
            <w:r w:rsidRPr="002D4F6E">
              <w:rPr>
                <w:rFonts w:ascii="Arial Narrow" w:eastAsia="Times New Roman" w:hAnsi="Arial Narrow" w:cs="Calibri"/>
                <w:color w:val="000000"/>
                <w:sz w:val="18"/>
                <w:szCs w:val="18"/>
              </w:rPr>
              <w:t>; High Credibility</w:t>
            </w:r>
          </w:p>
        </w:tc>
      </w:tr>
      <w:tr w:rsidR="00927E75" w:rsidRPr="002D4F6E" w14:paraId="3E22344C" w14:textId="77777777" w:rsidTr="00E31789">
        <w:trPr>
          <w:trHeight w:val="196"/>
        </w:trPr>
        <w:tc>
          <w:tcPr>
            <w:tcW w:w="2086" w:type="dxa"/>
            <w:shd w:val="clear" w:color="auto" w:fill="auto"/>
            <w:noWrap/>
            <w:vAlign w:val="bottom"/>
          </w:tcPr>
          <w:p w14:paraId="529FE027"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Veenhof, 2006</w:t>
            </w:r>
          </w:p>
        </w:tc>
        <w:tc>
          <w:tcPr>
            <w:tcW w:w="3154" w:type="dxa"/>
            <w:vAlign w:val="bottom"/>
          </w:tcPr>
          <w:p w14:paraId="5A670B1D"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Medium Dependability; High Credibility</w:t>
            </w:r>
          </w:p>
        </w:tc>
      </w:tr>
    </w:tbl>
    <w:p w14:paraId="413D1C81" w14:textId="77777777" w:rsidR="00927E75" w:rsidRDefault="00927E75" w:rsidP="00927E75">
      <w:pPr>
        <w:pStyle w:val="Heading3"/>
      </w:pPr>
      <w:proofErr w:type="spellStart"/>
      <w:r w:rsidRPr="00647167">
        <w:t>Kanavaki</w:t>
      </w:r>
      <w:proofErr w:type="spellEnd"/>
      <w:r w:rsidRPr="00647167">
        <w:t xml:space="preserve"> 2017</w:t>
      </w:r>
      <w:r>
        <w:t xml:space="preserve"> </w:t>
      </w:r>
      <w:r>
        <w:fldChar w:fldCharType="begin"/>
      </w:r>
      <w:r>
        <w:instrText xml:space="preserve"> ADDIN ZOTERO_ITEM CSL_CITATION {"citationID":"SSvcp6Y8","properties":{"formattedCitation":"(41)","plainCitation":"(41)","noteIndex":0},"citationItems":[{"id":2961,"uris":["http://zotero.org/users/9556781/items/DFALNHRW"],"itemData":{"id":2961,"type":"article-journal","abstract":"Objectives  The primary aim of this study is to conduct a systematic review of the existing qualitative evidence on barriers and facilitators of PA for patients with hip or knee OA. Secondary objective is to explore differences in barriers and facilitators between (1) lifestyle PA and exercise and (2) PA uptake and maintenance.\nMethods  Medline, Embase, Web of Science, Cumulative Index to Nursing and Allied Health Literature, SPORTDiscus, Scopus, Grey literature and qualitative journals were searched. Critical Appraisal Skills Programme—Qualitative checklist and Lincoln and Guba’s criteria were used for quality appraisal. Thematic synthesis was applied. Findings  Ten studies were included, seven focusing on exercise regimes, three on overall PA. The findings showed a good fit with the biopsychosocial model of health. Aiming at symptom relief and mobility, positive exercise experiences and beliefs, knowledge, a ‘keep going’ attitude, adjusting and prioritising PA, having healthcare professionals’ and social support emerged as PA facilitators. Pain and physical limitations; non-positive PA experiences, beliefs and information; OA-related distress; a resigned attitude; lack of motivation, behavioural regulation, professional support and negative social comparison with coexercisers were PA barriers. All themes were supported by high and medium quality studies. Paucity of data did not allow for the secondary objectives to be explored.\nConclusion  Our findings reveal a complex interplay among physical, personal including psychological and social-environmental factors corresponding to the facilitation and hindrance of PA, particularly exercise, engagement. Further research on the efficacy of individualised patient education, psychological interventions or social policy change to promote exercise engagement and lifestyle PA in individuals with lower limb OA is required. Trial registration number CRD42016030024.","container-title":"BMJ Open","DOI":"10.1136/bmjopen-2017-017042","ISSN":"2044-6055, 2044-6055","issue":"12","journalAbbreviation":"BMJ Open","language":"en","page":"e017042","source":"DOI.org (Crossref)","title":"Barriers and facilitators of physical activity in knee and hip osteoarthritis: a systematic review of qualitative evidence","title-short":"Barriers and facilitators of physical activity in knee and hip osteoarthritis","volume":"7","author":[{"family":"Kanavaki","given":"Archontissa M"},{"family":"Rushton","given":"Alison"},{"family":"Efstathiou","given":"Nikolaos"},{"family":"Alrushud","given":"Asma"},{"family":"Klocke","given":"Rainer"},{"family":"Abhishek","given":"Abhishek"},{"family":"Duda","given":"Joan L"}],"issued":{"date-parts":[["2017",12]]}}}],"schema":"https://github.com/citation-style-language/schema/raw/master/csl-citation.json"} </w:instrText>
      </w:r>
      <w:r>
        <w:fldChar w:fldCharType="separate"/>
      </w:r>
      <w:r w:rsidRPr="00F45A36">
        <w:rPr>
          <w:rFonts w:ascii="Calibri" w:hAnsi="Calibri" w:cs="Calibri"/>
        </w:rPr>
        <w:t>(41)</w:t>
      </w:r>
      <w:r>
        <w:fldChar w:fldCharType="end"/>
      </w:r>
    </w:p>
    <w:p w14:paraId="607B52FC" w14:textId="77777777" w:rsidR="00927E75" w:rsidRPr="00707C79" w:rsidRDefault="00927E75" w:rsidP="00927E75">
      <w:pPr>
        <w:spacing w:line="276" w:lineRule="auto"/>
        <w:rPr>
          <w:lang w:eastAsia="en-US"/>
        </w:rPr>
      </w:pPr>
      <w:r w:rsidRPr="00707C79">
        <w:rPr>
          <w:lang w:eastAsia="en-US"/>
        </w:rPr>
        <w:t xml:space="preserve">This included review assessed </w:t>
      </w:r>
      <w:proofErr w:type="spellStart"/>
      <w:r>
        <w:t>RoB</w:t>
      </w:r>
      <w:proofErr w:type="spellEnd"/>
      <w:r w:rsidRPr="00707C79">
        <w:rPr>
          <w:lang w:eastAsia="en-US"/>
        </w:rPr>
        <w:t xml:space="preserve"> using the </w:t>
      </w:r>
      <w:r w:rsidRPr="00CB53E8">
        <w:rPr>
          <w:lang w:eastAsia="en-US"/>
        </w:rPr>
        <w:t>Critical Appraisal Skills Programmes (CASP) checklist for qualitative research</w:t>
      </w:r>
      <w:r>
        <w:rPr>
          <w:lang w:eastAsia="en-US"/>
        </w:rPr>
        <w:t xml:space="preserve"> </w:t>
      </w:r>
      <w:r w:rsidRPr="00707C79">
        <w:rPr>
          <w:lang w:eastAsia="en-US"/>
        </w:rPr>
        <w:t xml:space="preserve">tool. </w:t>
      </w:r>
      <w:proofErr w:type="spellStart"/>
      <w:r>
        <w:t>RoB</w:t>
      </w:r>
      <w:proofErr w:type="spellEnd"/>
      <w:r w:rsidRPr="00707C79">
        <w:rPr>
          <w:lang w:eastAsia="en-US"/>
        </w:rPr>
        <w:t xml:space="preserve"> ratings for this tool can be interpreted as </w:t>
      </w:r>
      <w:r>
        <w:rPr>
          <w:lang w:eastAsia="en-US"/>
        </w:rPr>
        <w:t xml:space="preserve">a score out of </w:t>
      </w:r>
      <w:r w:rsidRPr="00707C79">
        <w:rPr>
          <w:lang w:eastAsia="en-US"/>
        </w:rPr>
        <w:t>10</w:t>
      </w:r>
      <w:r>
        <w:rPr>
          <w:lang w:eastAsia="en-US"/>
        </w:rPr>
        <w:t xml:space="preserve"> (</w:t>
      </w:r>
      <w:r w:rsidRPr="00F968D5">
        <w:rPr>
          <w:lang w:eastAsia="en-US"/>
        </w:rPr>
        <w:t>high quality: 9–10; moderate quality: 7.5–8.5; low quality: 6.5–7; exclude: scores below 6</w:t>
      </w:r>
      <w:r>
        <w:rPr>
          <w:lang w:eastAsia="en-US"/>
        </w:rPr>
        <w:t xml:space="preserve">). </w:t>
      </w:r>
      <w:r w:rsidRPr="00707C79">
        <w:rPr>
          <w:lang w:eastAsia="en-US"/>
        </w:rPr>
        <w:t xml:space="preserve">Below is the </w:t>
      </w:r>
      <w:proofErr w:type="spellStart"/>
      <w:r>
        <w:t>RoB</w:t>
      </w:r>
      <w:proofErr w:type="spellEnd"/>
      <w:r w:rsidRPr="00707C79">
        <w:rPr>
          <w:lang w:eastAsia="en-US"/>
        </w:rPr>
        <w:t xml:space="preserve"> ratings for each included primary study.</w:t>
      </w:r>
    </w:p>
    <w:tbl>
      <w:tblPr>
        <w:tblW w:w="3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1170"/>
      </w:tblGrid>
      <w:tr w:rsidR="00927E75" w:rsidRPr="002D4F6E" w14:paraId="761A5C61" w14:textId="77777777" w:rsidTr="00E31789">
        <w:trPr>
          <w:trHeight w:val="177"/>
        </w:trPr>
        <w:tc>
          <w:tcPr>
            <w:tcW w:w="2086" w:type="dxa"/>
            <w:shd w:val="clear" w:color="auto" w:fill="5B9BD5"/>
            <w:hideMark/>
          </w:tcPr>
          <w:p w14:paraId="762B6A61"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r w:rsidRPr="006A1A3F">
              <w:rPr>
                <w:rFonts w:ascii="Arial Narrow" w:eastAsia="Times New Roman" w:hAnsi="Arial Narrow" w:cs="Calibri"/>
                <w:b/>
                <w:bCs/>
                <w:color w:val="FFFFFF" w:themeColor="background1"/>
                <w:sz w:val="18"/>
                <w:szCs w:val="18"/>
              </w:rPr>
              <w:t>Author, Year</w:t>
            </w:r>
          </w:p>
        </w:tc>
        <w:tc>
          <w:tcPr>
            <w:tcW w:w="1170" w:type="dxa"/>
            <w:shd w:val="clear" w:color="auto" w:fill="5B9BD5"/>
          </w:tcPr>
          <w:p w14:paraId="7A9D0D76"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proofErr w:type="spellStart"/>
            <w:r w:rsidRPr="006A1A3F">
              <w:rPr>
                <w:rFonts w:ascii="Arial Narrow" w:eastAsia="Times New Roman" w:hAnsi="Arial Narrow" w:cs="Calibri"/>
                <w:b/>
                <w:bCs/>
                <w:color w:val="FFFFFF" w:themeColor="background1"/>
                <w:sz w:val="18"/>
                <w:szCs w:val="18"/>
              </w:rPr>
              <w:t>RoB</w:t>
            </w:r>
            <w:proofErr w:type="spellEnd"/>
            <w:r w:rsidRPr="006A1A3F">
              <w:rPr>
                <w:rFonts w:ascii="Arial Narrow" w:eastAsia="Times New Roman" w:hAnsi="Arial Narrow" w:cs="Calibri"/>
                <w:b/>
                <w:bCs/>
                <w:color w:val="FFFFFF" w:themeColor="background1"/>
                <w:sz w:val="18"/>
                <w:szCs w:val="18"/>
              </w:rPr>
              <w:t xml:space="preserve"> Rating</w:t>
            </w:r>
          </w:p>
        </w:tc>
      </w:tr>
      <w:tr w:rsidR="00927E75" w:rsidRPr="002D4F6E" w14:paraId="509DBE28" w14:textId="77777777" w:rsidTr="00E31789">
        <w:trPr>
          <w:trHeight w:val="196"/>
        </w:trPr>
        <w:tc>
          <w:tcPr>
            <w:tcW w:w="2086" w:type="dxa"/>
            <w:shd w:val="clear" w:color="auto" w:fill="auto"/>
            <w:noWrap/>
            <w:vAlign w:val="bottom"/>
          </w:tcPr>
          <w:p w14:paraId="6C56E075"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Campbell, 2001</w:t>
            </w:r>
          </w:p>
        </w:tc>
        <w:tc>
          <w:tcPr>
            <w:tcW w:w="1170" w:type="dxa"/>
            <w:vAlign w:val="bottom"/>
          </w:tcPr>
          <w:p w14:paraId="5BEDE602"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6</w:t>
            </w:r>
          </w:p>
        </w:tc>
      </w:tr>
      <w:tr w:rsidR="00927E75" w:rsidRPr="002D4F6E" w14:paraId="63FE2462" w14:textId="77777777" w:rsidTr="00E31789">
        <w:trPr>
          <w:trHeight w:val="196"/>
        </w:trPr>
        <w:tc>
          <w:tcPr>
            <w:tcW w:w="2086" w:type="dxa"/>
            <w:shd w:val="clear" w:color="auto" w:fill="auto"/>
            <w:noWrap/>
            <w:vAlign w:val="bottom"/>
          </w:tcPr>
          <w:p w14:paraId="4E94DFCB"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Fisken, 2016</w:t>
            </w:r>
          </w:p>
        </w:tc>
        <w:tc>
          <w:tcPr>
            <w:tcW w:w="1170" w:type="dxa"/>
            <w:vAlign w:val="bottom"/>
          </w:tcPr>
          <w:p w14:paraId="405A51BA"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6</w:t>
            </w:r>
          </w:p>
        </w:tc>
      </w:tr>
      <w:tr w:rsidR="00927E75" w:rsidRPr="002D4F6E" w14:paraId="13A48E2E" w14:textId="77777777" w:rsidTr="00E31789">
        <w:trPr>
          <w:trHeight w:val="196"/>
        </w:trPr>
        <w:tc>
          <w:tcPr>
            <w:tcW w:w="2086" w:type="dxa"/>
            <w:shd w:val="clear" w:color="auto" w:fill="auto"/>
            <w:noWrap/>
            <w:vAlign w:val="bottom"/>
          </w:tcPr>
          <w:p w14:paraId="27C6BF4F"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Hammer, 2015</w:t>
            </w:r>
          </w:p>
        </w:tc>
        <w:tc>
          <w:tcPr>
            <w:tcW w:w="1170" w:type="dxa"/>
            <w:vAlign w:val="bottom"/>
          </w:tcPr>
          <w:p w14:paraId="0EA60F45"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6</w:t>
            </w:r>
          </w:p>
        </w:tc>
      </w:tr>
      <w:tr w:rsidR="00927E75" w:rsidRPr="002D4F6E" w14:paraId="1436D455" w14:textId="77777777" w:rsidTr="00E31789">
        <w:trPr>
          <w:trHeight w:val="196"/>
        </w:trPr>
        <w:tc>
          <w:tcPr>
            <w:tcW w:w="2086" w:type="dxa"/>
            <w:shd w:val="clear" w:color="auto" w:fill="auto"/>
            <w:noWrap/>
            <w:vAlign w:val="bottom"/>
          </w:tcPr>
          <w:p w14:paraId="2AEF3276"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Hendry, 2006</w:t>
            </w:r>
          </w:p>
        </w:tc>
        <w:tc>
          <w:tcPr>
            <w:tcW w:w="1170" w:type="dxa"/>
            <w:vAlign w:val="bottom"/>
          </w:tcPr>
          <w:p w14:paraId="356F91BD"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9</w:t>
            </w:r>
          </w:p>
        </w:tc>
      </w:tr>
      <w:tr w:rsidR="00927E75" w:rsidRPr="002D4F6E" w14:paraId="7619DD1B" w14:textId="77777777" w:rsidTr="00E31789">
        <w:trPr>
          <w:trHeight w:val="196"/>
        </w:trPr>
        <w:tc>
          <w:tcPr>
            <w:tcW w:w="2086" w:type="dxa"/>
            <w:shd w:val="clear" w:color="auto" w:fill="auto"/>
            <w:noWrap/>
            <w:vAlign w:val="bottom"/>
          </w:tcPr>
          <w:p w14:paraId="167C7E19"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Kabel, 2014</w:t>
            </w:r>
          </w:p>
        </w:tc>
        <w:tc>
          <w:tcPr>
            <w:tcW w:w="1170" w:type="dxa"/>
            <w:vAlign w:val="bottom"/>
          </w:tcPr>
          <w:p w14:paraId="40FE47EB"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6</w:t>
            </w:r>
          </w:p>
        </w:tc>
      </w:tr>
      <w:tr w:rsidR="00927E75" w:rsidRPr="002D4F6E" w14:paraId="08D43AD5" w14:textId="77777777" w:rsidTr="00E31789">
        <w:trPr>
          <w:trHeight w:val="196"/>
        </w:trPr>
        <w:tc>
          <w:tcPr>
            <w:tcW w:w="2086" w:type="dxa"/>
            <w:shd w:val="clear" w:color="auto" w:fill="auto"/>
            <w:noWrap/>
            <w:vAlign w:val="bottom"/>
          </w:tcPr>
          <w:p w14:paraId="594453BC"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Kaptein, 2013</w:t>
            </w:r>
          </w:p>
        </w:tc>
        <w:tc>
          <w:tcPr>
            <w:tcW w:w="1170" w:type="dxa"/>
            <w:vAlign w:val="bottom"/>
          </w:tcPr>
          <w:p w14:paraId="2D4D481D"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7</w:t>
            </w:r>
          </w:p>
        </w:tc>
      </w:tr>
      <w:tr w:rsidR="00927E75" w:rsidRPr="002D4F6E" w14:paraId="798E1A1B" w14:textId="77777777" w:rsidTr="00E31789">
        <w:trPr>
          <w:trHeight w:val="196"/>
        </w:trPr>
        <w:tc>
          <w:tcPr>
            <w:tcW w:w="2086" w:type="dxa"/>
            <w:shd w:val="clear" w:color="auto" w:fill="auto"/>
            <w:noWrap/>
            <w:vAlign w:val="bottom"/>
          </w:tcPr>
          <w:p w14:paraId="50E1BCFE"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Petursdottir, 2010</w:t>
            </w:r>
          </w:p>
        </w:tc>
        <w:tc>
          <w:tcPr>
            <w:tcW w:w="1170" w:type="dxa"/>
            <w:vAlign w:val="bottom"/>
          </w:tcPr>
          <w:p w14:paraId="7F1C3E47"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9</w:t>
            </w:r>
          </w:p>
        </w:tc>
      </w:tr>
      <w:tr w:rsidR="00927E75" w:rsidRPr="002D4F6E" w14:paraId="0B07245C" w14:textId="77777777" w:rsidTr="00E31789">
        <w:trPr>
          <w:trHeight w:val="196"/>
        </w:trPr>
        <w:tc>
          <w:tcPr>
            <w:tcW w:w="2086" w:type="dxa"/>
            <w:shd w:val="clear" w:color="auto" w:fill="auto"/>
            <w:noWrap/>
            <w:vAlign w:val="bottom"/>
          </w:tcPr>
          <w:p w14:paraId="5B8C88CD"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Stone, 2015</w:t>
            </w:r>
          </w:p>
        </w:tc>
        <w:tc>
          <w:tcPr>
            <w:tcW w:w="1170" w:type="dxa"/>
            <w:vAlign w:val="bottom"/>
          </w:tcPr>
          <w:p w14:paraId="3968F837"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9</w:t>
            </w:r>
          </w:p>
        </w:tc>
      </w:tr>
      <w:tr w:rsidR="00927E75" w:rsidRPr="002D4F6E" w14:paraId="74274BAD" w14:textId="77777777" w:rsidTr="00E31789">
        <w:trPr>
          <w:trHeight w:val="196"/>
        </w:trPr>
        <w:tc>
          <w:tcPr>
            <w:tcW w:w="2086" w:type="dxa"/>
            <w:shd w:val="clear" w:color="auto" w:fill="auto"/>
            <w:noWrap/>
            <w:vAlign w:val="bottom"/>
          </w:tcPr>
          <w:p w14:paraId="2C0A90C0"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Thorstensson, 2006</w:t>
            </w:r>
          </w:p>
        </w:tc>
        <w:tc>
          <w:tcPr>
            <w:tcW w:w="1170" w:type="dxa"/>
            <w:vAlign w:val="bottom"/>
          </w:tcPr>
          <w:p w14:paraId="2C5FD97D"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7</w:t>
            </w:r>
          </w:p>
        </w:tc>
      </w:tr>
      <w:tr w:rsidR="00927E75" w:rsidRPr="002D4F6E" w14:paraId="371A3BDD" w14:textId="77777777" w:rsidTr="00E31789">
        <w:trPr>
          <w:trHeight w:val="196"/>
        </w:trPr>
        <w:tc>
          <w:tcPr>
            <w:tcW w:w="2086" w:type="dxa"/>
            <w:shd w:val="clear" w:color="auto" w:fill="auto"/>
            <w:noWrap/>
            <w:vAlign w:val="bottom"/>
          </w:tcPr>
          <w:p w14:paraId="228F1FB0"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Veenhof, 2006</w:t>
            </w:r>
          </w:p>
        </w:tc>
        <w:tc>
          <w:tcPr>
            <w:tcW w:w="1170" w:type="dxa"/>
            <w:vAlign w:val="bottom"/>
          </w:tcPr>
          <w:p w14:paraId="67BF75E2"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6</w:t>
            </w:r>
          </w:p>
        </w:tc>
      </w:tr>
    </w:tbl>
    <w:p w14:paraId="0477622F" w14:textId="77777777" w:rsidR="00927E75" w:rsidRDefault="00927E75" w:rsidP="00927E75">
      <w:pPr>
        <w:pStyle w:val="Heading3"/>
      </w:pPr>
      <w:r w:rsidRPr="00647167">
        <w:t>Learmonth 2016</w:t>
      </w:r>
      <w:r>
        <w:t xml:space="preserve"> </w:t>
      </w:r>
      <w:r>
        <w:fldChar w:fldCharType="begin"/>
      </w:r>
      <w:r>
        <w:instrText xml:space="preserve"> ADDIN ZOTERO_ITEM CSL_CITATION {"citationID":"dquThb5E","properties":{"formattedCitation":"(33)","plainCitation":"(33)","noteIndex":0},"citationItems":[{"id":4668,"uris":["http://zotero.org/users/9556781/items/FT5U4MGJ"],"itemData":{"id":4668,"type":"article-journal","abstract":"PURPOSE: This systematic review was conducted to provide rich and deep evidence of the perceived determinants and consequences of physical activity and exercise based on qualitative research in multiple sclerosis (MS). METHOD: Electronic databases and article reference lists were searched to identify qualitative studies of physical activity and exercise in MS. Studies were included if they were written in English and examined consequences/determinants of physical activity in persons with MS. Content analysis of perceived determinants and consequences of physical activity and exercise was undertaken using an inductive analysis guided by the Physical Activity for people with Disabilities framework and Social Cognitive Theory, respectively. RESULTS: Nineteen articles were reviewed. The most commonly identified perceived barriers of physical activity and exercise were related to the environmental (i.e. minimal or no disabled facilities, and minimal or conflicting advice from healthcare professionals) and related to personal barriers (i.e. fatigue, and fear and apprehension). The most commonly identified perceived facilitators of physical activity were related to the environment (i.e. the type of exercise modality and peer support) and related to personal facilitators (i.e. appropriate exercise and feelings of accomplishment). The most commonly identified perceived beneficial consequences of physical activity and exercise were maintaining physical functions, increased social participation and feelings of self-management and control. The most commonly identified perceived adverse consequences were increased fatigue and feelings of frustration and lost control. CONCLUSIONS: Results will inform future research on the perceived determinants and consequences of physical activity and exercise in those with MS and can be adopted for developing professional education and interventions for physical activity and exercise in MS. IMPLICATIONS FOR REHABILITATION: Physical activity and exercise behaviour in people with multiple sclerosis (MS) is subject to a number of modifiable determinants. Healthcare professionals working to promote physical activity and exercise in those with MS should choose to endorse the positive benefits of participation. Future physical activity interventions for those with MS may be improved by incorporating behavioural management strategies.","container-title":"Disabil Rehabil","DOI":"10.3109/09638288.2015.1077397","ISSN":"0963-8288","issue":"13","note":"Citation Key: Included by Hannah","page":"1227-42","title":"Physical activity and exercise training in multiple sclerosis: a review and content analysis of qualitative research identifying perceived determinants and consequences","volume":"38","author":[{"family":"Learmonth","given":"Y. C."},{"family":"Motl","given":"R. W."}],"issued":{"date-parts":[["2016"]]}}}],"schema":"https://github.com/citation-style-language/schema/raw/master/csl-citation.json"} </w:instrText>
      </w:r>
      <w:r>
        <w:fldChar w:fldCharType="separate"/>
      </w:r>
      <w:r w:rsidRPr="00F45A36">
        <w:rPr>
          <w:rFonts w:ascii="Calibri" w:hAnsi="Calibri" w:cs="Calibri"/>
        </w:rPr>
        <w:t>(33)</w:t>
      </w:r>
      <w:r>
        <w:fldChar w:fldCharType="end"/>
      </w:r>
      <w:r w:rsidRPr="00647167">
        <w:tab/>
      </w:r>
    </w:p>
    <w:p w14:paraId="72FE50D4" w14:textId="77777777" w:rsidR="00927E75" w:rsidRPr="000E22A9" w:rsidRDefault="00927E75" w:rsidP="00927E75">
      <w:pPr>
        <w:spacing w:line="276" w:lineRule="auto"/>
        <w:rPr>
          <w:lang w:eastAsia="en-US"/>
        </w:rPr>
      </w:pPr>
      <w:r w:rsidRPr="000E22A9">
        <w:rPr>
          <w:lang w:eastAsia="en-US"/>
        </w:rPr>
        <w:t xml:space="preserve">This included review assessed </w:t>
      </w:r>
      <w:proofErr w:type="spellStart"/>
      <w:r>
        <w:t>RoB</w:t>
      </w:r>
      <w:proofErr w:type="spellEnd"/>
      <w:r w:rsidRPr="000E22A9">
        <w:rPr>
          <w:lang w:eastAsia="en-US"/>
        </w:rPr>
        <w:t xml:space="preserve"> using the McMaster </w:t>
      </w:r>
      <w:r>
        <w:rPr>
          <w:lang w:eastAsia="en-US"/>
        </w:rPr>
        <w:t>c</w:t>
      </w:r>
      <w:r w:rsidRPr="000E22A9">
        <w:rPr>
          <w:lang w:eastAsia="en-US"/>
        </w:rPr>
        <w:t xml:space="preserve">ritical review tool. </w:t>
      </w:r>
      <w:proofErr w:type="spellStart"/>
      <w:r>
        <w:t>RoB</w:t>
      </w:r>
      <w:proofErr w:type="spellEnd"/>
      <w:r w:rsidRPr="000E22A9">
        <w:rPr>
          <w:lang w:eastAsia="en-US"/>
        </w:rPr>
        <w:t xml:space="preserve"> ratings for this tool can be interpreted as </w:t>
      </w:r>
      <w:r>
        <w:rPr>
          <w:lang w:eastAsia="en-US"/>
        </w:rPr>
        <w:t>s</w:t>
      </w:r>
      <w:r w:rsidRPr="000E22A9">
        <w:rPr>
          <w:lang w:eastAsia="en-US"/>
        </w:rPr>
        <w:t>cores of 0–24,</w:t>
      </w:r>
      <w:r>
        <w:rPr>
          <w:lang w:eastAsia="en-US"/>
        </w:rPr>
        <w:t xml:space="preserve"> where </w:t>
      </w:r>
      <w:r w:rsidRPr="000E22A9">
        <w:rPr>
          <w:lang w:eastAsia="en-US"/>
        </w:rPr>
        <w:t xml:space="preserve">higher score </w:t>
      </w:r>
      <w:r>
        <w:rPr>
          <w:lang w:eastAsia="en-US"/>
        </w:rPr>
        <w:t>means</w:t>
      </w:r>
      <w:r w:rsidRPr="000E22A9">
        <w:rPr>
          <w:lang w:eastAsia="en-US"/>
        </w:rPr>
        <w:t xml:space="preserve"> better quality. Below is the </w:t>
      </w:r>
      <w:proofErr w:type="spellStart"/>
      <w:r>
        <w:t>RoB</w:t>
      </w:r>
      <w:proofErr w:type="spellEnd"/>
      <w:r w:rsidRPr="000E22A9">
        <w:rPr>
          <w:lang w:eastAsia="en-US"/>
        </w:rPr>
        <w:t xml:space="preserve"> ratings for each included primary study.</w:t>
      </w:r>
    </w:p>
    <w:tbl>
      <w:tblPr>
        <w:tblW w:w="3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1170"/>
      </w:tblGrid>
      <w:tr w:rsidR="00927E75" w:rsidRPr="002D4F6E" w14:paraId="0ED8B958" w14:textId="77777777" w:rsidTr="00E31789">
        <w:trPr>
          <w:trHeight w:val="177"/>
        </w:trPr>
        <w:tc>
          <w:tcPr>
            <w:tcW w:w="2086" w:type="dxa"/>
            <w:shd w:val="clear" w:color="auto" w:fill="5B9BD5"/>
            <w:hideMark/>
          </w:tcPr>
          <w:p w14:paraId="216FD838"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r w:rsidRPr="006A1A3F">
              <w:rPr>
                <w:rFonts w:ascii="Arial Narrow" w:eastAsia="Times New Roman" w:hAnsi="Arial Narrow" w:cs="Calibri"/>
                <w:b/>
                <w:bCs/>
                <w:color w:val="FFFFFF" w:themeColor="background1"/>
                <w:sz w:val="18"/>
                <w:szCs w:val="18"/>
              </w:rPr>
              <w:t>Author, Year</w:t>
            </w:r>
          </w:p>
        </w:tc>
        <w:tc>
          <w:tcPr>
            <w:tcW w:w="1170" w:type="dxa"/>
            <w:shd w:val="clear" w:color="auto" w:fill="5B9BD5"/>
          </w:tcPr>
          <w:p w14:paraId="5AC691EB" w14:textId="77777777" w:rsidR="00927E75" w:rsidRPr="006A1A3F" w:rsidRDefault="00927E75" w:rsidP="00E31789">
            <w:pPr>
              <w:spacing w:line="276" w:lineRule="auto"/>
              <w:jc w:val="center"/>
              <w:rPr>
                <w:rFonts w:ascii="Arial Narrow" w:eastAsia="Times New Roman" w:hAnsi="Arial Narrow" w:cs="Calibri"/>
                <w:b/>
                <w:bCs/>
                <w:color w:val="FFFFFF" w:themeColor="background1"/>
                <w:sz w:val="18"/>
                <w:szCs w:val="18"/>
              </w:rPr>
            </w:pPr>
            <w:proofErr w:type="spellStart"/>
            <w:r w:rsidRPr="006A1A3F">
              <w:rPr>
                <w:rFonts w:ascii="Arial Narrow" w:eastAsia="Times New Roman" w:hAnsi="Arial Narrow" w:cs="Calibri"/>
                <w:b/>
                <w:bCs/>
                <w:color w:val="FFFFFF" w:themeColor="background1"/>
                <w:sz w:val="18"/>
                <w:szCs w:val="18"/>
              </w:rPr>
              <w:t>RoB</w:t>
            </w:r>
            <w:proofErr w:type="spellEnd"/>
            <w:r w:rsidRPr="006A1A3F">
              <w:rPr>
                <w:rFonts w:ascii="Arial Narrow" w:eastAsia="Times New Roman" w:hAnsi="Arial Narrow" w:cs="Calibri"/>
                <w:b/>
                <w:bCs/>
                <w:color w:val="FFFFFF" w:themeColor="background1"/>
                <w:sz w:val="18"/>
                <w:szCs w:val="18"/>
              </w:rPr>
              <w:t xml:space="preserve"> Rating</w:t>
            </w:r>
          </w:p>
        </w:tc>
      </w:tr>
      <w:tr w:rsidR="00927E75" w:rsidRPr="002D4F6E" w14:paraId="6D24C579" w14:textId="77777777" w:rsidTr="00E31789">
        <w:trPr>
          <w:trHeight w:val="196"/>
        </w:trPr>
        <w:tc>
          <w:tcPr>
            <w:tcW w:w="2086" w:type="dxa"/>
            <w:shd w:val="clear" w:color="auto" w:fill="auto"/>
            <w:noWrap/>
            <w:vAlign w:val="bottom"/>
          </w:tcPr>
          <w:p w14:paraId="2B4B17B2"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Aubrey, 2012</w:t>
            </w:r>
          </w:p>
        </w:tc>
        <w:tc>
          <w:tcPr>
            <w:tcW w:w="1170" w:type="dxa"/>
            <w:vAlign w:val="bottom"/>
          </w:tcPr>
          <w:p w14:paraId="7AD8E060"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16</w:t>
            </w:r>
          </w:p>
        </w:tc>
      </w:tr>
      <w:tr w:rsidR="00927E75" w:rsidRPr="002D4F6E" w14:paraId="419BFB3E" w14:textId="77777777" w:rsidTr="00E31789">
        <w:trPr>
          <w:trHeight w:val="196"/>
        </w:trPr>
        <w:tc>
          <w:tcPr>
            <w:tcW w:w="2086" w:type="dxa"/>
            <w:shd w:val="clear" w:color="auto" w:fill="auto"/>
            <w:noWrap/>
            <w:vAlign w:val="bottom"/>
          </w:tcPr>
          <w:p w14:paraId="36B8A3E0" w14:textId="77777777" w:rsidR="00927E75" w:rsidRPr="002D4F6E" w:rsidRDefault="00927E75" w:rsidP="00E31789">
            <w:pPr>
              <w:spacing w:line="276" w:lineRule="auto"/>
              <w:rPr>
                <w:rFonts w:ascii="Arial Narrow" w:eastAsia="Times New Roman" w:hAnsi="Arial Narrow" w:cs="Calibri"/>
                <w:color w:val="000000"/>
                <w:sz w:val="18"/>
                <w:szCs w:val="18"/>
              </w:rPr>
            </w:pPr>
            <w:proofErr w:type="spellStart"/>
            <w:r w:rsidRPr="002D4F6E">
              <w:rPr>
                <w:rFonts w:ascii="Arial Narrow" w:eastAsia="Times New Roman" w:hAnsi="Arial Narrow" w:cs="Calibri"/>
                <w:color w:val="000000"/>
                <w:sz w:val="18"/>
                <w:szCs w:val="18"/>
              </w:rPr>
              <w:t>Borkoles</w:t>
            </w:r>
            <w:proofErr w:type="spellEnd"/>
            <w:r w:rsidRPr="002D4F6E">
              <w:rPr>
                <w:rFonts w:ascii="Arial Narrow" w:eastAsia="Times New Roman" w:hAnsi="Arial Narrow" w:cs="Calibri"/>
                <w:color w:val="000000"/>
                <w:sz w:val="18"/>
                <w:szCs w:val="18"/>
              </w:rPr>
              <w:t>, 2008</w:t>
            </w:r>
          </w:p>
        </w:tc>
        <w:tc>
          <w:tcPr>
            <w:tcW w:w="1170" w:type="dxa"/>
            <w:vAlign w:val="bottom"/>
          </w:tcPr>
          <w:p w14:paraId="64739806"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13</w:t>
            </w:r>
          </w:p>
        </w:tc>
      </w:tr>
      <w:tr w:rsidR="00927E75" w:rsidRPr="002D4F6E" w14:paraId="2DED746B" w14:textId="77777777" w:rsidTr="00E31789">
        <w:trPr>
          <w:trHeight w:val="196"/>
        </w:trPr>
        <w:tc>
          <w:tcPr>
            <w:tcW w:w="2086" w:type="dxa"/>
            <w:shd w:val="clear" w:color="auto" w:fill="auto"/>
            <w:noWrap/>
            <w:vAlign w:val="bottom"/>
          </w:tcPr>
          <w:p w14:paraId="180243EE"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Brown, 2012</w:t>
            </w:r>
          </w:p>
        </w:tc>
        <w:tc>
          <w:tcPr>
            <w:tcW w:w="1170" w:type="dxa"/>
            <w:vAlign w:val="bottom"/>
          </w:tcPr>
          <w:p w14:paraId="29F4C31A"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11</w:t>
            </w:r>
          </w:p>
        </w:tc>
      </w:tr>
      <w:tr w:rsidR="00927E75" w:rsidRPr="002D4F6E" w14:paraId="50A79760" w14:textId="77777777" w:rsidTr="00E31789">
        <w:trPr>
          <w:trHeight w:val="196"/>
        </w:trPr>
        <w:tc>
          <w:tcPr>
            <w:tcW w:w="2086" w:type="dxa"/>
            <w:shd w:val="clear" w:color="auto" w:fill="auto"/>
            <w:noWrap/>
            <w:vAlign w:val="bottom"/>
          </w:tcPr>
          <w:p w14:paraId="0997FAA6" w14:textId="77777777" w:rsidR="00927E75" w:rsidRPr="002D4F6E" w:rsidRDefault="00927E75" w:rsidP="00E31789">
            <w:pPr>
              <w:spacing w:line="276" w:lineRule="auto"/>
              <w:rPr>
                <w:rFonts w:ascii="Arial Narrow" w:eastAsia="Times New Roman" w:hAnsi="Arial Narrow" w:cs="Calibri"/>
                <w:color w:val="000000"/>
                <w:sz w:val="18"/>
                <w:szCs w:val="18"/>
              </w:rPr>
            </w:pPr>
            <w:proofErr w:type="spellStart"/>
            <w:r w:rsidRPr="002D4F6E">
              <w:rPr>
                <w:rFonts w:ascii="Arial Narrow" w:eastAsia="Times New Roman" w:hAnsi="Arial Narrow" w:cs="Calibri"/>
                <w:color w:val="000000"/>
                <w:sz w:val="18"/>
                <w:szCs w:val="18"/>
              </w:rPr>
              <w:t>Dlugonski</w:t>
            </w:r>
            <w:proofErr w:type="spellEnd"/>
            <w:r w:rsidRPr="002D4F6E">
              <w:rPr>
                <w:rFonts w:ascii="Arial Narrow" w:eastAsia="Times New Roman" w:hAnsi="Arial Narrow" w:cs="Calibri"/>
                <w:color w:val="000000"/>
                <w:sz w:val="18"/>
                <w:szCs w:val="18"/>
              </w:rPr>
              <w:t>, 2012</w:t>
            </w:r>
          </w:p>
        </w:tc>
        <w:tc>
          <w:tcPr>
            <w:tcW w:w="1170" w:type="dxa"/>
            <w:vAlign w:val="bottom"/>
          </w:tcPr>
          <w:p w14:paraId="26777A9D"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18</w:t>
            </w:r>
          </w:p>
        </w:tc>
      </w:tr>
      <w:tr w:rsidR="00927E75" w:rsidRPr="002D4F6E" w14:paraId="216BBF90" w14:textId="77777777" w:rsidTr="00E31789">
        <w:trPr>
          <w:trHeight w:val="196"/>
        </w:trPr>
        <w:tc>
          <w:tcPr>
            <w:tcW w:w="2086" w:type="dxa"/>
            <w:shd w:val="clear" w:color="auto" w:fill="auto"/>
            <w:noWrap/>
            <w:vAlign w:val="bottom"/>
          </w:tcPr>
          <w:p w14:paraId="48671C82"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Dodd, 2006</w:t>
            </w:r>
          </w:p>
        </w:tc>
        <w:tc>
          <w:tcPr>
            <w:tcW w:w="1170" w:type="dxa"/>
            <w:vAlign w:val="bottom"/>
          </w:tcPr>
          <w:p w14:paraId="36BD90E0"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15</w:t>
            </w:r>
          </w:p>
        </w:tc>
      </w:tr>
      <w:tr w:rsidR="00927E75" w:rsidRPr="002D4F6E" w14:paraId="492A076F" w14:textId="77777777" w:rsidTr="00E31789">
        <w:trPr>
          <w:trHeight w:val="196"/>
        </w:trPr>
        <w:tc>
          <w:tcPr>
            <w:tcW w:w="2086" w:type="dxa"/>
            <w:shd w:val="clear" w:color="auto" w:fill="auto"/>
            <w:noWrap/>
            <w:vAlign w:val="bottom"/>
          </w:tcPr>
          <w:p w14:paraId="3DA0B727"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Elsworth, 2009</w:t>
            </w:r>
          </w:p>
        </w:tc>
        <w:tc>
          <w:tcPr>
            <w:tcW w:w="1170" w:type="dxa"/>
            <w:vAlign w:val="bottom"/>
          </w:tcPr>
          <w:p w14:paraId="599F23B7"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9</w:t>
            </w:r>
          </w:p>
        </w:tc>
      </w:tr>
      <w:tr w:rsidR="00927E75" w:rsidRPr="002D4F6E" w14:paraId="71BB8993" w14:textId="77777777" w:rsidTr="00E31789">
        <w:trPr>
          <w:trHeight w:val="196"/>
        </w:trPr>
        <w:tc>
          <w:tcPr>
            <w:tcW w:w="2086" w:type="dxa"/>
            <w:shd w:val="clear" w:color="auto" w:fill="auto"/>
            <w:noWrap/>
            <w:vAlign w:val="bottom"/>
          </w:tcPr>
          <w:p w14:paraId="6C6C1300"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Giacobbi, 2012</w:t>
            </w:r>
          </w:p>
        </w:tc>
        <w:tc>
          <w:tcPr>
            <w:tcW w:w="1170" w:type="dxa"/>
            <w:vAlign w:val="bottom"/>
          </w:tcPr>
          <w:p w14:paraId="0921D380"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18</w:t>
            </w:r>
          </w:p>
        </w:tc>
      </w:tr>
      <w:tr w:rsidR="00927E75" w:rsidRPr="002D4F6E" w14:paraId="4A5079D9" w14:textId="77777777" w:rsidTr="00E31789">
        <w:trPr>
          <w:trHeight w:val="196"/>
        </w:trPr>
        <w:tc>
          <w:tcPr>
            <w:tcW w:w="2086" w:type="dxa"/>
            <w:shd w:val="clear" w:color="auto" w:fill="auto"/>
            <w:noWrap/>
            <w:vAlign w:val="bottom"/>
          </w:tcPr>
          <w:p w14:paraId="4299AF75"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Kasser, 2009</w:t>
            </w:r>
          </w:p>
        </w:tc>
        <w:tc>
          <w:tcPr>
            <w:tcW w:w="1170" w:type="dxa"/>
            <w:vAlign w:val="bottom"/>
          </w:tcPr>
          <w:p w14:paraId="1CECFA71"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16</w:t>
            </w:r>
          </w:p>
        </w:tc>
      </w:tr>
      <w:tr w:rsidR="00927E75" w:rsidRPr="002D4F6E" w14:paraId="6E3838A1" w14:textId="77777777" w:rsidTr="00E31789">
        <w:trPr>
          <w:trHeight w:val="196"/>
        </w:trPr>
        <w:tc>
          <w:tcPr>
            <w:tcW w:w="2086" w:type="dxa"/>
            <w:shd w:val="clear" w:color="auto" w:fill="auto"/>
            <w:noWrap/>
            <w:vAlign w:val="bottom"/>
          </w:tcPr>
          <w:p w14:paraId="0C5F4789"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Kayes, 2011</w:t>
            </w:r>
          </w:p>
        </w:tc>
        <w:tc>
          <w:tcPr>
            <w:tcW w:w="1170" w:type="dxa"/>
            <w:vAlign w:val="bottom"/>
          </w:tcPr>
          <w:p w14:paraId="3E48141C"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14</w:t>
            </w:r>
          </w:p>
        </w:tc>
      </w:tr>
      <w:tr w:rsidR="00927E75" w:rsidRPr="002D4F6E" w14:paraId="0D462437" w14:textId="77777777" w:rsidTr="00E31789">
        <w:trPr>
          <w:trHeight w:val="196"/>
        </w:trPr>
        <w:tc>
          <w:tcPr>
            <w:tcW w:w="2086" w:type="dxa"/>
            <w:shd w:val="clear" w:color="auto" w:fill="auto"/>
            <w:noWrap/>
            <w:vAlign w:val="bottom"/>
          </w:tcPr>
          <w:p w14:paraId="7DE17D1C"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Learmonth, 2012</w:t>
            </w:r>
          </w:p>
        </w:tc>
        <w:tc>
          <w:tcPr>
            <w:tcW w:w="1170" w:type="dxa"/>
            <w:vAlign w:val="bottom"/>
          </w:tcPr>
          <w:p w14:paraId="4E89887E"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15</w:t>
            </w:r>
          </w:p>
        </w:tc>
      </w:tr>
      <w:tr w:rsidR="00927E75" w:rsidRPr="002D4F6E" w14:paraId="3528174A" w14:textId="77777777" w:rsidTr="00E31789">
        <w:trPr>
          <w:trHeight w:val="196"/>
        </w:trPr>
        <w:tc>
          <w:tcPr>
            <w:tcW w:w="2086" w:type="dxa"/>
            <w:shd w:val="clear" w:color="auto" w:fill="auto"/>
            <w:noWrap/>
            <w:vAlign w:val="bottom"/>
          </w:tcPr>
          <w:p w14:paraId="56E80EAC"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Normann, 2013</w:t>
            </w:r>
          </w:p>
        </w:tc>
        <w:tc>
          <w:tcPr>
            <w:tcW w:w="1170" w:type="dxa"/>
            <w:vAlign w:val="bottom"/>
          </w:tcPr>
          <w:p w14:paraId="1F87BB45"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19</w:t>
            </w:r>
          </w:p>
        </w:tc>
      </w:tr>
      <w:tr w:rsidR="00927E75" w:rsidRPr="002D4F6E" w14:paraId="69D313D0" w14:textId="77777777" w:rsidTr="00E31789">
        <w:trPr>
          <w:trHeight w:val="196"/>
        </w:trPr>
        <w:tc>
          <w:tcPr>
            <w:tcW w:w="2086" w:type="dxa"/>
            <w:shd w:val="clear" w:color="auto" w:fill="auto"/>
            <w:noWrap/>
            <w:vAlign w:val="bottom"/>
          </w:tcPr>
          <w:p w14:paraId="5E1247D3"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Plow, 2009</w:t>
            </w:r>
          </w:p>
        </w:tc>
        <w:tc>
          <w:tcPr>
            <w:tcW w:w="1170" w:type="dxa"/>
            <w:vAlign w:val="bottom"/>
          </w:tcPr>
          <w:p w14:paraId="7E5A509A"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16</w:t>
            </w:r>
          </w:p>
        </w:tc>
      </w:tr>
      <w:tr w:rsidR="00927E75" w:rsidRPr="002D4F6E" w14:paraId="0E26BE09" w14:textId="77777777" w:rsidTr="00E31789">
        <w:trPr>
          <w:trHeight w:val="196"/>
        </w:trPr>
        <w:tc>
          <w:tcPr>
            <w:tcW w:w="2086" w:type="dxa"/>
            <w:shd w:val="clear" w:color="auto" w:fill="auto"/>
            <w:noWrap/>
            <w:vAlign w:val="bottom"/>
          </w:tcPr>
          <w:p w14:paraId="61ABF3BE"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Plow, 2014</w:t>
            </w:r>
          </w:p>
        </w:tc>
        <w:tc>
          <w:tcPr>
            <w:tcW w:w="1170" w:type="dxa"/>
            <w:vAlign w:val="bottom"/>
          </w:tcPr>
          <w:p w14:paraId="1CB2B06B"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15</w:t>
            </w:r>
          </w:p>
        </w:tc>
      </w:tr>
      <w:tr w:rsidR="00927E75" w:rsidRPr="002D4F6E" w14:paraId="17491145" w14:textId="77777777" w:rsidTr="00E31789">
        <w:trPr>
          <w:trHeight w:val="196"/>
        </w:trPr>
        <w:tc>
          <w:tcPr>
            <w:tcW w:w="2086" w:type="dxa"/>
            <w:shd w:val="clear" w:color="auto" w:fill="auto"/>
            <w:noWrap/>
            <w:vAlign w:val="bottom"/>
          </w:tcPr>
          <w:p w14:paraId="7F55057B"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Schneider, 2010</w:t>
            </w:r>
          </w:p>
        </w:tc>
        <w:tc>
          <w:tcPr>
            <w:tcW w:w="1170" w:type="dxa"/>
            <w:vAlign w:val="bottom"/>
          </w:tcPr>
          <w:p w14:paraId="7BC031F2"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14</w:t>
            </w:r>
          </w:p>
        </w:tc>
      </w:tr>
      <w:tr w:rsidR="00927E75" w:rsidRPr="002D4F6E" w14:paraId="58930B7B" w14:textId="77777777" w:rsidTr="00E31789">
        <w:trPr>
          <w:trHeight w:val="196"/>
        </w:trPr>
        <w:tc>
          <w:tcPr>
            <w:tcW w:w="2086" w:type="dxa"/>
            <w:shd w:val="clear" w:color="auto" w:fill="auto"/>
            <w:noWrap/>
            <w:vAlign w:val="bottom"/>
          </w:tcPr>
          <w:p w14:paraId="69283D62"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Smith, 2009</w:t>
            </w:r>
          </w:p>
        </w:tc>
        <w:tc>
          <w:tcPr>
            <w:tcW w:w="1170" w:type="dxa"/>
            <w:vAlign w:val="bottom"/>
          </w:tcPr>
          <w:p w14:paraId="47C7D715"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17</w:t>
            </w:r>
          </w:p>
        </w:tc>
      </w:tr>
      <w:tr w:rsidR="00927E75" w:rsidRPr="002D4F6E" w14:paraId="5B03D764" w14:textId="77777777" w:rsidTr="00E31789">
        <w:trPr>
          <w:trHeight w:val="196"/>
        </w:trPr>
        <w:tc>
          <w:tcPr>
            <w:tcW w:w="2086" w:type="dxa"/>
            <w:shd w:val="clear" w:color="auto" w:fill="auto"/>
            <w:noWrap/>
            <w:vAlign w:val="bottom"/>
          </w:tcPr>
          <w:p w14:paraId="1C2C5922"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Smith, 2011</w:t>
            </w:r>
          </w:p>
        </w:tc>
        <w:tc>
          <w:tcPr>
            <w:tcW w:w="1170" w:type="dxa"/>
            <w:vAlign w:val="bottom"/>
          </w:tcPr>
          <w:p w14:paraId="6C6432F5"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16</w:t>
            </w:r>
          </w:p>
        </w:tc>
      </w:tr>
      <w:tr w:rsidR="00927E75" w:rsidRPr="002D4F6E" w14:paraId="0FD3FF13" w14:textId="77777777" w:rsidTr="00E31789">
        <w:trPr>
          <w:trHeight w:val="196"/>
        </w:trPr>
        <w:tc>
          <w:tcPr>
            <w:tcW w:w="2086" w:type="dxa"/>
            <w:shd w:val="clear" w:color="auto" w:fill="auto"/>
            <w:noWrap/>
            <w:vAlign w:val="bottom"/>
          </w:tcPr>
          <w:p w14:paraId="3D6AF0DE"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Smith, 2013</w:t>
            </w:r>
          </w:p>
        </w:tc>
        <w:tc>
          <w:tcPr>
            <w:tcW w:w="1170" w:type="dxa"/>
            <w:vAlign w:val="bottom"/>
          </w:tcPr>
          <w:p w14:paraId="4AA750CF"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13</w:t>
            </w:r>
          </w:p>
        </w:tc>
      </w:tr>
      <w:tr w:rsidR="00927E75" w:rsidRPr="002D4F6E" w14:paraId="7719C22F" w14:textId="77777777" w:rsidTr="00E31789">
        <w:trPr>
          <w:trHeight w:val="196"/>
        </w:trPr>
        <w:tc>
          <w:tcPr>
            <w:tcW w:w="2086" w:type="dxa"/>
            <w:shd w:val="clear" w:color="auto" w:fill="auto"/>
            <w:noWrap/>
            <w:vAlign w:val="bottom"/>
          </w:tcPr>
          <w:p w14:paraId="52ED48A1"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Van der Linden, 2014</w:t>
            </w:r>
          </w:p>
        </w:tc>
        <w:tc>
          <w:tcPr>
            <w:tcW w:w="1170" w:type="dxa"/>
            <w:vAlign w:val="bottom"/>
          </w:tcPr>
          <w:p w14:paraId="74082253"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16</w:t>
            </w:r>
          </w:p>
        </w:tc>
      </w:tr>
      <w:tr w:rsidR="00927E75" w:rsidRPr="002D4F6E" w14:paraId="51D7D4ED" w14:textId="77777777" w:rsidTr="00E31789">
        <w:trPr>
          <w:trHeight w:val="196"/>
        </w:trPr>
        <w:tc>
          <w:tcPr>
            <w:tcW w:w="2086" w:type="dxa"/>
            <w:shd w:val="clear" w:color="auto" w:fill="auto"/>
            <w:noWrap/>
            <w:vAlign w:val="bottom"/>
          </w:tcPr>
          <w:p w14:paraId="323B84FA" w14:textId="77777777" w:rsidR="00927E75" w:rsidRPr="002D4F6E" w:rsidRDefault="00927E75" w:rsidP="00E31789">
            <w:pPr>
              <w:spacing w:line="276" w:lineRule="auto"/>
              <w:rPr>
                <w:rFonts w:ascii="Arial Narrow" w:eastAsia="Times New Roman" w:hAnsi="Arial Narrow" w:cs="Calibri"/>
                <w:color w:val="000000"/>
                <w:sz w:val="18"/>
                <w:szCs w:val="18"/>
              </w:rPr>
            </w:pPr>
            <w:proofErr w:type="spellStart"/>
            <w:r w:rsidRPr="002D4F6E">
              <w:rPr>
                <w:rFonts w:ascii="Arial Narrow" w:eastAsia="Times New Roman" w:hAnsi="Arial Narrow" w:cs="Calibri"/>
                <w:color w:val="000000"/>
                <w:sz w:val="18"/>
                <w:szCs w:val="18"/>
              </w:rPr>
              <w:t>VanRuymbeke</w:t>
            </w:r>
            <w:proofErr w:type="spellEnd"/>
            <w:r w:rsidRPr="002D4F6E">
              <w:rPr>
                <w:rFonts w:ascii="Arial Narrow" w:eastAsia="Times New Roman" w:hAnsi="Arial Narrow" w:cs="Calibri"/>
                <w:color w:val="000000"/>
                <w:sz w:val="18"/>
                <w:szCs w:val="18"/>
              </w:rPr>
              <w:t>, 2013</w:t>
            </w:r>
          </w:p>
        </w:tc>
        <w:tc>
          <w:tcPr>
            <w:tcW w:w="1170" w:type="dxa"/>
            <w:vAlign w:val="bottom"/>
          </w:tcPr>
          <w:p w14:paraId="3069470F" w14:textId="77777777" w:rsidR="00927E75" w:rsidRPr="002D4F6E" w:rsidRDefault="00927E75" w:rsidP="00E31789">
            <w:pPr>
              <w:spacing w:line="276" w:lineRule="auto"/>
              <w:rPr>
                <w:rFonts w:ascii="Arial Narrow" w:eastAsia="Times New Roman" w:hAnsi="Arial Narrow" w:cs="Calibri"/>
                <w:color w:val="000000"/>
                <w:sz w:val="18"/>
                <w:szCs w:val="18"/>
              </w:rPr>
            </w:pPr>
            <w:r w:rsidRPr="002D4F6E">
              <w:rPr>
                <w:rFonts w:ascii="Arial Narrow" w:eastAsia="Times New Roman" w:hAnsi="Arial Narrow" w:cs="Calibri"/>
                <w:color w:val="000000"/>
                <w:sz w:val="18"/>
                <w:szCs w:val="18"/>
              </w:rPr>
              <w:t>8</w:t>
            </w:r>
          </w:p>
        </w:tc>
      </w:tr>
    </w:tbl>
    <w:p w14:paraId="60107711" w14:textId="1292F1F9" w:rsidR="00927E75" w:rsidRDefault="00927E75" w:rsidP="00927E75">
      <w:pPr>
        <w:pStyle w:val="Heading3"/>
      </w:pPr>
      <w:r w:rsidRPr="00647167">
        <w:lastRenderedPageBreak/>
        <w:t>Messina 2017</w:t>
      </w:r>
      <w:r>
        <w:t xml:space="preserve"> </w:t>
      </w:r>
      <w:r>
        <w:fldChar w:fldCharType="begin"/>
      </w:r>
      <w:r>
        <w:instrText xml:space="preserve"> ADDIN ZOTERO_ITEM CSL_CITATION {"citationID":"kLgm4gkJ","properties":{"formattedCitation":"(45)","plainCitation":"(45)","noteIndex":0},"citationItems":[{"id":4170,"uris":["http://zotero.org/users/9556781/items/XMUSG4T2"],"itemData":{"id":4170,"type":"article-journal","abstract":"Background Type 2 diabetes is impacting millions of people globally; however, many future cases can be prevented through lifestyle changes and interventions. Primary care is an important setting for diabetes prevention, for at-risk populations, because it is a patient’s primary point of contact with the health care system and professionals can provide lifestyle counselling and support, as well as monitoring health outcomes. These are all essential elements for diabetes prevention for at-risk adults. Aim To understand the factors related to the delivery and uptake of type 2 diabetes prevention interventions within primary care in higher income countries. Methods For this narrative systematic review, we combined qualitative and quantitative studies of diabetes prevention within a primary care setting for patients at-risk of developing the condition. We used an iterative approach for evidence collection, which included using several databases (MEDLINE, Embase, Pysch info, BNI, SSCI, CINAHL, ASSIA), where we combined diabetes terms with primary care terms. Narrative and thematic synthesis were utilised to identify the prominent themes emerging from the data. Results A database of 6646 records was screened by the research team, and 18 papers were included. Three major themes were identified in this review. The first theme of context and setting of diabetes progression includes the risk and progression of diabetes, primary care as a setting, and where the responsibility for change is thought to lie. This review also found mixed views on the value of preventative services within primary care. The second theme focused on the various patient factors associated with diabetes prevention such as a patient’s motivation to modify their current lifestyle, perceptions and knowledge (or lack thereof) of the impacts of diabetes, lack of follow-up in healthcare settings, and trust in healthcare professionals. The third theme was centred on professional factors impacting on diabetes prevention which included workload, time constraints, resources, self-efficacy and knowledge as well as professionals’ perception of patient motivations towards change. Conclusion This review explored the factors influencing diabetes prevention in primary care, and identified the context of prevention, as well as patient and professional factors related to preventative services being offered in primary care. This systematic review complements previous reviews of real-world settings by exploring the significant factors in prevention, and the findings are relevant to academics, policymakers, patients and practitioners interested in understanding the factors associated with the delivery and uptake of diabetes prevention interventions.","container-title":"PLOS ONE","DOI":"10.1371/journal.pone.0177699","ISSN":"1932-6203","issue":"5","journalAbbreviation":"PLOS ONE","language":"en","note":"publisher: Public Library of Science","page":"e0177699","source":"PLoS Journals","title":"A narrative systematic review of factors affecting diabetes prevention in primary care settings","volume":"12","author":[{"family":"Messina","given":"Josie"},{"family":"Campbell","given":"Stephen"},{"family":"Morris","given":"Rebecca"},{"family":"Eyles","given":"Emily"},{"family":"Sanders","given":"Caroline"}],"issued":{"date-parts":[["2017",5,22]]}}}],"schema":"https://github.com/citation-style-language/schema/raw/master/csl-citation.json"} </w:instrText>
      </w:r>
      <w:r>
        <w:fldChar w:fldCharType="separate"/>
      </w:r>
      <w:r w:rsidRPr="00F45A36">
        <w:rPr>
          <w:rFonts w:ascii="Calibri" w:hAnsi="Calibri" w:cs="Calibri"/>
        </w:rPr>
        <w:t>(45)</w:t>
      </w:r>
      <w:r>
        <w:fldChar w:fldCharType="end"/>
      </w:r>
    </w:p>
    <w:p w14:paraId="72B4A163" w14:textId="77777777" w:rsidR="00927E75" w:rsidRPr="002D4F6E" w:rsidRDefault="00927E75" w:rsidP="00927E75">
      <w:pPr>
        <w:spacing w:line="276" w:lineRule="auto"/>
        <w:rPr>
          <w:lang w:eastAsia="en-US"/>
        </w:rPr>
      </w:pPr>
      <w:r w:rsidRPr="00210092">
        <w:rPr>
          <w:lang w:eastAsia="en-US"/>
        </w:rPr>
        <w:t xml:space="preserve">This included review assessed </w:t>
      </w:r>
      <w:proofErr w:type="spellStart"/>
      <w:r>
        <w:t>RoB</w:t>
      </w:r>
      <w:proofErr w:type="spellEnd"/>
      <w:r w:rsidRPr="00210092">
        <w:rPr>
          <w:lang w:eastAsia="en-US"/>
        </w:rPr>
        <w:t xml:space="preserve"> using the Critical Appraisal Skills Program (CASP) checklist that was adapted to suit both qualitative and quantitative studies. </w:t>
      </w:r>
      <w:proofErr w:type="spellStart"/>
      <w:r>
        <w:t>RoB</w:t>
      </w:r>
      <w:proofErr w:type="spellEnd"/>
      <w:r w:rsidRPr="00E512CD">
        <w:rPr>
          <w:lang w:eastAsia="en-US"/>
        </w:rPr>
        <w:t xml:space="preserve"> ratings </w:t>
      </w:r>
      <w:r>
        <w:rPr>
          <w:lang w:eastAsia="en-US"/>
        </w:rPr>
        <w:t>are not reported for this study.</w:t>
      </w:r>
    </w:p>
    <w:p w14:paraId="16A0477B" w14:textId="77777777" w:rsidR="00927E75" w:rsidRDefault="00927E75" w:rsidP="00927E75">
      <w:pPr>
        <w:pStyle w:val="Heading3"/>
      </w:pPr>
      <w:r w:rsidRPr="00647167">
        <w:t>Miles 2017</w:t>
      </w:r>
      <w:r>
        <w:t xml:space="preserve"> </w:t>
      </w:r>
      <w:r>
        <w:fldChar w:fldCharType="begin"/>
      </w:r>
      <w:r>
        <w:instrText xml:space="preserve"> ADDIN ZOTERO_ITEM CSL_CITATION {"citationID":"cGWIB8Ik","properties":{"formattedCitation":"(32)","plainCitation":"(32)","noteIndex":0},"citationItems":[{"id":4665,"uris":["http://zotero.org/users/9556781/items/YYV77JFQ"],"itemData":{"id":4665,"type":"article-journal","abstract":"Self-management is an established, effective approach to controlling asthma, recommended in guidelines. However, promotion, uptake and use among patients and health-care professionals remain low. Many barriers and facilitators to effective self-management have been reported, and views and beliefs of patients and health care professionals have been explored in qualitative studies. We conducted a systematic review and thematic synthesis of qualitative research into self-management in patients, carers and health care professionals regarding self-management of asthma, to identify perceived barriers and facilitators associated with reduced effectiveness of asthma self-management interventions. Electronic databases and guidelines were searched systematically for qualitative literature that explored factors relevant to facilitators and barriers to uptake, adherence, or outcomes of self-management in patients with asthma. Thematic synthesis of the 56 included studies identified 11 themes: (1) partnership between patient and health care professional; (2) issues around medication; (3) education about asthma and its management; (4) health beliefs; (5) self-management interventions; (6) co-morbidities (7) mood disorders and anxiety; (8) social support; (9) non-pharmacological methods; (10) access to healthcare; (11) professional factors. From this, perceived barriers and facilitators were identified at the level of individuals with asthma (and carers), and health-care professionals. Future work addressing the concerns and beliefs of adults, adolescents and children (and carers) with asthma, effective communication and partnership, tailored support and education (including for ethnic minorities and at risk groups), and telehealthcare may improve how self-management is recommended by professionals and used by patients. Ultimately, this may achieve better outcomes for people with asthma.","container-title":"NPJ Prim Care Respir Med","DOI":"10.1038/s41533-017-0056-4","ISSN":"2055-1010","issue":"1","note":"Citation Key: Included by both\nPMCID: PMC5634481","page":"57","title":"Barriers and facilitators of effective self-management in asthma: systematic review and thematic synthesis of patient and healthcare professional views","volume":"27","author":[{"family":"Miles","given":"C."},{"family":"Arden-Close","given":"E."},{"family":"Thomas","given":"M."},{"family":"Bruton","given":"A."},{"family":"Yardley","given":"L."},{"family":"Hankins","given":"M."},{"family":"Kirby","given":"S. E."}],"issued":{"date-parts":[["2017",10,9]]}}}],"schema":"https://github.com/citation-style-language/schema/raw/master/csl-citation.json"} </w:instrText>
      </w:r>
      <w:r>
        <w:fldChar w:fldCharType="separate"/>
      </w:r>
      <w:r w:rsidRPr="00F45A36">
        <w:rPr>
          <w:rFonts w:ascii="Calibri" w:hAnsi="Calibri" w:cs="Calibri"/>
        </w:rPr>
        <w:t>(32)</w:t>
      </w:r>
      <w:r>
        <w:fldChar w:fldCharType="end"/>
      </w:r>
      <w:r w:rsidRPr="00647167">
        <w:tab/>
      </w:r>
    </w:p>
    <w:p w14:paraId="1DE2FE8C" w14:textId="77777777" w:rsidR="00927E75" w:rsidRPr="002D4F6E" w:rsidRDefault="00927E75" w:rsidP="00927E75">
      <w:pPr>
        <w:spacing w:line="276" w:lineRule="auto"/>
        <w:rPr>
          <w:lang w:eastAsia="en-US"/>
        </w:rPr>
      </w:pPr>
      <w:r w:rsidRPr="005532D4">
        <w:rPr>
          <w:lang w:eastAsia="en-US"/>
        </w:rPr>
        <w:t xml:space="preserve">This included review assessed </w:t>
      </w:r>
      <w:proofErr w:type="spellStart"/>
      <w:r>
        <w:t>RoB</w:t>
      </w:r>
      <w:proofErr w:type="spellEnd"/>
      <w:r w:rsidRPr="005532D4">
        <w:rPr>
          <w:lang w:eastAsia="en-US"/>
        </w:rPr>
        <w:t xml:space="preserve"> using the </w:t>
      </w:r>
      <w:r w:rsidRPr="00CB53E8">
        <w:rPr>
          <w:lang w:eastAsia="en-US"/>
        </w:rPr>
        <w:t>Critical Appraisal Skills Programmes (CASP) checklist for qualitative research</w:t>
      </w:r>
      <w:r>
        <w:rPr>
          <w:lang w:eastAsia="en-US"/>
        </w:rPr>
        <w:t xml:space="preserve"> </w:t>
      </w:r>
      <w:r w:rsidRPr="00707C79">
        <w:rPr>
          <w:lang w:eastAsia="en-US"/>
        </w:rPr>
        <w:t>tool</w:t>
      </w:r>
      <w:r w:rsidRPr="005532D4">
        <w:rPr>
          <w:lang w:eastAsia="en-US"/>
        </w:rPr>
        <w:t xml:space="preserve">. </w:t>
      </w:r>
      <w:proofErr w:type="spellStart"/>
      <w:r>
        <w:t>RoB</w:t>
      </w:r>
      <w:proofErr w:type="spellEnd"/>
      <w:r w:rsidRPr="00E512CD">
        <w:rPr>
          <w:lang w:eastAsia="en-US"/>
        </w:rPr>
        <w:t xml:space="preserve"> ratings </w:t>
      </w:r>
      <w:r>
        <w:rPr>
          <w:lang w:eastAsia="en-US"/>
        </w:rPr>
        <w:t>are not reported for this study.</w:t>
      </w:r>
    </w:p>
    <w:p w14:paraId="284BF191" w14:textId="77777777" w:rsidR="00927E75" w:rsidRDefault="00927E75" w:rsidP="00927E75">
      <w:pPr>
        <w:pStyle w:val="Heading3"/>
      </w:pPr>
      <w:r w:rsidRPr="00647167">
        <w:t>Newitt 2016</w:t>
      </w:r>
      <w:r>
        <w:t xml:space="preserve"> </w:t>
      </w:r>
      <w:r>
        <w:fldChar w:fldCharType="begin"/>
      </w:r>
      <w:r>
        <w:instrText xml:space="preserve"> ADDIN ZOTERO_ITEM CSL_CITATION {"citationID":"RYrlR21U","properties":{"formattedCitation":"(49)","plainCitation":"(49)","noteIndex":0},"citationItems":[{"id":4664,"uris":["http://zotero.org/users/9556781/items/ICK2JK9K"],"itemData":{"id":4664,"type":"article-journal","abstract":"PURPOSE: This review aims to describe the factors that influence participation in physical activity (PA) in people with neuromusculoskeletal (NMS) conditions. METHODS: A systematic search of six databases was conducted. Articles were included if the study qualitatively explored factors that influence participation in PA by individuals with a NMS condition. Fifteen peer-reviewed articles published between 2003 and 2013 were analysed for common themes and critically appraised. RESULTS: Results were categorised using the International Classification of Functioning, Disability and Health framework. The most common demotivators reported for the three areas of functioning, body function and structures, activities and participation were lack of walking balance, muscle weakness, pain, stiffness, bladder and blower problems, depression, thermoregulation and fear of injury. Fluctuating symptoms and fatigue were mentioned as demotivators in all of the progressive conditions. Maintaining independence, function and weight, and the prevention of secondary conditions were the leading motivators reported in this domain. Most common environmental barriers include accessibility, costs, transport and insufficient information and knowledge from health professionals. Social support is a consistent determinate of PA and is reported as a facilitator in every study. The most common personal demotivators include lack of motivation, feelings of self-consciousness and embarrassment in public, anxiety, frustration and anger. Personal motivators include goal setting and achieving, enjoyment, feeling good, feeling \"normal\", motivation and optimism, redefining self and escapism from everyday boundaries. CONCLUSIONS: Individuals with NMS conditions report complex common barriers, facilitators, demotivators and motivators to participation in PA. The way these factors influence participation in PA is unique to the individual; therefore, it is necessary to adopt an individually tailored approach when designing interventions. IMPLICATIONS FOR REHABILITATION: Individuals with neuromusculoskeletal conditions report common factors that influence participation in physical activity. It is the characteristics, attitude and beliefs of an individual that determine the way in which these factors influence participation in physical activity. Health professionals should be guided by the International Classification of Functioning, Disability and Health framework when assessing individuals, as the model will ensure all major factors of interest with regard to disability and physical activity behaviour are considered. Interventions to promote participation in physical activity in people with neuromusculoskeletal conditions require an individual approach that facilitates the assessment and management of an individual's barriers to physical activity. A multi-disciplinary approach may be required to address factors that influence participation in physical activity. Health professionals must be informed about other areas of expertise and draw on this when necessary.","container-title":"Disabil Rehabil","DOI":"10.3109/09638288.2014.996676","ISSN":"0963-8288","issue":"1","note":"Citation Key: Included by both","page":"1-10","title":"Understanding factors that influence participation in physical activity among people with a neuromusculoskeletal condition: a review of qualitative studies","volume":"38","author":[{"family":"Newitt","given":"R."},{"family":"Barnett","given":"F."},{"family":"Crowe","given":"M."}],"issued":{"date-parts":[["2016"]]}}}],"schema":"https://github.com/citation-style-language/schema/raw/master/csl-citation.json"} </w:instrText>
      </w:r>
      <w:r>
        <w:fldChar w:fldCharType="separate"/>
      </w:r>
      <w:r w:rsidRPr="00F45A36">
        <w:rPr>
          <w:rFonts w:ascii="Calibri" w:hAnsi="Calibri" w:cs="Calibri"/>
        </w:rPr>
        <w:t>(49)</w:t>
      </w:r>
      <w:r>
        <w:fldChar w:fldCharType="end"/>
      </w:r>
      <w:r w:rsidRPr="00647167">
        <w:tab/>
      </w:r>
    </w:p>
    <w:p w14:paraId="047EFDB4" w14:textId="030A73E9" w:rsidR="00927E75" w:rsidRDefault="00927E75" w:rsidP="00927E75">
      <w:pPr>
        <w:spacing w:line="276" w:lineRule="auto"/>
        <w:rPr>
          <w:lang w:eastAsia="en-US"/>
        </w:rPr>
      </w:pPr>
      <w:r w:rsidRPr="004D3E63">
        <w:rPr>
          <w:lang w:eastAsia="en-US"/>
        </w:rPr>
        <w:t xml:space="preserve">This included review assessed </w:t>
      </w:r>
      <w:proofErr w:type="spellStart"/>
      <w:r>
        <w:t>RoB</w:t>
      </w:r>
      <w:proofErr w:type="spellEnd"/>
      <w:r w:rsidRPr="004D3E63">
        <w:rPr>
          <w:lang w:eastAsia="en-US"/>
        </w:rPr>
        <w:t xml:space="preserve"> using the McMaster University Occupational Therapy Evidence-Based Practice Research Group tool. </w:t>
      </w:r>
      <w:proofErr w:type="spellStart"/>
      <w:r>
        <w:t>RoB</w:t>
      </w:r>
      <w:proofErr w:type="spellEnd"/>
      <w:r w:rsidRPr="004D3E63">
        <w:rPr>
          <w:lang w:eastAsia="en-US"/>
        </w:rPr>
        <w:t xml:space="preserve"> ratings for this tool can be interpreted as score out of 23</w:t>
      </w:r>
      <w:r>
        <w:rPr>
          <w:lang w:eastAsia="en-US"/>
        </w:rPr>
        <w:t>, where a higher score indicates higher quality</w:t>
      </w:r>
      <w:r w:rsidRPr="004D3E63">
        <w:rPr>
          <w:lang w:eastAsia="en-US"/>
        </w:rPr>
        <w:t xml:space="preserve">. </w:t>
      </w:r>
    </w:p>
    <w:p w14:paraId="6381DFDA" w14:textId="77777777" w:rsidR="005E655A" w:rsidRDefault="005E655A"/>
    <w:sectPr w:rsidR="005E65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4CBDD" w14:textId="77777777" w:rsidR="00DB6870" w:rsidRDefault="00DB6870" w:rsidP="00063F78">
      <w:pPr>
        <w:spacing w:line="240" w:lineRule="auto"/>
      </w:pPr>
      <w:r>
        <w:separator/>
      </w:r>
    </w:p>
  </w:endnote>
  <w:endnote w:type="continuationSeparator" w:id="0">
    <w:p w14:paraId="66BA5DEA" w14:textId="77777777" w:rsidR="00DB6870" w:rsidRDefault="00DB6870" w:rsidP="00063F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25DE4" w14:textId="77777777" w:rsidR="00DB6870" w:rsidRDefault="00DB6870" w:rsidP="00063F78">
      <w:pPr>
        <w:spacing w:line="240" w:lineRule="auto"/>
      </w:pPr>
      <w:r>
        <w:separator/>
      </w:r>
    </w:p>
  </w:footnote>
  <w:footnote w:type="continuationSeparator" w:id="0">
    <w:p w14:paraId="7DA9DF77" w14:textId="77777777" w:rsidR="00DB6870" w:rsidRDefault="00DB6870" w:rsidP="00063F7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E75"/>
    <w:rsid w:val="000371A1"/>
    <w:rsid w:val="00063F78"/>
    <w:rsid w:val="00117828"/>
    <w:rsid w:val="0021110C"/>
    <w:rsid w:val="00221F40"/>
    <w:rsid w:val="004E68DC"/>
    <w:rsid w:val="005D2F5F"/>
    <w:rsid w:val="005E655A"/>
    <w:rsid w:val="00737799"/>
    <w:rsid w:val="00927E75"/>
    <w:rsid w:val="00972FC8"/>
    <w:rsid w:val="00AB2603"/>
    <w:rsid w:val="00B0410E"/>
    <w:rsid w:val="00DB687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9A8C8"/>
  <w15:chartTrackingRefBased/>
  <w15:docId w15:val="{AC2E7A1A-15D5-4CBE-AF30-C1A12C602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E75"/>
    <w:pPr>
      <w:spacing w:after="0" w:line="480" w:lineRule="auto"/>
    </w:pPr>
    <w:rPr>
      <w:kern w:val="0"/>
      <w14:ligatures w14:val="none"/>
    </w:rPr>
  </w:style>
  <w:style w:type="paragraph" w:styleId="Heading1">
    <w:name w:val="heading 1"/>
    <w:basedOn w:val="Normal"/>
    <w:next w:val="Normal"/>
    <w:link w:val="Heading1Char"/>
    <w:uiPriority w:val="9"/>
    <w:qFormat/>
    <w:rsid w:val="00927E7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27E75"/>
    <w:pPr>
      <w:keepNext/>
      <w:keepLines/>
      <w:spacing w:before="12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1F4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27E75"/>
    <w:rPr>
      <w:rFonts w:asciiTheme="majorHAnsi" w:eastAsiaTheme="majorEastAsia" w:hAnsiTheme="majorHAnsi" w:cstheme="majorBidi"/>
      <w:color w:val="2F5496" w:themeColor="accent1" w:themeShade="BF"/>
      <w:kern w:val="0"/>
      <w:sz w:val="28"/>
      <w:szCs w:val="28"/>
      <w14:ligatures w14:val="none"/>
    </w:rPr>
  </w:style>
  <w:style w:type="paragraph" w:customStyle="1" w:styleId="UnnumberedNumberedHeading1">
    <w:name w:val="Unnumbered Numbered Heading 1"/>
    <w:basedOn w:val="Heading1"/>
    <w:link w:val="UnnumberedNumberedHeading1Char"/>
    <w:rsid w:val="00927E75"/>
    <w:pPr>
      <w:spacing w:before="400" w:after="40" w:line="240" w:lineRule="auto"/>
    </w:pPr>
    <w:rPr>
      <w:color w:val="1F3864" w:themeColor="accent1" w:themeShade="80"/>
      <w:sz w:val="36"/>
      <w:szCs w:val="36"/>
    </w:rPr>
  </w:style>
  <w:style w:type="character" w:customStyle="1" w:styleId="UnnumberedNumberedHeading1Char">
    <w:name w:val="Unnumbered Numbered Heading 1 Char"/>
    <w:basedOn w:val="Heading1Char"/>
    <w:link w:val="UnnumberedNumberedHeading1"/>
    <w:rsid w:val="00927E75"/>
    <w:rPr>
      <w:rFonts w:asciiTheme="majorHAnsi" w:eastAsiaTheme="majorEastAsia" w:hAnsiTheme="majorHAnsi" w:cstheme="majorBidi"/>
      <w:color w:val="1F3864" w:themeColor="accent1" w:themeShade="80"/>
      <w:kern w:val="0"/>
      <w:sz w:val="36"/>
      <w:szCs w:val="36"/>
      <w14:ligatures w14:val="none"/>
    </w:rPr>
  </w:style>
  <w:style w:type="character" w:customStyle="1" w:styleId="Heading1Char">
    <w:name w:val="Heading 1 Char"/>
    <w:basedOn w:val="DefaultParagraphFont"/>
    <w:link w:val="Heading1"/>
    <w:uiPriority w:val="9"/>
    <w:rsid w:val="00927E75"/>
    <w:rPr>
      <w:rFonts w:asciiTheme="majorHAnsi" w:eastAsiaTheme="majorEastAsia" w:hAnsiTheme="majorHAnsi" w:cstheme="majorBidi"/>
      <w:color w:val="2F5496" w:themeColor="accent1" w:themeShade="BF"/>
      <w:kern w:val="0"/>
      <w:sz w:val="32"/>
      <w:szCs w:val="32"/>
      <w14:ligatures w14:val="none"/>
    </w:rPr>
  </w:style>
  <w:style w:type="paragraph" w:styleId="Header">
    <w:name w:val="header"/>
    <w:basedOn w:val="Normal"/>
    <w:link w:val="HeaderChar"/>
    <w:uiPriority w:val="99"/>
    <w:unhideWhenUsed/>
    <w:rsid w:val="00063F78"/>
    <w:pPr>
      <w:tabs>
        <w:tab w:val="center" w:pos="4513"/>
        <w:tab w:val="right" w:pos="9026"/>
      </w:tabs>
      <w:spacing w:line="240" w:lineRule="auto"/>
    </w:pPr>
  </w:style>
  <w:style w:type="character" w:customStyle="1" w:styleId="HeaderChar">
    <w:name w:val="Header Char"/>
    <w:basedOn w:val="DefaultParagraphFont"/>
    <w:link w:val="Header"/>
    <w:uiPriority w:val="99"/>
    <w:rsid w:val="00063F78"/>
    <w:rPr>
      <w:kern w:val="0"/>
      <w14:ligatures w14:val="none"/>
    </w:rPr>
  </w:style>
  <w:style w:type="paragraph" w:styleId="Footer">
    <w:name w:val="footer"/>
    <w:basedOn w:val="Normal"/>
    <w:link w:val="FooterChar"/>
    <w:uiPriority w:val="99"/>
    <w:unhideWhenUsed/>
    <w:rsid w:val="00063F78"/>
    <w:pPr>
      <w:tabs>
        <w:tab w:val="center" w:pos="4513"/>
        <w:tab w:val="right" w:pos="9026"/>
      </w:tabs>
      <w:spacing w:line="240" w:lineRule="auto"/>
    </w:pPr>
  </w:style>
  <w:style w:type="character" w:customStyle="1" w:styleId="FooterChar">
    <w:name w:val="Footer Char"/>
    <w:basedOn w:val="DefaultParagraphFont"/>
    <w:link w:val="Footer"/>
    <w:uiPriority w:val="99"/>
    <w:rsid w:val="00063F78"/>
    <w:rPr>
      <w:kern w:val="0"/>
      <w14:ligatures w14:val="none"/>
    </w:rPr>
  </w:style>
  <w:style w:type="character" w:customStyle="1" w:styleId="Heading4Char">
    <w:name w:val="Heading 4 Char"/>
    <w:basedOn w:val="DefaultParagraphFont"/>
    <w:link w:val="Heading4"/>
    <w:uiPriority w:val="9"/>
    <w:semiHidden/>
    <w:rsid w:val="00221F40"/>
    <w:rPr>
      <w:rFonts w:asciiTheme="majorHAnsi" w:eastAsiaTheme="majorEastAsia" w:hAnsiTheme="majorHAnsi" w:cstheme="majorBidi"/>
      <w:i/>
      <w:iCs/>
      <w:color w:val="2F5496" w:themeColor="accent1" w:themeShade="BF"/>
      <w:kern w:val="0"/>
      <w14:ligatures w14:val="none"/>
    </w:rPr>
  </w:style>
  <w:style w:type="character" w:styleId="CommentReference">
    <w:name w:val="annotation reference"/>
    <w:basedOn w:val="DefaultParagraphFont"/>
    <w:uiPriority w:val="99"/>
    <w:semiHidden/>
    <w:unhideWhenUsed/>
    <w:rsid w:val="00221F40"/>
    <w:rPr>
      <w:sz w:val="16"/>
      <w:szCs w:val="16"/>
    </w:rPr>
  </w:style>
  <w:style w:type="paragraph" w:styleId="CommentText">
    <w:name w:val="annotation text"/>
    <w:basedOn w:val="Normal"/>
    <w:link w:val="CommentTextChar"/>
    <w:uiPriority w:val="99"/>
    <w:unhideWhenUsed/>
    <w:rsid w:val="00221F40"/>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221F40"/>
    <w:rPr>
      <w:rFonts w:eastAsiaTheme="minorHAnsi"/>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7521</Words>
  <Characters>42872</Characters>
  <Application>Microsoft Office Word</Application>
  <DocSecurity>0</DocSecurity>
  <Lines>357</Lines>
  <Paragraphs>100</Paragraphs>
  <ScaleCrop>false</ScaleCrop>
  <Company/>
  <LinksUpToDate>false</LinksUpToDate>
  <CharactersWithSpaces>50293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Greenwood</dc:creator>
  <cp:keywords/>
  <dc:description/>
  <cp:lastModifiedBy>Alexandra Davidson</cp:lastModifiedBy>
  <cp:revision>2</cp:revision>
  <dcterms:created xsi:type="dcterms:W3CDTF">2024-01-10T04:46:00Z</dcterms:created>
  <dcterms:modified xsi:type="dcterms:W3CDTF">2024-01-10T04:46:00Z</dcterms:modified>
</cp:coreProperties>
</file>