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A2013" w14:textId="77777777" w:rsidR="00CF610F" w:rsidRPr="00BA17A3" w:rsidRDefault="00CF610F" w:rsidP="00CF610F">
      <w:pPr>
        <w:rPr>
          <w:rFonts w:ascii="Arial" w:hAnsi="Arial" w:cs="Arial"/>
          <w:noProof/>
        </w:rPr>
      </w:pPr>
      <w:r>
        <w:rPr>
          <w:rFonts w:ascii="Arial" w:hAnsi="Arial" w:cs="Arial"/>
          <w:b/>
          <w:bCs/>
          <w:noProof/>
        </w:rPr>
        <w:t xml:space="preserve">Supplemental Table 2. </w:t>
      </w:r>
      <w:r>
        <w:rPr>
          <w:rFonts w:ascii="Arial" w:hAnsi="Arial" w:cs="Arial"/>
          <w:noProof/>
        </w:rPr>
        <w:t xml:space="preserve">Comparisons of knowledge by clinician type among </w:t>
      </w:r>
      <w:r w:rsidRPr="00460337">
        <w:rPr>
          <w:rFonts w:ascii="Arial" w:hAnsi="Arial" w:cs="Arial"/>
          <w:noProof/>
        </w:rPr>
        <w:t>Texas</w:t>
      </w:r>
      <w:r>
        <w:rPr>
          <w:rFonts w:ascii="Arial" w:hAnsi="Arial" w:cs="Arial"/>
          <w:noProof/>
        </w:rPr>
        <w:t xml:space="preserve"> primary health care clinicians (N=645)</w:t>
      </w:r>
    </w:p>
    <w:tbl>
      <w:tblPr>
        <w:tblW w:w="12955" w:type="dxa"/>
        <w:tblCellMar>
          <w:top w:w="15" w:type="dxa"/>
          <w:bottom w:w="15" w:type="dxa"/>
        </w:tblCellMar>
        <w:tblLook w:val="04A0" w:firstRow="1" w:lastRow="0" w:firstColumn="1" w:lastColumn="0" w:noHBand="0" w:noVBand="1"/>
      </w:tblPr>
      <w:tblGrid>
        <w:gridCol w:w="8185"/>
        <w:gridCol w:w="2340"/>
        <w:gridCol w:w="2430"/>
      </w:tblGrid>
      <w:tr w:rsidR="00CF610F" w:rsidRPr="00122BE3" w14:paraId="0B271DA1" w14:textId="77777777" w:rsidTr="007B21B0">
        <w:trPr>
          <w:trHeight w:val="615"/>
        </w:trPr>
        <w:tc>
          <w:tcPr>
            <w:tcW w:w="8185" w:type="dxa"/>
            <w:tcBorders>
              <w:top w:val="single" w:sz="4" w:space="0" w:color="000000"/>
              <w:left w:val="single" w:sz="4" w:space="0" w:color="000000"/>
              <w:bottom w:val="single" w:sz="4" w:space="0" w:color="000000"/>
              <w:right w:val="single" w:sz="4" w:space="0" w:color="000000"/>
            </w:tcBorders>
            <w:noWrap/>
            <w:vAlign w:val="center"/>
            <w:hideMark/>
          </w:tcPr>
          <w:p w14:paraId="795D6612" w14:textId="77777777" w:rsidR="00CF610F" w:rsidRPr="00122BE3" w:rsidRDefault="00CF610F" w:rsidP="007B21B0">
            <w:pPr>
              <w:spacing w:after="0" w:line="240" w:lineRule="auto"/>
              <w:rPr>
                <w:rFonts w:ascii="Arial" w:eastAsia="Times New Roman" w:hAnsi="Arial" w:cs="Arial"/>
                <w:b/>
                <w:bCs/>
                <w:color w:val="000000"/>
              </w:rPr>
            </w:pPr>
            <w:r w:rsidRPr="00122BE3">
              <w:rPr>
                <w:rFonts w:ascii="Arial" w:eastAsia="Times New Roman" w:hAnsi="Arial" w:cs="Arial"/>
                <w:b/>
                <w:bCs/>
                <w:color w:val="000000"/>
              </w:rPr>
              <w:t>Knowledge questions comparing correct to incorrect</w:t>
            </w:r>
          </w:p>
        </w:tc>
        <w:tc>
          <w:tcPr>
            <w:tcW w:w="2340" w:type="dxa"/>
            <w:tcBorders>
              <w:top w:val="single" w:sz="4" w:space="0" w:color="000000"/>
              <w:left w:val="single" w:sz="4" w:space="0" w:color="000000"/>
              <w:bottom w:val="single" w:sz="4" w:space="0" w:color="000000"/>
              <w:right w:val="single" w:sz="4" w:space="0" w:color="000000"/>
            </w:tcBorders>
            <w:vAlign w:val="center"/>
            <w:hideMark/>
          </w:tcPr>
          <w:p w14:paraId="0F21B355"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 xml:space="preserve">Family Medicine    </w:t>
            </w:r>
            <w:proofErr w:type="spellStart"/>
            <w:r w:rsidRPr="00122BE3">
              <w:rPr>
                <w:rFonts w:ascii="Arial" w:eastAsia="Times New Roman" w:hAnsi="Arial" w:cs="Arial"/>
                <w:color w:val="000000"/>
              </w:rPr>
              <w:t>aOR</w:t>
            </w:r>
            <w:proofErr w:type="spellEnd"/>
            <w:r w:rsidRPr="00122BE3">
              <w:rPr>
                <w:rFonts w:ascii="Arial" w:eastAsia="Times New Roman" w:hAnsi="Arial" w:cs="Arial"/>
                <w:color w:val="000000"/>
              </w:rPr>
              <w:t xml:space="preserve"> (95% CI)</w:t>
            </w:r>
            <w:r w:rsidRPr="00C16F76">
              <w:rPr>
                <w:rFonts w:ascii="Arial" w:hAnsi="Arial" w:cs="Arial"/>
                <w:noProof/>
                <w:vertAlign w:val="superscript"/>
              </w:rPr>
              <w:t xml:space="preserve"> a</w:t>
            </w:r>
            <w:r>
              <w:rPr>
                <w:rFonts w:ascii="Arial" w:hAnsi="Arial" w:cs="Arial"/>
                <w:noProof/>
                <w:vertAlign w:val="superscript"/>
              </w:rPr>
              <w:t>,b</w:t>
            </w:r>
          </w:p>
        </w:tc>
        <w:tc>
          <w:tcPr>
            <w:tcW w:w="2430" w:type="dxa"/>
            <w:tcBorders>
              <w:top w:val="single" w:sz="4" w:space="0" w:color="000000"/>
              <w:left w:val="single" w:sz="4" w:space="0" w:color="000000"/>
              <w:bottom w:val="single" w:sz="4" w:space="0" w:color="000000"/>
              <w:right w:val="single" w:sz="4" w:space="0" w:color="000000"/>
            </w:tcBorders>
            <w:vAlign w:val="center"/>
            <w:hideMark/>
          </w:tcPr>
          <w:p w14:paraId="1AE981D9"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 xml:space="preserve">Internal Medicine    </w:t>
            </w:r>
            <w:proofErr w:type="spellStart"/>
            <w:r w:rsidRPr="00122BE3">
              <w:rPr>
                <w:rFonts w:ascii="Arial" w:eastAsia="Times New Roman" w:hAnsi="Arial" w:cs="Arial"/>
                <w:color w:val="000000"/>
              </w:rPr>
              <w:t>aOR</w:t>
            </w:r>
            <w:proofErr w:type="spellEnd"/>
            <w:r w:rsidRPr="00122BE3">
              <w:rPr>
                <w:rFonts w:ascii="Arial" w:eastAsia="Times New Roman" w:hAnsi="Arial" w:cs="Arial"/>
                <w:color w:val="000000"/>
              </w:rPr>
              <w:t xml:space="preserve"> (95% CI)</w:t>
            </w:r>
            <w:r w:rsidRPr="00C16F76">
              <w:rPr>
                <w:rFonts w:ascii="Arial" w:hAnsi="Arial" w:cs="Arial"/>
                <w:noProof/>
                <w:vertAlign w:val="superscript"/>
              </w:rPr>
              <w:t xml:space="preserve"> a</w:t>
            </w:r>
            <w:r>
              <w:rPr>
                <w:rFonts w:ascii="Arial" w:hAnsi="Arial" w:cs="Arial"/>
                <w:noProof/>
                <w:vertAlign w:val="superscript"/>
              </w:rPr>
              <w:t>,b</w:t>
            </w:r>
          </w:p>
        </w:tc>
      </w:tr>
      <w:tr w:rsidR="00CF610F" w:rsidRPr="00122BE3" w14:paraId="0DECDF28" w14:textId="77777777" w:rsidTr="007B21B0">
        <w:trPr>
          <w:trHeight w:val="585"/>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76A85B03"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Advice you would give to pregnant patient about how much alcohol is safe during pregnancy</w:t>
            </w:r>
            <w:r w:rsidRPr="00122BE3">
              <w:rPr>
                <w:rFonts w:ascii="Arial" w:eastAsia="Times New Roman" w:hAnsi="Arial" w:cs="Arial"/>
                <w:color w:val="000000"/>
                <w:vertAlign w:val="superscript"/>
              </w:rPr>
              <w:t xml:space="preserve"> a</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33B884C4"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1.74 (1.12-2.73)</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48CA24A6"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1.30 (0.70-2.42)</w:t>
            </w:r>
          </w:p>
        </w:tc>
      </w:tr>
      <w:tr w:rsidR="00CF610F" w:rsidRPr="00122BE3" w14:paraId="755876AA" w14:textId="77777777" w:rsidTr="007B21B0">
        <w:trPr>
          <w:trHeight w:val="285"/>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5339B5C1"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Which is considered a standard drink</w:t>
            </w:r>
            <w:r w:rsidRPr="00122BE3">
              <w:rPr>
                <w:rFonts w:ascii="Arial" w:eastAsia="Times New Roman" w:hAnsi="Arial" w:cs="Arial"/>
                <w:color w:val="000000"/>
                <w:vertAlign w:val="superscript"/>
              </w:rPr>
              <w:t xml:space="preserve"> a</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67FE9E1A"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1.75 (1.12-2.74)</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2E04485A"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1.32 (0.71-2.42)</w:t>
            </w:r>
          </w:p>
        </w:tc>
      </w:tr>
      <w:tr w:rsidR="00CF610F" w:rsidRPr="00122BE3" w14:paraId="2C6ACFB1" w14:textId="77777777" w:rsidTr="007B21B0">
        <w:trPr>
          <w:trHeight w:val="362"/>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5DCD4D05"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Risky drinking in 21-yr old non-pregnant women (per week)</w:t>
            </w:r>
            <w:r w:rsidRPr="00122BE3">
              <w:rPr>
                <w:rFonts w:ascii="Arial" w:eastAsia="Times New Roman" w:hAnsi="Arial" w:cs="Arial"/>
                <w:color w:val="000000"/>
                <w:vertAlign w:val="superscript"/>
              </w:rPr>
              <w:t xml:space="preserve"> a</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28109CFF"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1.79 (1.14-2.81)</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2063B6DC"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1.39 (0.75-2.58)</w:t>
            </w:r>
          </w:p>
        </w:tc>
      </w:tr>
      <w:tr w:rsidR="00CF610F" w:rsidRPr="00122BE3" w14:paraId="77116FF7" w14:textId="77777777" w:rsidTr="007B21B0">
        <w:trPr>
          <w:trHeight w:val="317"/>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18AE94DE"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Evidence-based screening tool(s) used for SUD in primary care</w:t>
            </w:r>
            <w:r w:rsidRPr="00122BE3">
              <w:rPr>
                <w:rFonts w:ascii="Arial" w:eastAsia="Times New Roman" w:hAnsi="Arial" w:cs="Arial"/>
                <w:color w:val="000000"/>
                <w:vertAlign w:val="superscript"/>
              </w:rPr>
              <w:t xml:space="preserve"> a</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7C91BAC6"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1.66 (1.05-2.61)</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7DB72B9F"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1.35 (0.72-2.53)</w:t>
            </w:r>
          </w:p>
        </w:tc>
      </w:tr>
      <w:tr w:rsidR="00CF610F" w:rsidRPr="00122BE3" w14:paraId="45A87E8E" w14:textId="77777777" w:rsidTr="007B21B0">
        <w:trPr>
          <w:trHeight w:val="285"/>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730144A6"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First-line medication to treat tobacco cessation</w:t>
            </w:r>
            <w:r w:rsidRPr="00122BE3">
              <w:rPr>
                <w:rFonts w:ascii="Arial" w:eastAsia="Times New Roman" w:hAnsi="Arial" w:cs="Arial"/>
                <w:color w:val="000000"/>
                <w:vertAlign w:val="superscript"/>
              </w:rPr>
              <w:t xml:space="preserve"> a</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12B38021"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1.66 (1.05-2.61)</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0B473427"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1.25 (0.67-2.32)</w:t>
            </w:r>
          </w:p>
        </w:tc>
      </w:tr>
      <w:tr w:rsidR="00CF610F" w:rsidRPr="00122BE3" w14:paraId="29EA41D6" w14:textId="77777777" w:rsidTr="007B21B0">
        <w:trPr>
          <w:trHeight w:val="272"/>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6C0BE4E0"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Validated evidence-based screen for adolescent substance use</w:t>
            </w:r>
            <w:r w:rsidRPr="00122BE3">
              <w:rPr>
                <w:rFonts w:ascii="Arial" w:eastAsia="Times New Roman" w:hAnsi="Arial" w:cs="Arial"/>
                <w:color w:val="000000"/>
                <w:vertAlign w:val="superscript"/>
              </w:rPr>
              <w:t xml:space="preserve"> a</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1F5856AB"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1.73 (1.10-2.72)</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1B01AA2D"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1.29 (0.69-2.41)</w:t>
            </w:r>
          </w:p>
        </w:tc>
      </w:tr>
      <w:tr w:rsidR="00CF610F" w:rsidRPr="00122BE3" w14:paraId="16BFD50A" w14:textId="77777777" w:rsidTr="007B21B0">
        <w:trPr>
          <w:trHeight w:val="587"/>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1AEC7F25" w14:textId="77777777" w:rsidR="00CF610F" w:rsidRPr="00122BE3" w:rsidRDefault="00CF610F" w:rsidP="007B21B0">
            <w:pPr>
              <w:spacing w:after="0" w:line="240" w:lineRule="auto"/>
              <w:rPr>
                <w:rFonts w:ascii="Arial" w:eastAsia="Times New Roman" w:hAnsi="Arial" w:cs="Arial"/>
                <w:b/>
                <w:bCs/>
                <w:color w:val="000000"/>
              </w:rPr>
            </w:pPr>
            <w:r w:rsidRPr="00122BE3">
              <w:rPr>
                <w:rFonts w:ascii="Arial" w:eastAsia="Times New Roman" w:hAnsi="Arial" w:cs="Arial"/>
                <w:b/>
                <w:bCs/>
                <w:color w:val="000000"/>
              </w:rPr>
              <w:t>Knowledge/ Attitude questions comparing attitudes consistent with evidence-based recommendations to those not consistent</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7DD65E18" w14:textId="77777777" w:rsidR="00CF610F" w:rsidRPr="00122BE3" w:rsidRDefault="00CF610F" w:rsidP="007B21B0">
            <w:pPr>
              <w:spacing w:after="0" w:line="240" w:lineRule="auto"/>
              <w:rPr>
                <w:rFonts w:ascii="Arial" w:eastAsia="Times New Roman" w:hAnsi="Arial" w:cs="Arial"/>
                <w:b/>
                <w:bCs/>
                <w:color w:val="000000"/>
              </w:rPr>
            </w:pP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23E4ACA4" w14:textId="77777777" w:rsidR="00CF610F" w:rsidRPr="00122BE3" w:rsidRDefault="00CF610F" w:rsidP="007B21B0">
            <w:pPr>
              <w:spacing w:after="0" w:line="240" w:lineRule="auto"/>
              <w:jc w:val="center"/>
              <w:rPr>
                <w:rFonts w:ascii="Times New Roman" w:eastAsia="Times New Roman" w:hAnsi="Times New Roman" w:cs="Times New Roman"/>
                <w:sz w:val="20"/>
                <w:szCs w:val="20"/>
              </w:rPr>
            </w:pPr>
          </w:p>
        </w:tc>
      </w:tr>
      <w:tr w:rsidR="00CF610F" w:rsidRPr="00122BE3" w14:paraId="49E717B0" w14:textId="77777777" w:rsidTr="007B21B0">
        <w:trPr>
          <w:trHeight w:val="497"/>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585CA2B8"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There is good evidence that primary care physicians can use brief interventions to decrease alcohol use in patients who drink at excessive levels.</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74DB4E9F"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1.73 (1.11-2.71)</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1C642B8A"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1.32 (0.71-2.45)</w:t>
            </w:r>
          </w:p>
        </w:tc>
      </w:tr>
      <w:tr w:rsidR="00CF610F" w:rsidRPr="00122BE3" w14:paraId="622DAFB5" w14:textId="77777777" w:rsidTr="007B21B0">
        <w:trPr>
          <w:trHeight w:val="587"/>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41848A83"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If a patient fails to respond to acamprosate to achieve abstinence from alcohol, naltrexone will show no benefit and should not be used.</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14C299AF"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1.75 (1.11-2.74)</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088E9D1A"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1.36 (0.73-2.53)</w:t>
            </w:r>
          </w:p>
        </w:tc>
      </w:tr>
      <w:tr w:rsidR="00CF610F" w:rsidRPr="00122BE3" w14:paraId="3AD64044" w14:textId="77777777" w:rsidTr="007B21B0">
        <w:trPr>
          <w:trHeight w:val="317"/>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0DBA949D"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Opioid cravings can be treated in an office setting with buprenorphine.</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49E4070D"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1.72 (1.1-2.70)</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4BEF6A85"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1.30 (0.70-2.42)</w:t>
            </w:r>
          </w:p>
        </w:tc>
      </w:tr>
      <w:tr w:rsidR="00CF610F" w:rsidRPr="00122BE3" w14:paraId="0F2DE4A6" w14:textId="77777777" w:rsidTr="007B21B0">
        <w:trPr>
          <w:trHeight w:val="1127"/>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486C4346"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A local pharmacist contacts you because one of your patients has also been receiving prescriptions for hydrocodone from two other doctors. The most appropriate management is to tell the pharmacist to cancel the prescription and to discharge the patient from your practice.</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7C5DB4B6"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1.77 (1.13-2.77)</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31EA939E"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1.30 (0.70-2.41)</w:t>
            </w:r>
          </w:p>
        </w:tc>
      </w:tr>
      <w:tr w:rsidR="00CF610F" w:rsidRPr="00122BE3" w14:paraId="4D658A36" w14:textId="77777777" w:rsidTr="007B21B0">
        <w:trPr>
          <w:trHeight w:val="857"/>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6EA97C62"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A 34-year-old patient is not ready to stop drinking. The most appropriate next step, using motivational interviewing, is to forcefully confront him with the likely health consequences of continued alcohol use.</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7715B1C3"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1.71 (1.09-2.68)</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165170EA"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1.30 (0.70-2.42)</w:t>
            </w:r>
          </w:p>
        </w:tc>
      </w:tr>
      <w:tr w:rsidR="00CF610F" w:rsidRPr="00122BE3" w14:paraId="11BA44F2" w14:textId="77777777" w:rsidTr="007B21B0">
        <w:trPr>
          <w:trHeight w:val="605"/>
        </w:trPr>
        <w:tc>
          <w:tcPr>
            <w:tcW w:w="8185" w:type="dxa"/>
            <w:tcBorders>
              <w:top w:val="single" w:sz="4" w:space="0" w:color="000000"/>
              <w:left w:val="single" w:sz="4" w:space="0" w:color="000000"/>
              <w:bottom w:val="single" w:sz="4" w:space="0" w:color="000000"/>
              <w:right w:val="single" w:sz="4" w:space="0" w:color="000000"/>
            </w:tcBorders>
            <w:vAlign w:val="center"/>
            <w:hideMark/>
          </w:tcPr>
          <w:p w14:paraId="4B742537" w14:textId="77777777" w:rsidR="00CF610F" w:rsidRPr="00122BE3" w:rsidRDefault="00CF610F" w:rsidP="007B21B0">
            <w:pPr>
              <w:spacing w:after="0" w:line="240" w:lineRule="auto"/>
              <w:rPr>
                <w:rFonts w:ascii="Arial" w:eastAsia="Times New Roman" w:hAnsi="Arial" w:cs="Arial"/>
                <w:color w:val="000000"/>
              </w:rPr>
            </w:pPr>
            <w:r w:rsidRPr="00122BE3">
              <w:rPr>
                <w:rFonts w:ascii="Arial" w:eastAsia="Times New Roman" w:hAnsi="Arial" w:cs="Arial"/>
                <w:color w:val="000000"/>
              </w:rPr>
              <w:t>A person is more likely to be successful if they focus on quitting both alcohol and nicotine at once rather than one at a time.</w:t>
            </w:r>
          </w:p>
        </w:tc>
        <w:tc>
          <w:tcPr>
            <w:tcW w:w="2340" w:type="dxa"/>
            <w:tcBorders>
              <w:top w:val="single" w:sz="4" w:space="0" w:color="000000"/>
              <w:left w:val="single" w:sz="4" w:space="0" w:color="000000"/>
              <w:bottom w:val="single" w:sz="4" w:space="0" w:color="000000"/>
              <w:right w:val="single" w:sz="4" w:space="0" w:color="000000"/>
            </w:tcBorders>
            <w:noWrap/>
            <w:vAlign w:val="center"/>
            <w:hideMark/>
          </w:tcPr>
          <w:p w14:paraId="41C48287" w14:textId="77777777" w:rsidR="00CF610F" w:rsidRPr="00122BE3" w:rsidRDefault="00CF610F" w:rsidP="007B21B0">
            <w:pPr>
              <w:spacing w:after="0" w:line="240" w:lineRule="auto"/>
              <w:jc w:val="center"/>
              <w:rPr>
                <w:rFonts w:ascii="Arial" w:eastAsia="Times New Roman" w:hAnsi="Arial" w:cs="Arial"/>
                <w:b/>
                <w:bCs/>
                <w:color w:val="000000"/>
              </w:rPr>
            </w:pPr>
            <w:r w:rsidRPr="00122BE3">
              <w:rPr>
                <w:rFonts w:ascii="Arial" w:eastAsia="Times New Roman" w:hAnsi="Arial" w:cs="Arial"/>
                <w:b/>
                <w:bCs/>
                <w:color w:val="000000"/>
              </w:rPr>
              <w:t>1.74 (1.11-2.72)</w:t>
            </w:r>
          </w:p>
        </w:tc>
        <w:tc>
          <w:tcPr>
            <w:tcW w:w="2430" w:type="dxa"/>
            <w:tcBorders>
              <w:top w:val="single" w:sz="4" w:space="0" w:color="000000"/>
              <w:left w:val="single" w:sz="4" w:space="0" w:color="000000"/>
              <w:bottom w:val="single" w:sz="4" w:space="0" w:color="000000"/>
              <w:right w:val="single" w:sz="4" w:space="0" w:color="000000"/>
            </w:tcBorders>
            <w:noWrap/>
            <w:vAlign w:val="center"/>
            <w:hideMark/>
          </w:tcPr>
          <w:p w14:paraId="2AD03CD3" w14:textId="77777777" w:rsidR="00CF610F" w:rsidRPr="00122BE3" w:rsidRDefault="00CF610F" w:rsidP="007B21B0">
            <w:pPr>
              <w:spacing w:after="0" w:line="240" w:lineRule="auto"/>
              <w:jc w:val="center"/>
              <w:rPr>
                <w:rFonts w:ascii="Arial" w:eastAsia="Times New Roman" w:hAnsi="Arial" w:cs="Arial"/>
                <w:color w:val="000000"/>
              </w:rPr>
            </w:pPr>
            <w:r w:rsidRPr="00122BE3">
              <w:rPr>
                <w:rFonts w:ascii="Arial" w:eastAsia="Times New Roman" w:hAnsi="Arial" w:cs="Arial"/>
                <w:color w:val="000000"/>
              </w:rPr>
              <w:t>1.31 (0.70-2.42)</w:t>
            </w:r>
          </w:p>
        </w:tc>
      </w:tr>
    </w:tbl>
    <w:p w14:paraId="31F3A6AC" w14:textId="77777777" w:rsidR="00CF610F" w:rsidRPr="00F20416" w:rsidRDefault="00CF610F" w:rsidP="00CF610F">
      <w:pPr>
        <w:spacing w:after="0" w:line="240" w:lineRule="auto"/>
        <w:rPr>
          <w:rFonts w:ascii="Arial" w:eastAsia="Arial" w:hAnsi="Arial" w:cs="Arial"/>
          <w:color w:val="000000" w:themeColor="text1"/>
        </w:rPr>
      </w:pPr>
      <w:r w:rsidRPr="00F20416">
        <w:rPr>
          <w:rFonts w:ascii="Arial" w:hAnsi="Arial" w:cs="Arial"/>
          <w:noProof/>
          <w:vertAlign w:val="superscript"/>
        </w:rPr>
        <w:t>a</w:t>
      </w:r>
      <w:r w:rsidRPr="00F20416">
        <w:rPr>
          <w:rFonts w:ascii="Arial" w:hAnsi="Arial" w:cs="Arial"/>
          <w:noProof/>
        </w:rPr>
        <w:t xml:space="preserve">Family medicine and Internal medicine practitioners compared to “other” types of practitioners, which included: </w:t>
      </w:r>
      <w:r w:rsidRPr="00F20416">
        <w:rPr>
          <w:rFonts w:ascii="Arial" w:eastAsia="Arial" w:hAnsi="Arial" w:cs="Arial"/>
          <w:color w:val="000000" w:themeColor="text1"/>
        </w:rPr>
        <w:t>addiction medicine, obstetrics/gynecology, pediatrics, psychiatry, preventive/occupational, and sports medicine.</w:t>
      </w:r>
    </w:p>
    <w:p w14:paraId="716E7632" w14:textId="661028B4" w:rsidR="00A03787" w:rsidRDefault="00CF610F" w:rsidP="00CF610F">
      <w:pPr>
        <w:spacing w:after="0" w:line="240" w:lineRule="auto"/>
      </w:pPr>
      <w:proofErr w:type="spellStart"/>
      <w:r w:rsidRPr="00F20416">
        <w:rPr>
          <w:rFonts w:ascii="Arial" w:eastAsia="Arial" w:hAnsi="Arial" w:cs="Arial"/>
          <w:color w:val="000000" w:themeColor="text1"/>
          <w:vertAlign w:val="superscript"/>
        </w:rPr>
        <w:t>b</w:t>
      </w:r>
      <w:r w:rsidRPr="00F20416">
        <w:rPr>
          <w:rFonts w:ascii="Arial" w:eastAsia="Arial" w:hAnsi="Arial" w:cs="Arial"/>
          <w:color w:val="000000" w:themeColor="text1"/>
        </w:rPr>
        <w:t>Analyses</w:t>
      </w:r>
      <w:proofErr w:type="spellEnd"/>
      <w:r w:rsidRPr="00F20416">
        <w:rPr>
          <w:rFonts w:ascii="Arial" w:eastAsia="Arial" w:hAnsi="Arial" w:cs="Arial"/>
          <w:color w:val="000000" w:themeColor="text1"/>
        </w:rPr>
        <w:t xml:space="preserve"> controlled for gender. </w:t>
      </w:r>
      <w:proofErr w:type="spellStart"/>
      <w:r w:rsidRPr="00F20416">
        <w:rPr>
          <w:rFonts w:ascii="Arial" w:eastAsia="Arial" w:hAnsi="Arial" w:cs="Arial"/>
          <w:color w:val="000000" w:themeColor="text1"/>
        </w:rPr>
        <w:t>aOR</w:t>
      </w:r>
      <w:proofErr w:type="spellEnd"/>
      <w:r w:rsidRPr="00F20416">
        <w:rPr>
          <w:rFonts w:ascii="Arial" w:eastAsia="Arial" w:hAnsi="Arial" w:cs="Arial"/>
          <w:color w:val="000000" w:themeColor="text1"/>
        </w:rPr>
        <w:t xml:space="preserve"> = adjusted odds ratio and 95% CI = 95% confidence interval</w:t>
      </w:r>
      <w:r>
        <w:rPr>
          <w:rFonts w:ascii="Arial" w:eastAsia="Arial" w:hAnsi="Arial" w:cs="Arial"/>
          <w:color w:val="000000" w:themeColor="text1"/>
        </w:rPr>
        <w:t>.</w:t>
      </w:r>
    </w:p>
    <w:sectPr w:rsidR="00A03787" w:rsidSect="00CF610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0F"/>
    <w:rsid w:val="00336CC5"/>
    <w:rsid w:val="00460337"/>
    <w:rsid w:val="004B2ADB"/>
    <w:rsid w:val="00B71E38"/>
    <w:rsid w:val="00CF6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6CAF9"/>
  <w15:chartTrackingRefBased/>
  <w15:docId w15:val="{6DFA7B90-02AE-407B-B848-A826D9A5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1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2080</Characters>
  <Application>Microsoft Office Word</Application>
  <DocSecurity>0</DocSecurity>
  <Lines>17</Lines>
  <Paragraphs>4</Paragraphs>
  <ScaleCrop>false</ScaleCrop>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Hirth, Jacqueline M</dc:creator>
  <cp:keywords/>
  <dc:description/>
  <cp:lastModifiedBy>Hirth, Jacqueline M</cp:lastModifiedBy>
  <cp:revision>3</cp:revision>
  <dcterms:created xsi:type="dcterms:W3CDTF">2023-10-10T13:56:00Z</dcterms:created>
  <dcterms:modified xsi:type="dcterms:W3CDTF">2023-11-14T16:47:00Z</dcterms:modified>
</cp:coreProperties>
</file>