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522B2" w14:textId="7E07713F" w:rsidR="00F87405" w:rsidRPr="00D24F48" w:rsidRDefault="00F87405" w:rsidP="009746AB">
      <w:pPr>
        <w:pStyle w:val="Heading2"/>
        <w:spacing w:line="240" w:lineRule="auto"/>
        <w:rPr>
          <w:rFonts w:ascii="Times New Roman" w:hAnsi="Times New Roman" w:cs="Times New Roman"/>
          <w:sz w:val="20"/>
          <w:szCs w:val="20"/>
          <w:lang w:eastAsia="en-AU"/>
        </w:rPr>
      </w:pPr>
      <w:r w:rsidRPr="00D24F48">
        <w:rPr>
          <w:rFonts w:ascii="Times New Roman" w:eastAsia="Times New Roman" w:hAnsi="Times New Roman" w:cs="Times New Roman"/>
          <w:sz w:val="20"/>
          <w:szCs w:val="20"/>
          <w:lang w:eastAsia="en-AU"/>
        </w:rPr>
        <w:t>Supplementary</w:t>
      </w:r>
      <w:r w:rsidR="000803CD" w:rsidRPr="00D24F48">
        <w:rPr>
          <w:rFonts w:ascii="Times New Roman" w:eastAsia="Times New Roman" w:hAnsi="Times New Roman" w:cs="Times New Roman"/>
          <w:sz w:val="20"/>
          <w:szCs w:val="20"/>
          <w:lang w:val="en-AU" w:eastAsia="en-AU"/>
        </w:rPr>
        <w:t xml:space="preserve"> information </w:t>
      </w:r>
    </w:p>
    <w:p w14:paraId="4CA7492E" w14:textId="7571974C" w:rsidR="002B29BF" w:rsidRPr="00D24F48" w:rsidRDefault="002B29BF" w:rsidP="002118C7">
      <w:pPr>
        <w:pStyle w:val="Heading2"/>
        <w:spacing w:line="240" w:lineRule="auto"/>
        <w:rPr>
          <w:rFonts w:ascii="Times New Roman" w:hAnsi="Times New Roman" w:cs="Times New Roman"/>
          <w:b w:val="0"/>
          <w:bCs/>
          <w:sz w:val="20"/>
          <w:szCs w:val="20"/>
        </w:rPr>
      </w:pPr>
      <w:r w:rsidRPr="00D24F48">
        <w:rPr>
          <w:rFonts w:ascii="Times New Roman" w:hAnsi="Times New Roman" w:cs="Times New Roman"/>
          <w:bCs/>
          <w:sz w:val="20"/>
          <w:szCs w:val="20"/>
          <w:lang w:eastAsia="en-GB"/>
        </w:rPr>
        <w:t xml:space="preserve">Table S1: </w:t>
      </w:r>
      <w:r w:rsidRPr="00D24F48">
        <w:rPr>
          <w:rFonts w:ascii="Times New Roman" w:hAnsi="Times New Roman" w:cs="Times New Roman"/>
          <w:bCs/>
          <w:sz w:val="20"/>
          <w:szCs w:val="20"/>
        </w:rPr>
        <w:t>Preferred Reporting Items for Systematic reviews and Meta-Analyses extension for Scoping Reviews (PRISMA-ScR) Checklist</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750"/>
        <w:gridCol w:w="9967"/>
        <w:gridCol w:w="794"/>
      </w:tblGrid>
      <w:tr w:rsidR="002B29BF" w:rsidRPr="00D24F48" w14:paraId="6DEC28D1" w14:textId="77777777" w:rsidTr="00D94F17">
        <w:trPr>
          <w:tblHeader/>
        </w:trPr>
        <w:tc>
          <w:tcPr>
            <w:tcW w:w="0" w:type="auto"/>
            <w:shd w:val="clear" w:color="auto" w:fill="auto"/>
            <w:vAlign w:val="center"/>
          </w:tcPr>
          <w:p w14:paraId="48AF5947" w14:textId="77777777" w:rsidR="002B29BF" w:rsidRPr="00D24F48" w:rsidRDefault="002B29BF" w:rsidP="002118C7">
            <w:pPr>
              <w:rPr>
                <w:rFonts w:ascii="Times New Roman" w:hAnsi="Times New Roman" w:cs="Times New Roman"/>
                <w:b/>
                <w:bCs/>
                <w:sz w:val="20"/>
                <w:szCs w:val="20"/>
              </w:rPr>
            </w:pPr>
            <w:r w:rsidRPr="00D24F48">
              <w:rPr>
                <w:rFonts w:ascii="Times New Roman" w:hAnsi="Times New Roman" w:cs="Times New Roman"/>
                <w:b/>
                <w:bCs/>
                <w:sz w:val="20"/>
                <w:szCs w:val="20"/>
              </w:rPr>
              <w:t>SECTION</w:t>
            </w:r>
          </w:p>
        </w:tc>
        <w:tc>
          <w:tcPr>
            <w:tcW w:w="0" w:type="auto"/>
            <w:shd w:val="clear" w:color="auto" w:fill="auto"/>
            <w:vAlign w:val="center"/>
          </w:tcPr>
          <w:p w14:paraId="0A00E465" w14:textId="77777777" w:rsidR="002B29BF" w:rsidRPr="00D24F48" w:rsidRDefault="002B29BF" w:rsidP="002118C7">
            <w:pPr>
              <w:rPr>
                <w:rFonts w:ascii="Times New Roman" w:hAnsi="Times New Roman" w:cs="Times New Roman"/>
                <w:b/>
                <w:bCs/>
                <w:sz w:val="20"/>
                <w:szCs w:val="20"/>
              </w:rPr>
            </w:pPr>
            <w:r w:rsidRPr="00D24F48">
              <w:rPr>
                <w:rFonts w:ascii="Times New Roman" w:hAnsi="Times New Roman" w:cs="Times New Roman"/>
                <w:b/>
                <w:bCs/>
                <w:sz w:val="20"/>
                <w:szCs w:val="20"/>
              </w:rPr>
              <w:t>ITEM</w:t>
            </w:r>
          </w:p>
        </w:tc>
        <w:tc>
          <w:tcPr>
            <w:tcW w:w="0" w:type="auto"/>
            <w:shd w:val="clear" w:color="auto" w:fill="auto"/>
            <w:vAlign w:val="center"/>
          </w:tcPr>
          <w:p w14:paraId="5F46A3DF" w14:textId="77777777" w:rsidR="002B29BF" w:rsidRPr="00D24F48" w:rsidRDefault="002B29BF" w:rsidP="002118C7">
            <w:pPr>
              <w:rPr>
                <w:rFonts w:ascii="Times New Roman" w:hAnsi="Times New Roman" w:cs="Times New Roman"/>
                <w:b/>
                <w:bCs/>
                <w:sz w:val="20"/>
                <w:szCs w:val="20"/>
              </w:rPr>
            </w:pPr>
            <w:r w:rsidRPr="00D24F48">
              <w:rPr>
                <w:rFonts w:ascii="Times New Roman" w:hAnsi="Times New Roman" w:cs="Times New Roman"/>
                <w:b/>
                <w:bCs/>
                <w:sz w:val="20"/>
                <w:szCs w:val="20"/>
              </w:rPr>
              <w:t>PRISMA-</w:t>
            </w:r>
            <w:proofErr w:type="spellStart"/>
            <w:r w:rsidRPr="00D24F48">
              <w:rPr>
                <w:rFonts w:ascii="Times New Roman" w:hAnsi="Times New Roman" w:cs="Times New Roman"/>
                <w:b/>
                <w:bCs/>
                <w:sz w:val="20"/>
                <w:szCs w:val="20"/>
              </w:rPr>
              <w:t>ScR</w:t>
            </w:r>
            <w:proofErr w:type="spellEnd"/>
            <w:r w:rsidRPr="00D24F48">
              <w:rPr>
                <w:rFonts w:ascii="Times New Roman" w:hAnsi="Times New Roman" w:cs="Times New Roman"/>
                <w:b/>
                <w:bCs/>
                <w:sz w:val="20"/>
                <w:szCs w:val="20"/>
              </w:rPr>
              <w:t xml:space="preserve"> CHECKLIST ITEM</w:t>
            </w:r>
          </w:p>
        </w:tc>
        <w:tc>
          <w:tcPr>
            <w:tcW w:w="0" w:type="auto"/>
            <w:shd w:val="clear" w:color="auto" w:fill="auto"/>
            <w:vAlign w:val="center"/>
          </w:tcPr>
          <w:p w14:paraId="34099028"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PAGE #</w:t>
            </w:r>
          </w:p>
        </w:tc>
      </w:tr>
      <w:tr w:rsidR="002B29BF" w:rsidRPr="00D24F48" w14:paraId="0D95DDD0" w14:textId="77777777" w:rsidTr="00D94F17">
        <w:tc>
          <w:tcPr>
            <w:tcW w:w="0" w:type="auto"/>
            <w:gridSpan w:val="4"/>
            <w:shd w:val="clear" w:color="auto" w:fill="auto"/>
            <w:vAlign w:val="center"/>
          </w:tcPr>
          <w:p w14:paraId="17E6D569"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TITLE</w:t>
            </w:r>
          </w:p>
        </w:tc>
      </w:tr>
      <w:tr w:rsidR="002B29BF" w:rsidRPr="00D24F48" w14:paraId="67A2DBBC" w14:textId="77777777" w:rsidTr="00D94F17">
        <w:tc>
          <w:tcPr>
            <w:tcW w:w="0" w:type="auto"/>
            <w:shd w:val="clear" w:color="auto" w:fill="auto"/>
            <w:vAlign w:val="center"/>
          </w:tcPr>
          <w:p w14:paraId="496B1EA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Title</w:t>
            </w:r>
          </w:p>
        </w:tc>
        <w:tc>
          <w:tcPr>
            <w:tcW w:w="0" w:type="auto"/>
            <w:shd w:val="clear" w:color="auto" w:fill="auto"/>
            <w:vAlign w:val="center"/>
          </w:tcPr>
          <w:p w14:paraId="2D848979"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w:t>
            </w:r>
          </w:p>
        </w:tc>
        <w:tc>
          <w:tcPr>
            <w:tcW w:w="0" w:type="auto"/>
            <w:shd w:val="clear" w:color="auto" w:fill="auto"/>
            <w:vAlign w:val="center"/>
          </w:tcPr>
          <w:p w14:paraId="509AAA64"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812C4F7F68D84656A8E208E61361C22D"/>
            </w:placeholder>
          </w:sdtPr>
          <w:sdtContent>
            <w:tc>
              <w:tcPr>
                <w:tcW w:w="0" w:type="auto"/>
                <w:shd w:val="clear" w:color="auto" w:fill="auto"/>
                <w:vAlign w:val="center"/>
              </w:tcPr>
              <w:p w14:paraId="5887AA7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w:t>
                </w:r>
              </w:p>
            </w:tc>
          </w:sdtContent>
        </w:sdt>
      </w:tr>
      <w:tr w:rsidR="002B29BF" w:rsidRPr="00D24F48" w14:paraId="13E23DEB" w14:textId="77777777" w:rsidTr="00D94F17">
        <w:tc>
          <w:tcPr>
            <w:tcW w:w="0" w:type="auto"/>
            <w:gridSpan w:val="4"/>
            <w:shd w:val="clear" w:color="auto" w:fill="auto"/>
            <w:vAlign w:val="center"/>
          </w:tcPr>
          <w:p w14:paraId="6DD4B2F4"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ABSTRACT</w:t>
            </w:r>
          </w:p>
        </w:tc>
      </w:tr>
      <w:tr w:rsidR="002B29BF" w:rsidRPr="00D24F48" w14:paraId="5833C623" w14:textId="77777777" w:rsidTr="00D94F17">
        <w:tc>
          <w:tcPr>
            <w:tcW w:w="0" w:type="auto"/>
            <w:shd w:val="clear" w:color="auto" w:fill="auto"/>
            <w:vAlign w:val="center"/>
          </w:tcPr>
          <w:p w14:paraId="696E1CD6"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Structured summary</w:t>
            </w:r>
          </w:p>
        </w:tc>
        <w:tc>
          <w:tcPr>
            <w:tcW w:w="0" w:type="auto"/>
            <w:shd w:val="clear" w:color="auto" w:fill="auto"/>
            <w:vAlign w:val="center"/>
          </w:tcPr>
          <w:p w14:paraId="40552DF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2</w:t>
            </w:r>
          </w:p>
        </w:tc>
        <w:tc>
          <w:tcPr>
            <w:tcW w:w="0" w:type="auto"/>
            <w:shd w:val="clear" w:color="auto" w:fill="auto"/>
            <w:vAlign w:val="center"/>
          </w:tcPr>
          <w:p w14:paraId="1ED1FA22"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812C4F7F68D84656A8E208E61361C22D"/>
            </w:placeholder>
          </w:sdtPr>
          <w:sdtContent>
            <w:tc>
              <w:tcPr>
                <w:tcW w:w="0" w:type="auto"/>
                <w:shd w:val="clear" w:color="auto" w:fill="auto"/>
                <w:vAlign w:val="center"/>
              </w:tcPr>
              <w:p w14:paraId="7875BF2B"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2</w:t>
                </w:r>
              </w:p>
            </w:tc>
          </w:sdtContent>
        </w:sdt>
      </w:tr>
      <w:tr w:rsidR="002B29BF" w:rsidRPr="00D24F48" w14:paraId="552D3AD7" w14:textId="77777777" w:rsidTr="00D94F17">
        <w:tc>
          <w:tcPr>
            <w:tcW w:w="0" w:type="auto"/>
            <w:gridSpan w:val="4"/>
            <w:shd w:val="clear" w:color="auto" w:fill="auto"/>
            <w:vAlign w:val="center"/>
          </w:tcPr>
          <w:p w14:paraId="55450DBF"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INTRODUCTION</w:t>
            </w:r>
          </w:p>
        </w:tc>
      </w:tr>
      <w:tr w:rsidR="002B29BF" w:rsidRPr="00D24F48" w14:paraId="4C721AF1" w14:textId="77777777" w:rsidTr="00D94F17">
        <w:trPr>
          <w:trHeight w:val="530"/>
        </w:trPr>
        <w:tc>
          <w:tcPr>
            <w:tcW w:w="0" w:type="auto"/>
            <w:shd w:val="clear" w:color="auto" w:fill="auto"/>
            <w:vAlign w:val="center"/>
          </w:tcPr>
          <w:p w14:paraId="43373DDF"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Rationale</w:t>
            </w:r>
          </w:p>
        </w:tc>
        <w:tc>
          <w:tcPr>
            <w:tcW w:w="0" w:type="auto"/>
            <w:shd w:val="clear" w:color="auto" w:fill="auto"/>
            <w:vAlign w:val="center"/>
          </w:tcPr>
          <w:p w14:paraId="394D5FD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3</w:t>
            </w:r>
          </w:p>
        </w:tc>
        <w:tc>
          <w:tcPr>
            <w:tcW w:w="0" w:type="auto"/>
            <w:shd w:val="clear" w:color="auto" w:fill="auto"/>
            <w:vAlign w:val="center"/>
          </w:tcPr>
          <w:p w14:paraId="68628E0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812C4F7F68D84656A8E208E61361C22D"/>
            </w:placeholder>
          </w:sdtPr>
          <w:sdtContent>
            <w:tc>
              <w:tcPr>
                <w:tcW w:w="0" w:type="auto"/>
                <w:shd w:val="clear" w:color="auto" w:fill="auto"/>
                <w:vAlign w:val="center"/>
              </w:tcPr>
              <w:p w14:paraId="27F0657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4</w:t>
                </w:r>
              </w:p>
            </w:tc>
          </w:sdtContent>
        </w:sdt>
      </w:tr>
      <w:tr w:rsidR="002B29BF" w:rsidRPr="00D24F48" w14:paraId="175AEE56" w14:textId="77777777" w:rsidTr="00D94F17">
        <w:trPr>
          <w:trHeight w:val="800"/>
        </w:trPr>
        <w:tc>
          <w:tcPr>
            <w:tcW w:w="0" w:type="auto"/>
            <w:shd w:val="clear" w:color="auto" w:fill="auto"/>
            <w:vAlign w:val="center"/>
          </w:tcPr>
          <w:p w14:paraId="508061A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Objectives</w:t>
            </w:r>
          </w:p>
        </w:tc>
        <w:tc>
          <w:tcPr>
            <w:tcW w:w="0" w:type="auto"/>
            <w:shd w:val="clear" w:color="auto" w:fill="auto"/>
            <w:vAlign w:val="center"/>
          </w:tcPr>
          <w:p w14:paraId="682FE052"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4</w:t>
            </w:r>
          </w:p>
        </w:tc>
        <w:tc>
          <w:tcPr>
            <w:tcW w:w="0" w:type="auto"/>
            <w:shd w:val="clear" w:color="auto" w:fill="auto"/>
            <w:vAlign w:val="center"/>
          </w:tcPr>
          <w:p w14:paraId="0FBD85A8"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812C4F7F68D84656A8E208E61361C22D"/>
            </w:placeholder>
          </w:sdtPr>
          <w:sdtContent>
            <w:tc>
              <w:tcPr>
                <w:tcW w:w="0" w:type="auto"/>
                <w:shd w:val="clear" w:color="auto" w:fill="auto"/>
                <w:vAlign w:val="center"/>
              </w:tcPr>
              <w:p w14:paraId="74BD25A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4</w:t>
                </w:r>
              </w:p>
            </w:tc>
          </w:sdtContent>
        </w:sdt>
      </w:tr>
      <w:tr w:rsidR="002B29BF" w:rsidRPr="00D24F48" w14:paraId="4999431A" w14:textId="77777777" w:rsidTr="00D94F17">
        <w:tc>
          <w:tcPr>
            <w:tcW w:w="0" w:type="auto"/>
            <w:gridSpan w:val="4"/>
            <w:shd w:val="clear" w:color="auto" w:fill="auto"/>
            <w:vAlign w:val="center"/>
          </w:tcPr>
          <w:p w14:paraId="16760B39"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METHODS</w:t>
            </w:r>
          </w:p>
        </w:tc>
      </w:tr>
      <w:tr w:rsidR="002B29BF" w:rsidRPr="00D24F48" w14:paraId="65A8C320" w14:textId="77777777" w:rsidTr="00D94F17">
        <w:tc>
          <w:tcPr>
            <w:tcW w:w="0" w:type="auto"/>
            <w:shd w:val="clear" w:color="auto" w:fill="auto"/>
            <w:vAlign w:val="center"/>
          </w:tcPr>
          <w:p w14:paraId="17B01B88"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Protocol and registration</w:t>
            </w:r>
          </w:p>
        </w:tc>
        <w:tc>
          <w:tcPr>
            <w:tcW w:w="0" w:type="auto"/>
            <w:shd w:val="clear" w:color="auto" w:fill="auto"/>
            <w:vAlign w:val="center"/>
          </w:tcPr>
          <w:p w14:paraId="5A1CF72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5</w:t>
            </w:r>
          </w:p>
        </w:tc>
        <w:tc>
          <w:tcPr>
            <w:tcW w:w="0" w:type="auto"/>
            <w:shd w:val="clear" w:color="auto" w:fill="auto"/>
            <w:vAlign w:val="center"/>
          </w:tcPr>
          <w:p w14:paraId="2441E58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812C4F7F68D84656A8E208E61361C22D"/>
            </w:placeholder>
          </w:sdtPr>
          <w:sdtContent>
            <w:tc>
              <w:tcPr>
                <w:tcW w:w="0" w:type="auto"/>
                <w:shd w:val="clear" w:color="auto" w:fill="auto"/>
                <w:vAlign w:val="center"/>
              </w:tcPr>
              <w:p w14:paraId="0F0FA139" w14:textId="11AD909C"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NA</w:t>
                </w:r>
              </w:p>
            </w:tc>
          </w:sdtContent>
        </w:sdt>
      </w:tr>
      <w:tr w:rsidR="002B29BF" w:rsidRPr="00D24F48" w14:paraId="0757376B" w14:textId="77777777" w:rsidTr="00D94F17">
        <w:tc>
          <w:tcPr>
            <w:tcW w:w="0" w:type="auto"/>
            <w:shd w:val="clear" w:color="auto" w:fill="auto"/>
            <w:vAlign w:val="center"/>
          </w:tcPr>
          <w:p w14:paraId="16527E0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Eligibility criteria</w:t>
            </w:r>
          </w:p>
        </w:tc>
        <w:tc>
          <w:tcPr>
            <w:tcW w:w="0" w:type="auto"/>
            <w:shd w:val="clear" w:color="auto" w:fill="auto"/>
            <w:vAlign w:val="center"/>
          </w:tcPr>
          <w:p w14:paraId="75BA102F"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6</w:t>
            </w:r>
          </w:p>
        </w:tc>
        <w:tc>
          <w:tcPr>
            <w:tcW w:w="0" w:type="auto"/>
            <w:shd w:val="clear" w:color="auto" w:fill="auto"/>
            <w:vAlign w:val="center"/>
          </w:tcPr>
          <w:p w14:paraId="7E0BD102"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812C4F7F68D84656A8E208E61361C22D"/>
            </w:placeholder>
          </w:sdtPr>
          <w:sdtContent>
            <w:tc>
              <w:tcPr>
                <w:tcW w:w="0" w:type="auto"/>
                <w:shd w:val="clear" w:color="auto" w:fill="auto"/>
                <w:vAlign w:val="center"/>
              </w:tcPr>
              <w:p w14:paraId="265E3656"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5</w:t>
                </w:r>
              </w:p>
            </w:tc>
          </w:sdtContent>
        </w:sdt>
      </w:tr>
      <w:tr w:rsidR="002B29BF" w:rsidRPr="00D24F48" w14:paraId="6F404BFA" w14:textId="77777777" w:rsidTr="00D94F17">
        <w:trPr>
          <w:trHeight w:val="260"/>
        </w:trPr>
        <w:tc>
          <w:tcPr>
            <w:tcW w:w="0" w:type="auto"/>
            <w:shd w:val="clear" w:color="auto" w:fill="auto"/>
            <w:vAlign w:val="center"/>
          </w:tcPr>
          <w:p w14:paraId="37F5C3D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Information sources*</w:t>
            </w:r>
          </w:p>
        </w:tc>
        <w:tc>
          <w:tcPr>
            <w:tcW w:w="0" w:type="auto"/>
            <w:shd w:val="clear" w:color="auto" w:fill="auto"/>
            <w:vAlign w:val="center"/>
          </w:tcPr>
          <w:p w14:paraId="6A67AD6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7</w:t>
            </w:r>
          </w:p>
        </w:tc>
        <w:tc>
          <w:tcPr>
            <w:tcW w:w="0" w:type="auto"/>
            <w:shd w:val="clear" w:color="auto" w:fill="auto"/>
            <w:vAlign w:val="center"/>
          </w:tcPr>
          <w:p w14:paraId="26744A7F"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Describe all information sources in the search (e.g., databases with dates of coverage and contact with authors to identify additional sources), as well as the date the most recent search was executed.</w:t>
            </w:r>
          </w:p>
        </w:tc>
        <w:sdt>
          <w:sdtPr>
            <w:rPr>
              <w:rFonts w:ascii="Times New Roman" w:hAnsi="Times New Roman" w:cs="Times New Roman"/>
              <w:sz w:val="20"/>
              <w:szCs w:val="20"/>
            </w:rPr>
            <w:id w:val="1510949160"/>
            <w:placeholder>
              <w:docPart w:val="812C4F7F68D84656A8E208E61361C22D"/>
            </w:placeholder>
          </w:sdtPr>
          <w:sdtContent>
            <w:tc>
              <w:tcPr>
                <w:tcW w:w="0" w:type="auto"/>
                <w:shd w:val="clear" w:color="auto" w:fill="auto"/>
                <w:vAlign w:val="center"/>
              </w:tcPr>
              <w:p w14:paraId="565AAA3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4-5</w:t>
                </w:r>
              </w:p>
            </w:tc>
          </w:sdtContent>
        </w:sdt>
      </w:tr>
      <w:tr w:rsidR="002B29BF" w:rsidRPr="00D24F48" w14:paraId="023766BC" w14:textId="77777777" w:rsidTr="00D94F17">
        <w:tc>
          <w:tcPr>
            <w:tcW w:w="0" w:type="auto"/>
            <w:shd w:val="clear" w:color="auto" w:fill="auto"/>
            <w:vAlign w:val="center"/>
          </w:tcPr>
          <w:p w14:paraId="10AFB3C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Search</w:t>
            </w:r>
          </w:p>
        </w:tc>
        <w:tc>
          <w:tcPr>
            <w:tcW w:w="0" w:type="auto"/>
            <w:shd w:val="clear" w:color="auto" w:fill="auto"/>
            <w:vAlign w:val="center"/>
          </w:tcPr>
          <w:p w14:paraId="3F9099CE"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8</w:t>
            </w:r>
          </w:p>
        </w:tc>
        <w:tc>
          <w:tcPr>
            <w:tcW w:w="0" w:type="auto"/>
            <w:shd w:val="clear" w:color="auto" w:fill="auto"/>
            <w:vAlign w:val="center"/>
          </w:tcPr>
          <w:p w14:paraId="29695CB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812C4F7F68D84656A8E208E61361C22D"/>
            </w:placeholder>
          </w:sdtPr>
          <w:sdtContent>
            <w:tc>
              <w:tcPr>
                <w:tcW w:w="0" w:type="auto"/>
                <w:shd w:val="clear" w:color="auto" w:fill="auto"/>
                <w:vAlign w:val="center"/>
              </w:tcPr>
              <w:p w14:paraId="4A177D86"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5</w:t>
                </w:r>
              </w:p>
            </w:tc>
          </w:sdtContent>
        </w:sdt>
      </w:tr>
      <w:tr w:rsidR="002B29BF" w:rsidRPr="00D24F48" w14:paraId="77CBB192" w14:textId="77777777" w:rsidTr="00D94F17">
        <w:tc>
          <w:tcPr>
            <w:tcW w:w="0" w:type="auto"/>
            <w:shd w:val="clear" w:color="auto" w:fill="auto"/>
            <w:vAlign w:val="center"/>
          </w:tcPr>
          <w:p w14:paraId="226CE0B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Selection of sources of evidence†</w:t>
            </w:r>
          </w:p>
        </w:tc>
        <w:tc>
          <w:tcPr>
            <w:tcW w:w="0" w:type="auto"/>
            <w:shd w:val="clear" w:color="auto" w:fill="auto"/>
            <w:vAlign w:val="center"/>
          </w:tcPr>
          <w:p w14:paraId="45F66D1B"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9</w:t>
            </w:r>
          </w:p>
        </w:tc>
        <w:tc>
          <w:tcPr>
            <w:tcW w:w="0" w:type="auto"/>
            <w:shd w:val="clear" w:color="auto" w:fill="auto"/>
            <w:vAlign w:val="center"/>
          </w:tcPr>
          <w:p w14:paraId="19C4895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812C4F7F68D84656A8E208E61361C22D"/>
            </w:placeholder>
          </w:sdtPr>
          <w:sdtContent>
            <w:tc>
              <w:tcPr>
                <w:tcW w:w="0" w:type="auto"/>
                <w:shd w:val="clear" w:color="auto" w:fill="auto"/>
                <w:vAlign w:val="center"/>
              </w:tcPr>
              <w:p w14:paraId="23D6857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5</w:t>
                </w:r>
              </w:p>
            </w:tc>
          </w:sdtContent>
        </w:sdt>
      </w:tr>
      <w:tr w:rsidR="002B29BF" w:rsidRPr="00D24F48" w14:paraId="7431B33A" w14:textId="77777777" w:rsidTr="00D94F17">
        <w:tc>
          <w:tcPr>
            <w:tcW w:w="0" w:type="auto"/>
            <w:shd w:val="clear" w:color="auto" w:fill="auto"/>
            <w:vAlign w:val="center"/>
          </w:tcPr>
          <w:p w14:paraId="5C6831D6"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Data charting process‡</w:t>
            </w:r>
          </w:p>
        </w:tc>
        <w:tc>
          <w:tcPr>
            <w:tcW w:w="0" w:type="auto"/>
            <w:shd w:val="clear" w:color="auto" w:fill="auto"/>
            <w:vAlign w:val="center"/>
          </w:tcPr>
          <w:p w14:paraId="244CCC11"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10</w:t>
            </w:r>
          </w:p>
        </w:tc>
        <w:tc>
          <w:tcPr>
            <w:tcW w:w="0" w:type="auto"/>
            <w:shd w:val="clear" w:color="auto" w:fill="auto"/>
            <w:vAlign w:val="center"/>
          </w:tcPr>
          <w:p w14:paraId="313D5C2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imes New Roman" w:hAnsi="Times New Roman" w:cs="Times New Roman"/>
              <w:sz w:val="20"/>
              <w:szCs w:val="20"/>
            </w:rPr>
            <w:id w:val="1943252725"/>
            <w:placeholder>
              <w:docPart w:val="812C4F7F68D84656A8E208E61361C22D"/>
            </w:placeholder>
          </w:sdtPr>
          <w:sdtContent>
            <w:tc>
              <w:tcPr>
                <w:tcW w:w="0" w:type="auto"/>
                <w:shd w:val="clear" w:color="auto" w:fill="auto"/>
                <w:vAlign w:val="center"/>
              </w:tcPr>
              <w:p w14:paraId="1A060670"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6</w:t>
                </w:r>
              </w:p>
            </w:tc>
          </w:sdtContent>
        </w:sdt>
      </w:tr>
      <w:tr w:rsidR="002B29BF" w:rsidRPr="00D24F48" w14:paraId="767B45C4" w14:textId="77777777" w:rsidTr="00D94F17">
        <w:trPr>
          <w:trHeight w:val="260"/>
        </w:trPr>
        <w:tc>
          <w:tcPr>
            <w:tcW w:w="0" w:type="auto"/>
            <w:shd w:val="clear" w:color="auto" w:fill="auto"/>
            <w:vAlign w:val="center"/>
          </w:tcPr>
          <w:p w14:paraId="31B5AF48"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Data items</w:t>
            </w:r>
          </w:p>
        </w:tc>
        <w:tc>
          <w:tcPr>
            <w:tcW w:w="0" w:type="auto"/>
            <w:shd w:val="clear" w:color="auto" w:fill="auto"/>
            <w:vAlign w:val="center"/>
          </w:tcPr>
          <w:p w14:paraId="221236B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11</w:t>
            </w:r>
          </w:p>
        </w:tc>
        <w:tc>
          <w:tcPr>
            <w:tcW w:w="0" w:type="auto"/>
            <w:shd w:val="clear" w:color="auto" w:fill="auto"/>
            <w:vAlign w:val="center"/>
          </w:tcPr>
          <w:p w14:paraId="2FC926D4"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812C4F7F68D84656A8E208E61361C22D"/>
            </w:placeholder>
          </w:sdtPr>
          <w:sdtContent>
            <w:tc>
              <w:tcPr>
                <w:tcW w:w="0" w:type="auto"/>
                <w:shd w:val="clear" w:color="auto" w:fill="auto"/>
                <w:vAlign w:val="center"/>
              </w:tcPr>
              <w:p w14:paraId="52E35686"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6</w:t>
                </w:r>
              </w:p>
            </w:tc>
          </w:sdtContent>
        </w:sdt>
      </w:tr>
      <w:tr w:rsidR="002B29BF" w:rsidRPr="00D24F48" w14:paraId="49ACA5B2" w14:textId="77777777" w:rsidTr="00D94F17">
        <w:tc>
          <w:tcPr>
            <w:tcW w:w="0" w:type="auto"/>
            <w:shd w:val="clear" w:color="auto" w:fill="auto"/>
            <w:vAlign w:val="center"/>
          </w:tcPr>
          <w:p w14:paraId="7230706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Critical appraisal of individual sources of evidence§</w:t>
            </w:r>
          </w:p>
        </w:tc>
        <w:tc>
          <w:tcPr>
            <w:tcW w:w="0" w:type="auto"/>
            <w:shd w:val="clear" w:color="auto" w:fill="auto"/>
            <w:vAlign w:val="center"/>
          </w:tcPr>
          <w:p w14:paraId="4755178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12</w:t>
            </w:r>
          </w:p>
        </w:tc>
        <w:tc>
          <w:tcPr>
            <w:tcW w:w="0" w:type="auto"/>
            <w:shd w:val="clear" w:color="auto" w:fill="auto"/>
            <w:vAlign w:val="center"/>
          </w:tcPr>
          <w:p w14:paraId="2674767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812C4F7F68D84656A8E208E61361C22D"/>
            </w:placeholder>
          </w:sdtPr>
          <w:sdtContent>
            <w:tc>
              <w:tcPr>
                <w:tcW w:w="0" w:type="auto"/>
                <w:shd w:val="clear" w:color="auto" w:fill="auto"/>
                <w:vAlign w:val="center"/>
              </w:tcPr>
              <w:p w14:paraId="5CF1F764" w14:textId="4A9178FA" w:rsidR="002B29BF" w:rsidRPr="00D24F48" w:rsidRDefault="00BE446F" w:rsidP="002118C7">
                <w:pPr>
                  <w:rPr>
                    <w:rFonts w:ascii="Times New Roman" w:hAnsi="Times New Roman" w:cs="Times New Roman"/>
                    <w:sz w:val="20"/>
                    <w:szCs w:val="20"/>
                  </w:rPr>
                </w:pPr>
                <w:r w:rsidRPr="00D24F48">
                  <w:rPr>
                    <w:rFonts w:ascii="Times New Roman" w:hAnsi="Times New Roman" w:cs="Times New Roman"/>
                    <w:sz w:val="20"/>
                    <w:szCs w:val="20"/>
                  </w:rPr>
                  <w:t>NA</w:t>
                </w:r>
              </w:p>
            </w:tc>
          </w:sdtContent>
        </w:sdt>
      </w:tr>
      <w:tr w:rsidR="002B29BF" w:rsidRPr="00D24F48" w14:paraId="4EADF411" w14:textId="77777777" w:rsidTr="00D94F17">
        <w:tc>
          <w:tcPr>
            <w:tcW w:w="0" w:type="auto"/>
            <w:shd w:val="clear" w:color="auto" w:fill="auto"/>
            <w:vAlign w:val="center"/>
          </w:tcPr>
          <w:p w14:paraId="7F5D8CDB"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Synthesis of results</w:t>
            </w:r>
          </w:p>
        </w:tc>
        <w:tc>
          <w:tcPr>
            <w:tcW w:w="0" w:type="auto"/>
            <w:shd w:val="clear" w:color="auto" w:fill="auto"/>
            <w:vAlign w:val="center"/>
          </w:tcPr>
          <w:p w14:paraId="42F19CA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13</w:t>
            </w:r>
          </w:p>
        </w:tc>
        <w:tc>
          <w:tcPr>
            <w:tcW w:w="0" w:type="auto"/>
            <w:shd w:val="clear" w:color="auto" w:fill="auto"/>
            <w:vAlign w:val="center"/>
          </w:tcPr>
          <w:p w14:paraId="4A14811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812C4F7F68D84656A8E208E61361C22D"/>
            </w:placeholder>
          </w:sdtPr>
          <w:sdtContent>
            <w:tc>
              <w:tcPr>
                <w:tcW w:w="0" w:type="auto"/>
                <w:shd w:val="clear" w:color="auto" w:fill="auto"/>
                <w:vAlign w:val="center"/>
              </w:tcPr>
              <w:p w14:paraId="0FA882C8"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4</w:t>
                </w:r>
                <w:r w:rsidRPr="00D24F48">
                  <w:rPr>
                    <w:rFonts w:ascii="Times New Roman" w:hAnsi="Times New Roman" w:cs="Times New Roman"/>
                    <w:sz w:val="20"/>
                    <w:szCs w:val="20"/>
                    <w:lang w:val="en-AU"/>
                  </w:rPr>
                  <w:t>-6</w:t>
                </w:r>
              </w:p>
            </w:tc>
          </w:sdtContent>
        </w:sdt>
      </w:tr>
      <w:tr w:rsidR="002B29BF" w:rsidRPr="00D24F48" w14:paraId="7BCC473B" w14:textId="77777777" w:rsidTr="00D94F17">
        <w:tc>
          <w:tcPr>
            <w:tcW w:w="0" w:type="auto"/>
            <w:gridSpan w:val="4"/>
            <w:shd w:val="clear" w:color="auto" w:fill="auto"/>
            <w:vAlign w:val="center"/>
          </w:tcPr>
          <w:p w14:paraId="02791FF9"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RESULTS</w:t>
            </w:r>
          </w:p>
        </w:tc>
      </w:tr>
      <w:tr w:rsidR="002B29BF" w:rsidRPr="00D24F48" w14:paraId="7C6CAE57" w14:textId="77777777" w:rsidTr="00D94F17">
        <w:tc>
          <w:tcPr>
            <w:tcW w:w="0" w:type="auto"/>
            <w:shd w:val="clear" w:color="auto" w:fill="auto"/>
            <w:vAlign w:val="center"/>
          </w:tcPr>
          <w:p w14:paraId="66D58FFB"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Selection of sources of evidence</w:t>
            </w:r>
          </w:p>
        </w:tc>
        <w:tc>
          <w:tcPr>
            <w:tcW w:w="0" w:type="auto"/>
            <w:shd w:val="clear" w:color="auto" w:fill="auto"/>
            <w:vAlign w:val="center"/>
          </w:tcPr>
          <w:p w14:paraId="2A01702B"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14</w:t>
            </w:r>
          </w:p>
        </w:tc>
        <w:tc>
          <w:tcPr>
            <w:tcW w:w="0" w:type="auto"/>
            <w:shd w:val="clear" w:color="auto" w:fill="auto"/>
            <w:vAlign w:val="center"/>
          </w:tcPr>
          <w:p w14:paraId="1438EF40"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sdt>
          <w:sdtPr>
            <w:rPr>
              <w:rFonts w:ascii="Times New Roman" w:hAnsi="Times New Roman" w:cs="Times New Roman"/>
              <w:sz w:val="20"/>
              <w:szCs w:val="20"/>
            </w:rPr>
            <w:id w:val="-83771692"/>
            <w:placeholder>
              <w:docPart w:val="812C4F7F68D84656A8E208E61361C22D"/>
            </w:placeholder>
          </w:sdtPr>
          <w:sdtContent>
            <w:tc>
              <w:tcPr>
                <w:tcW w:w="0" w:type="auto"/>
                <w:shd w:val="clear" w:color="auto" w:fill="auto"/>
                <w:vAlign w:val="center"/>
              </w:tcPr>
              <w:p w14:paraId="673F249E"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7</w:t>
                </w:r>
              </w:p>
            </w:tc>
          </w:sdtContent>
        </w:sdt>
      </w:tr>
      <w:tr w:rsidR="002B29BF" w:rsidRPr="00D24F48" w14:paraId="5FCDD7B6" w14:textId="77777777" w:rsidTr="00D94F17">
        <w:tc>
          <w:tcPr>
            <w:tcW w:w="0" w:type="auto"/>
            <w:shd w:val="clear" w:color="auto" w:fill="auto"/>
            <w:vAlign w:val="center"/>
          </w:tcPr>
          <w:p w14:paraId="706943D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lastRenderedPageBreak/>
              <w:t>Characteristics of sources of evidence</w:t>
            </w:r>
          </w:p>
        </w:tc>
        <w:tc>
          <w:tcPr>
            <w:tcW w:w="0" w:type="auto"/>
            <w:shd w:val="clear" w:color="auto" w:fill="auto"/>
            <w:vAlign w:val="center"/>
          </w:tcPr>
          <w:p w14:paraId="115CF2F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15</w:t>
            </w:r>
          </w:p>
        </w:tc>
        <w:tc>
          <w:tcPr>
            <w:tcW w:w="0" w:type="auto"/>
            <w:shd w:val="clear" w:color="auto" w:fill="auto"/>
            <w:vAlign w:val="center"/>
          </w:tcPr>
          <w:p w14:paraId="35E1AF72"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812C4F7F68D84656A8E208E61361C22D"/>
            </w:placeholder>
          </w:sdtPr>
          <w:sdtContent>
            <w:tc>
              <w:tcPr>
                <w:tcW w:w="0" w:type="auto"/>
                <w:shd w:val="clear" w:color="auto" w:fill="auto"/>
                <w:vAlign w:val="center"/>
              </w:tcPr>
              <w:p w14:paraId="2E14675B"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8</w:t>
                </w:r>
              </w:p>
            </w:tc>
          </w:sdtContent>
        </w:sdt>
      </w:tr>
      <w:tr w:rsidR="002B29BF" w:rsidRPr="00D24F48" w14:paraId="219A8309" w14:textId="77777777" w:rsidTr="00D94F17">
        <w:tc>
          <w:tcPr>
            <w:tcW w:w="0" w:type="auto"/>
            <w:shd w:val="clear" w:color="auto" w:fill="auto"/>
            <w:vAlign w:val="center"/>
          </w:tcPr>
          <w:p w14:paraId="76D95028"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Critical appraisal within sources of evidence</w:t>
            </w:r>
          </w:p>
        </w:tc>
        <w:tc>
          <w:tcPr>
            <w:tcW w:w="0" w:type="auto"/>
            <w:shd w:val="clear" w:color="auto" w:fill="auto"/>
            <w:vAlign w:val="center"/>
          </w:tcPr>
          <w:p w14:paraId="09E51615"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16</w:t>
            </w:r>
          </w:p>
        </w:tc>
        <w:tc>
          <w:tcPr>
            <w:tcW w:w="0" w:type="auto"/>
            <w:shd w:val="clear" w:color="auto" w:fill="auto"/>
            <w:vAlign w:val="center"/>
          </w:tcPr>
          <w:p w14:paraId="348CC75F"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If done, present data on critical appraisal of included sources of evidence (see item 12).</w:t>
            </w:r>
          </w:p>
        </w:tc>
        <w:tc>
          <w:tcPr>
            <w:tcW w:w="0" w:type="auto"/>
            <w:shd w:val="clear" w:color="auto" w:fill="auto"/>
            <w:vAlign w:val="center"/>
          </w:tcPr>
          <w:p w14:paraId="17C953A4" w14:textId="49DAF386" w:rsidR="002B29BF" w:rsidRPr="00D24F48" w:rsidRDefault="00F95117" w:rsidP="002118C7">
            <w:pPr>
              <w:jc w:val="both"/>
              <w:rPr>
                <w:rFonts w:ascii="Times New Roman" w:hAnsi="Times New Roman" w:cs="Times New Roman"/>
                <w:sz w:val="20"/>
                <w:szCs w:val="20"/>
              </w:rPr>
            </w:pPr>
            <w:r w:rsidRPr="00D24F48">
              <w:rPr>
                <w:rFonts w:ascii="Times New Roman" w:hAnsi="Times New Roman" w:cs="Times New Roman"/>
                <w:sz w:val="20"/>
                <w:szCs w:val="20"/>
              </w:rPr>
              <w:t>NA</w:t>
            </w:r>
          </w:p>
        </w:tc>
      </w:tr>
      <w:tr w:rsidR="002B29BF" w:rsidRPr="00D24F48" w14:paraId="6D834DC4" w14:textId="77777777" w:rsidTr="00D94F17">
        <w:tc>
          <w:tcPr>
            <w:tcW w:w="0" w:type="auto"/>
            <w:shd w:val="clear" w:color="auto" w:fill="auto"/>
            <w:vAlign w:val="center"/>
          </w:tcPr>
          <w:p w14:paraId="3FA1BC8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Results of individual sources of evidence</w:t>
            </w:r>
          </w:p>
        </w:tc>
        <w:tc>
          <w:tcPr>
            <w:tcW w:w="0" w:type="auto"/>
            <w:shd w:val="clear" w:color="auto" w:fill="auto"/>
            <w:vAlign w:val="center"/>
          </w:tcPr>
          <w:p w14:paraId="3ACB1D41"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17</w:t>
            </w:r>
          </w:p>
        </w:tc>
        <w:tc>
          <w:tcPr>
            <w:tcW w:w="0" w:type="auto"/>
            <w:shd w:val="clear" w:color="auto" w:fill="auto"/>
            <w:vAlign w:val="center"/>
          </w:tcPr>
          <w:p w14:paraId="1D2E0AA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For each included source of evidence, present the relevant data that were charted that relate to the review questions and objectives.</w:t>
            </w:r>
          </w:p>
        </w:tc>
        <w:sdt>
          <w:sdtPr>
            <w:rPr>
              <w:rFonts w:ascii="Times New Roman" w:hAnsi="Times New Roman" w:cs="Times New Roman"/>
              <w:sz w:val="20"/>
              <w:szCs w:val="20"/>
            </w:rPr>
            <w:id w:val="-1628242984"/>
            <w:placeholder>
              <w:docPart w:val="812C4F7F68D84656A8E208E61361C22D"/>
            </w:placeholder>
          </w:sdtPr>
          <w:sdtContent>
            <w:tc>
              <w:tcPr>
                <w:tcW w:w="0" w:type="auto"/>
                <w:shd w:val="clear" w:color="auto" w:fill="auto"/>
                <w:vAlign w:val="center"/>
              </w:tcPr>
              <w:p w14:paraId="0A5B597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8-1</w:t>
                </w:r>
                <w:r w:rsidRPr="00D24F48">
                  <w:rPr>
                    <w:rFonts w:ascii="Times New Roman" w:hAnsi="Times New Roman" w:cs="Times New Roman"/>
                    <w:sz w:val="20"/>
                    <w:szCs w:val="20"/>
                    <w:lang w:val="en-AU"/>
                  </w:rPr>
                  <w:t>9</w:t>
                </w:r>
              </w:p>
            </w:tc>
          </w:sdtContent>
        </w:sdt>
      </w:tr>
      <w:tr w:rsidR="002B29BF" w:rsidRPr="00D24F48" w14:paraId="79376293" w14:textId="77777777" w:rsidTr="00D94F17">
        <w:tc>
          <w:tcPr>
            <w:tcW w:w="0" w:type="auto"/>
            <w:shd w:val="clear" w:color="auto" w:fill="auto"/>
            <w:vAlign w:val="center"/>
          </w:tcPr>
          <w:p w14:paraId="614B52DC"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Synthesis of results</w:t>
            </w:r>
          </w:p>
        </w:tc>
        <w:tc>
          <w:tcPr>
            <w:tcW w:w="0" w:type="auto"/>
            <w:shd w:val="clear" w:color="auto" w:fill="auto"/>
            <w:vAlign w:val="center"/>
          </w:tcPr>
          <w:p w14:paraId="21B6A91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18</w:t>
            </w:r>
          </w:p>
        </w:tc>
        <w:tc>
          <w:tcPr>
            <w:tcW w:w="0" w:type="auto"/>
            <w:shd w:val="clear" w:color="auto" w:fill="auto"/>
            <w:vAlign w:val="center"/>
          </w:tcPr>
          <w:p w14:paraId="7782027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812C4F7F68D84656A8E208E61361C22D"/>
            </w:placeholder>
          </w:sdtPr>
          <w:sdtContent>
            <w:tc>
              <w:tcPr>
                <w:tcW w:w="0" w:type="auto"/>
                <w:shd w:val="clear" w:color="auto" w:fill="auto"/>
                <w:vAlign w:val="center"/>
              </w:tcPr>
              <w:p w14:paraId="51A67084"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8-1</w:t>
                </w:r>
                <w:r w:rsidRPr="00D24F48">
                  <w:rPr>
                    <w:rFonts w:ascii="Times New Roman" w:hAnsi="Times New Roman" w:cs="Times New Roman"/>
                    <w:sz w:val="20"/>
                    <w:szCs w:val="20"/>
                    <w:lang w:val="en-AU"/>
                  </w:rPr>
                  <w:t>9</w:t>
                </w:r>
              </w:p>
            </w:tc>
          </w:sdtContent>
        </w:sdt>
      </w:tr>
      <w:tr w:rsidR="002B29BF" w:rsidRPr="00D24F48" w14:paraId="54B84BEB" w14:textId="77777777" w:rsidTr="00D94F17">
        <w:tc>
          <w:tcPr>
            <w:tcW w:w="0" w:type="auto"/>
            <w:gridSpan w:val="4"/>
            <w:shd w:val="clear" w:color="auto" w:fill="auto"/>
            <w:vAlign w:val="center"/>
          </w:tcPr>
          <w:p w14:paraId="5CCD8D7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DISCUSSION</w:t>
            </w:r>
          </w:p>
        </w:tc>
      </w:tr>
      <w:tr w:rsidR="002B29BF" w:rsidRPr="00D24F48" w14:paraId="04BB5CA6" w14:textId="77777777" w:rsidTr="00D94F17">
        <w:tc>
          <w:tcPr>
            <w:tcW w:w="0" w:type="auto"/>
            <w:shd w:val="clear" w:color="auto" w:fill="auto"/>
            <w:vAlign w:val="center"/>
          </w:tcPr>
          <w:p w14:paraId="3D4559B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Summary of evidence</w:t>
            </w:r>
          </w:p>
        </w:tc>
        <w:tc>
          <w:tcPr>
            <w:tcW w:w="0" w:type="auto"/>
            <w:shd w:val="clear" w:color="auto" w:fill="auto"/>
            <w:vAlign w:val="center"/>
          </w:tcPr>
          <w:p w14:paraId="289008DE"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19</w:t>
            </w:r>
          </w:p>
        </w:tc>
        <w:tc>
          <w:tcPr>
            <w:tcW w:w="0" w:type="auto"/>
            <w:shd w:val="clear" w:color="auto" w:fill="auto"/>
            <w:vAlign w:val="center"/>
          </w:tcPr>
          <w:p w14:paraId="38B0ED6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812C4F7F68D84656A8E208E61361C22D"/>
            </w:placeholder>
          </w:sdtPr>
          <w:sdtContent>
            <w:tc>
              <w:tcPr>
                <w:tcW w:w="0" w:type="auto"/>
                <w:shd w:val="clear" w:color="auto" w:fill="auto"/>
                <w:vAlign w:val="center"/>
              </w:tcPr>
              <w:p w14:paraId="768FC667"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1</w:t>
                </w:r>
                <w:r w:rsidRPr="00D24F48">
                  <w:rPr>
                    <w:rFonts w:ascii="Times New Roman" w:hAnsi="Times New Roman" w:cs="Times New Roman"/>
                    <w:sz w:val="20"/>
                    <w:szCs w:val="20"/>
                    <w:lang w:val="en-AU"/>
                  </w:rPr>
                  <w:t>9</w:t>
                </w:r>
              </w:p>
            </w:tc>
          </w:sdtContent>
        </w:sdt>
      </w:tr>
      <w:tr w:rsidR="002B29BF" w:rsidRPr="00D24F48" w14:paraId="38B4AE29" w14:textId="77777777" w:rsidTr="00D94F17">
        <w:tc>
          <w:tcPr>
            <w:tcW w:w="0" w:type="auto"/>
            <w:shd w:val="clear" w:color="auto" w:fill="auto"/>
            <w:vAlign w:val="center"/>
          </w:tcPr>
          <w:p w14:paraId="22DE1044"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Limitations</w:t>
            </w:r>
          </w:p>
        </w:tc>
        <w:tc>
          <w:tcPr>
            <w:tcW w:w="0" w:type="auto"/>
            <w:shd w:val="clear" w:color="auto" w:fill="auto"/>
            <w:vAlign w:val="center"/>
          </w:tcPr>
          <w:p w14:paraId="3C22D0E1"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20</w:t>
            </w:r>
          </w:p>
        </w:tc>
        <w:tc>
          <w:tcPr>
            <w:tcW w:w="0" w:type="auto"/>
            <w:shd w:val="clear" w:color="auto" w:fill="auto"/>
            <w:vAlign w:val="center"/>
          </w:tcPr>
          <w:p w14:paraId="1EB408D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Discuss the limitations of the scoping review process.</w:t>
            </w:r>
          </w:p>
        </w:tc>
        <w:tc>
          <w:tcPr>
            <w:tcW w:w="0" w:type="auto"/>
            <w:shd w:val="clear" w:color="auto" w:fill="auto"/>
            <w:vAlign w:val="center"/>
          </w:tcPr>
          <w:p w14:paraId="7BC4671D" w14:textId="77777777" w:rsidR="002B29BF" w:rsidRPr="00D24F48" w:rsidRDefault="002B29BF" w:rsidP="002118C7">
            <w:pPr>
              <w:rPr>
                <w:rFonts w:ascii="Times New Roman" w:hAnsi="Times New Roman" w:cs="Times New Roman"/>
                <w:sz w:val="20"/>
                <w:szCs w:val="20"/>
                <w:lang w:val="en-AU"/>
              </w:rPr>
            </w:pPr>
            <w:r w:rsidRPr="00D24F48">
              <w:rPr>
                <w:rFonts w:ascii="Times New Roman" w:hAnsi="Times New Roman" w:cs="Times New Roman"/>
                <w:sz w:val="20"/>
                <w:szCs w:val="20"/>
                <w:lang w:val="en-AU"/>
              </w:rPr>
              <w:t>23</w:t>
            </w:r>
          </w:p>
        </w:tc>
      </w:tr>
      <w:tr w:rsidR="002B29BF" w:rsidRPr="00D24F48" w14:paraId="3782692A" w14:textId="77777777" w:rsidTr="00D94F17">
        <w:tc>
          <w:tcPr>
            <w:tcW w:w="0" w:type="auto"/>
            <w:shd w:val="clear" w:color="auto" w:fill="auto"/>
            <w:vAlign w:val="center"/>
          </w:tcPr>
          <w:p w14:paraId="068A20A8"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Conclusions</w:t>
            </w:r>
          </w:p>
        </w:tc>
        <w:tc>
          <w:tcPr>
            <w:tcW w:w="0" w:type="auto"/>
            <w:shd w:val="clear" w:color="auto" w:fill="auto"/>
            <w:vAlign w:val="center"/>
          </w:tcPr>
          <w:p w14:paraId="7C1384A0"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21</w:t>
            </w:r>
          </w:p>
        </w:tc>
        <w:tc>
          <w:tcPr>
            <w:tcW w:w="0" w:type="auto"/>
            <w:shd w:val="clear" w:color="auto" w:fill="auto"/>
            <w:vAlign w:val="center"/>
          </w:tcPr>
          <w:p w14:paraId="13D3E5CA"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812C4F7F68D84656A8E208E61361C22D"/>
            </w:placeholder>
          </w:sdtPr>
          <w:sdtContent>
            <w:tc>
              <w:tcPr>
                <w:tcW w:w="0" w:type="auto"/>
                <w:shd w:val="clear" w:color="auto" w:fill="auto"/>
                <w:vAlign w:val="center"/>
              </w:tcPr>
              <w:p w14:paraId="43232D01"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23-24</w:t>
                </w:r>
              </w:p>
            </w:tc>
          </w:sdtContent>
        </w:sdt>
      </w:tr>
      <w:tr w:rsidR="002B29BF" w:rsidRPr="00D24F48" w14:paraId="796A1569" w14:textId="77777777" w:rsidTr="00D94F17">
        <w:tc>
          <w:tcPr>
            <w:tcW w:w="0" w:type="auto"/>
            <w:gridSpan w:val="4"/>
            <w:shd w:val="clear" w:color="auto" w:fill="auto"/>
            <w:vAlign w:val="center"/>
          </w:tcPr>
          <w:p w14:paraId="21093605"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FUNDING</w:t>
            </w:r>
          </w:p>
        </w:tc>
      </w:tr>
      <w:tr w:rsidR="002B29BF" w:rsidRPr="00D24F48" w14:paraId="74C62562" w14:textId="77777777" w:rsidTr="00D94F17">
        <w:tc>
          <w:tcPr>
            <w:tcW w:w="0" w:type="auto"/>
            <w:shd w:val="clear" w:color="auto" w:fill="auto"/>
            <w:vAlign w:val="center"/>
          </w:tcPr>
          <w:p w14:paraId="75C454C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Funding</w:t>
            </w:r>
          </w:p>
        </w:tc>
        <w:tc>
          <w:tcPr>
            <w:tcW w:w="0" w:type="auto"/>
            <w:shd w:val="clear" w:color="auto" w:fill="auto"/>
            <w:vAlign w:val="center"/>
          </w:tcPr>
          <w:p w14:paraId="07F63FD3"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22</w:t>
            </w:r>
          </w:p>
        </w:tc>
        <w:tc>
          <w:tcPr>
            <w:tcW w:w="0" w:type="auto"/>
            <w:shd w:val="clear" w:color="auto" w:fill="auto"/>
            <w:vAlign w:val="center"/>
          </w:tcPr>
          <w:p w14:paraId="0CFB452B"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812C4F7F68D84656A8E208E61361C22D"/>
            </w:placeholder>
          </w:sdtPr>
          <w:sdtContent>
            <w:tc>
              <w:tcPr>
                <w:tcW w:w="0" w:type="auto"/>
                <w:shd w:val="clear" w:color="auto" w:fill="auto"/>
                <w:vAlign w:val="center"/>
              </w:tcPr>
              <w:p w14:paraId="1E9928FD" w14:textId="77777777" w:rsidR="002B29BF" w:rsidRPr="00D24F48" w:rsidRDefault="002B29BF" w:rsidP="002118C7">
                <w:pPr>
                  <w:rPr>
                    <w:rFonts w:ascii="Times New Roman" w:hAnsi="Times New Roman" w:cs="Times New Roman"/>
                    <w:sz w:val="20"/>
                    <w:szCs w:val="20"/>
                  </w:rPr>
                </w:pPr>
                <w:r w:rsidRPr="00D24F48">
                  <w:rPr>
                    <w:rFonts w:ascii="Times New Roman" w:hAnsi="Times New Roman" w:cs="Times New Roman"/>
                    <w:sz w:val="20"/>
                    <w:szCs w:val="20"/>
                    <w:lang w:val="en-AU"/>
                  </w:rPr>
                  <w:t>24</w:t>
                </w:r>
              </w:p>
            </w:tc>
          </w:sdtContent>
        </w:sdt>
      </w:tr>
    </w:tbl>
    <w:p w14:paraId="709518A2" w14:textId="6FBD3A50" w:rsidR="002B29BF" w:rsidRPr="00D24F48" w:rsidRDefault="00191F28" w:rsidP="002118C7">
      <w:pPr>
        <w:spacing w:after="0" w:line="240" w:lineRule="auto"/>
        <w:rPr>
          <w:rFonts w:ascii="Times New Roman" w:hAnsi="Times New Roman" w:cs="Times New Roman"/>
          <w:sz w:val="20"/>
          <w:szCs w:val="20"/>
        </w:rPr>
      </w:pPr>
      <w:r w:rsidRPr="00D24F48">
        <w:rPr>
          <w:rFonts w:ascii="Times New Roman" w:hAnsi="Times New Roman" w:cs="Times New Roman"/>
          <w:sz w:val="20"/>
          <w:szCs w:val="20"/>
        </w:rPr>
        <w:t xml:space="preserve">NA: not applicable </w:t>
      </w:r>
    </w:p>
    <w:p w14:paraId="37457DB5" w14:textId="77777777" w:rsidR="00127C3A" w:rsidRPr="00D24F48" w:rsidRDefault="00127C3A" w:rsidP="002118C7">
      <w:pPr>
        <w:spacing w:line="240" w:lineRule="auto"/>
        <w:rPr>
          <w:rFonts w:ascii="Times New Roman" w:hAnsi="Times New Roman" w:cs="Times New Roman"/>
          <w:b/>
          <w:sz w:val="20"/>
          <w:szCs w:val="20"/>
          <w:lang w:val="en-US"/>
        </w:rPr>
      </w:pPr>
    </w:p>
    <w:p w14:paraId="3D68F1F1" w14:textId="13C2E5E8" w:rsidR="00F87405" w:rsidRPr="00D24F48" w:rsidRDefault="00F87405" w:rsidP="002118C7">
      <w:pPr>
        <w:pStyle w:val="Heading2"/>
        <w:spacing w:line="240" w:lineRule="auto"/>
        <w:rPr>
          <w:rFonts w:ascii="Times New Roman" w:hAnsi="Times New Roman" w:cs="Times New Roman"/>
          <w:sz w:val="20"/>
          <w:szCs w:val="20"/>
        </w:rPr>
      </w:pPr>
      <w:r w:rsidRPr="00D24F48">
        <w:rPr>
          <w:rFonts w:ascii="Times New Roman" w:hAnsi="Times New Roman" w:cs="Times New Roman"/>
          <w:sz w:val="20"/>
          <w:szCs w:val="20"/>
        </w:rPr>
        <w:t xml:space="preserve">Table S2. Key </w:t>
      </w:r>
      <w:r w:rsidRPr="00D24F48">
        <w:rPr>
          <w:rFonts w:ascii="Times New Roman" w:hAnsi="Times New Roman" w:cs="Times New Roman"/>
          <w:sz w:val="20"/>
          <w:szCs w:val="20"/>
          <w:lang w:val="en-AU"/>
        </w:rPr>
        <w:t xml:space="preserve">search terms </w:t>
      </w:r>
      <w:r w:rsidRPr="00D24F48">
        <w:rPr>
          <w:rFonts w:ascii="Times New Roman" w:hAnsi="Times New Roman" w:cs="Times New Roman"/>
          <w:sz w:val="20"/>
          <w:szCs w:val="20"/>
        </w:rPr>
        <w:t>employed in the search strategy</w:t>
      </w:r>
    </w:p>
    <w:tbl>
      <w:tblPr>
        <w:tblStyle w:val="TableGrid"/>
        <w:tblW w:w="5000" w:type="pct"/>
        <w:tblLook w:val="04A0" w:firstRow="1" w:lastRow="0" w:firstColumn="1" w:lastColumn="0" w:noHBand="0" w:noVBand="1"/>
      </w:tblPr>
      <w:tblGrid>
        <w:gridCol w:w="3297"/>
        <w:gridCol w:w="10709"/>
      </w:tblGrid>
      <w:tr w:rsidR="00F87405" w:rsidRPr="00D24F48" w14:paraId="00FFCECB" w14:textId="77777777" w:rsidTr="005E0783">
        <w:trPr>
          <w:trHeight w:val="841"/>
        </w:trPr>
        <w:tc>
          <w:tcPr>
            <w:tcW w:w="1177" w:type="pct"/>
            <w:tcBorders>
              <w:top w:val="single" w:sz="4" w:space="0" w:color="auto"/>
              <w:left w:val="single" w:sz="4" w:space="0" w:color="auto"/>
              <w:bottom w:val="single" w:sz="4" w:space="0" w:color="auto"/>
              <w:right w:val="single" w:sz="4" w:space="0" w:color="auto"/>
            </w:tcBorders>
            <w:hideMark/>
          </w:tcPr>
          <w:p w14:paraId="7E16745A" w14:textId="77777777" w:rsidR="00F87405" w:rsidRPr="00D24F48" w:rsidRDefault="00F87405" w:rsidP="002118C7">
            <w:pPr>
              <w:rPr>
                <w:rFonts w:ascii="Times New Roman" w:hAnsi="Times New Roman" w:cs="Times New Roman"/>
                <w:b/>
                <w:bCs/>
                <w:sz w:val="20"/>
                <w:szCs w:val="20"/>
                <w:lang w:val="en-AU" w:eastAsia="en-AU"/>
              </w:rPr>
            </w:pPr>
            <w:r w:rsidRPr="00D24F48">
              <w:rPr>
                <w:rFonts w:ascii="Times New Roman" w:hAnsi="Times New Roman" w:cs="Times New Roman"/>
                <w:b/>
                <w:bCs/>
                <w:sz w:val="20"/>
                <w:szCs w:val="20"/>
                <w:lang w:val="en-AU" w:eastAsia="en-AU"/>
              </w:rPr>
              <w:t xml:space="preserve">Community health programs </w:t>
            </w:r>
          </w:p>
        </w:tc>
        <w:tc>
          <w:tcPr>
            <w:tcW w:w="3823" w:type="pct"/>
            <w:tcBorders>
              <w:top w:val="single" w:sz="4" w:space="0" w:color="auto"/>
              <w:left w:val="single" w:sz="4" w:space="0" w:color="auto"/>
              <w:bottom w:val="single" w:sz="4" w:space="0" w:color="auto"/>
              <w:right w:val="single" w:sz="4" w:space="0" w:color="auto"/>
            </w:tcBorders>
            <w:hideMark/>
          </w:tcPr>
          <w:p w14:paraId="3E7A9DAD" w14:textId="77777777" w:rsidR="00F87405" w:rsidRPr="00D24F48" w:rsidRDefault="00F87405" w:rsidP="002118C7">
            <w:pPr>
              <w:rPr>
                <w:rFonts w:ascii="Times New Roman" w:hAnsi="Times New Roman" w:cs="Times New Roman"/>
                <w:sz w:val="20"/>
                <w:szCs w:val="20"/>
              </w:rPr>
            </w:pPr>
            <w:r w:rsidRPr="00D24F48">
              <w:rPr>
                <w:rFonts w:ascii="Times New Roman" w:hAnsi="Times New Roman" w:cs="Times New Roman"/>
                <w:sz w:val="20"/>
                <w:szCs w:val="20"/>
              </w:rPr>
              <w:t xml:space="preserve">“Community health” OR “community health programs” OR “community-based programs” OR “community-based health interventions” OR “community-based health system” OR “community-based health strategies” OR “community-based health model” or “community-controlled health services” or “community health resources” or “community health” or “community-based child health program” or “community-based maternal health program” </w:t>
            </w:r>
          </w:p>
        </w:tc>
      </w:tr>
      <w:tr w:rsidR="00F87405" w:rsidRPr="00D24F48" w14:paraId="7BEA1337" w14:textId="77777777" w:rsidTr="005E0783">
        <w:trPr>
          <w:trHeight w:val="285"/>
        </w:trPr>
        <w:tc>
          <w:tcPr>
            <w:tcW w:w="1177" w:type="pct"/>
            <w:tcBorders>
              <w:top w:val="single" w:sz="4" w:space="0" w:color="auto"/>
              <w:left w:val="single" w:sz="4" w:space="0" w:color="auto"/>
              <w:bottom w:val="single" w:sz="4" w:space="0" w:color="auto"/>
              <w:right w:val="single" w:sz="4" w:space="0" w:color="auto"/>
            </w:tcBorders>
            <w:hideMark/>
          </w:tcPr>
          <w:p w14:paraId="70ACE629" w14:textId="77777777" w:rsidR="00F87405" w:rsidRPr="00D24F48" w:rsidRDefault="00F87405" w:rsidP="002118C7">
            <w:pPr>
              <w:rPr>
                <w:rFonts w:ascii="Times New Roman" w:hAnsi="Times New Roman" w:cs="Times New Roman"/>
                <w:b/>
                <w:bCs/>
                <w:sz w:val="20"/>
                <w:szCs w:val="20"/>
                <w:lang w:val="en-AU" w:eastAsia="en-AU"/>
              </w:rPr>
            </w:pPr>
            <w:r w:rsidRPr="00D24F48">
              <w:rPr>
                <w:rFonts w:ascii="Times New Roman" w:hAnsi="Times New Roman" w:cs="Times New Roman"/>
                <w:b/>
                <w:bCs/>
                <w:sz w:val="20"/>
                <w:szCs w:val="20"/>
              </w:rPr>
              <w:t>P</w:t>
            </w:r>
            <w:proofErr w:type="spellStart"/>
            <w:r w:rsidRPr="00D24F48">
              <w:rPr>
                <w:rFonts w:ascii="Times New Roman" w:hAnsi="Times New Roman" w:cs="Times New Roman"/>
                <w:b/>
                <w:bCs/>
                <w:sz w:val="20"/>
                <w:szCs w:val="20"/>
                <w:lang w:val="en-AU"/>
              </w:rPr>
              <w:t>rimary</w:t>
            </w:r>
            <w:proofErr w:type="spellEnd"/>
            <w:r w:rsidRPr="00D24F48">
              <w:rPr>
                <w:rFonts w:ascii="Times New Roman" w:hAnsi="Times New Roman" w:cs="Times New Roman"/>
                <w:b/>
                <w:bCs/>
                <w:sz w:val="20"/>
                <w:szCs w:val="20"/>
                <w:lang w:val="en-AU"/>
              </w:rPr>
              <w:t xml:space="preserve"> Health Care </w:t>
            </w:r>
          </w:p>
        </w:tc>
        <w:tc>
          <w:tcPr>
            <w:tcW w:w="3823" w:type="pct"/>
            <w:tcBorders>
              <w:top w:val="single" w:sz="4" w:space="0" w:color="auto"/>
              <w:left w:val="single" w:sz="4" w:space="0" w:color="auto"/>
              <w:bottom w:val="single" w:sz="4" w:space="0" w:color="auto"/>
              <w:right w:val="single" w:sz="4" w:space="0" w:color="auto"/>
            </w:tcBorders>
            <w:hideMark/>
          </w:tcPr>
          <w:p w14:paraId="34069760" w14:textId="73E238EA" w:rsidR="00F87405" w:rsidRPr="00D24F48" w:rsidRDefault="00F87405" w:rsidP="002118C7">
            <w:pPr>
              <w:rPr>
                <w:rFonts w:ascii="Times New Roman" w:hAnsi="Times New Roman" w:cs="Times New Roman"/>
                <w:sz w:val="20"/>
                <w:szCs w:val="20"/>
              </w:rPr>
            </w:pPr>
            <w:r w:rsidRPr="00D24F48">
              <w:rPr>
                <w:rFonts w:ascii="Times New Roman" w:hAnsi="Times New Roman" w:cs="Times New Roman"/>
                <w:sz w:val="20"/>
                <w:szCs w:val="20"/>
              </w:rPr>
              <w:t>"</w:t>
            </w:r>
            <w:r w:rsidR="00F56723" w:rsidRPr="00D24F48">
              <w:rPr>
                <w:rFonts w:ascii="Times New Roman" w:hAnsi="Times New Roman" w:cs="Times New Roman"/>
                <w:sz w:val="20"/>
                <w:szCs w:val="20"/>
              </w:rPr>
              <w:t>Primary</w:t>
            </w:r>
            <w:r w:rsidRPr="00D24F48">
              <w:rPr>
                <w:rFonts w:ascii="Times New Roman" w:hAnsi="Times New Roman" w:cs="Times New Roman"/>
                <w:sz w:val="20"/>
                <w:szCs w:val="20"/>
              </w:rPr>
              <w:t xml:space="preserve"> health care"</w:t>
            </w:r>
            <w:r w:rsidRPr="00D24F48">
              <w:rPr>
                <w:rFonts w:ascii="Times New Roman" w:hAnsi="Times New Roman" w:cs="Times New Roman"/>
                <w:sz w:val="20"/>
                <w:szCs w:val="20"/>
                <w:lang w:val="en-AU"/>
              </w:rPr>
              <w:t xml:space="preserve"> OR </w:t>
            </w:r>
            <w:r w:rsidRPr="00D24F48">
              <w:rPr>
                <w:rFonts w:ascii="Times New Roman" w:hAnsi="Times New Roman" w:cs="Times New Roman"/>
                <w:sz w:val="20"/>
                <w:szCs w:val="20"/>
              </w:rPr>
              <w:t xml:space="preserve">"intersectoral coordination" OR "multisectoral action*" OR </w:t>
            </w:r>
            <w:proofErr w:type="spellStart"/>
            <w:r w:rsidRPr="00D24F48">
              <w:rPr>
                <w:rFonts w:ascii="Times New Roman" w:hAnsi="Times New Roman" w:cs="Times New Roman"/>
                <w:sz w:val="20"/>
                <w:szCs w:val="20"/>
              </w:rPr>
              <w:t>multisectoralism</w:t>
            </w:r>
            <w:proofErr w:type="spellEnd"/>
            <w:r w:rsidRPr="00D24F48">
              <w:rPr>
                <w:rFonts w:ascii="Times New Roman" w:hAnsi="Times New Roman" w:cs="Times New Roman"/>
                <w:sz w:val="20"/>
                <w:szCs w:val="20"/>
              </w:rPr>
              <w:t xml:space="preserve"> OR "appropriate care" OR "comprehensive health care" OR "Equity" OR "Integrated care" OR "continuity of care" OR resilience</w:t>
            </w:r>
            <w:r w:rsidRPr="00D24F48">
              <w:rPr>
                <w:rFonts w:ascii="Times New Roman" w:hAnsi="Times New Roman" w:cs="Times New Roman"/>
                <w:sz w:val="20"/>
                <w:szCs w:val="20"/>
                <w:lang w:val="en-AU"/>
              </w:rPr>
              <w:t xml:space="preserve"> OR “community engagement”</w:t>
            </w:r>
          </w:p>
        </w:tc>
      </w:tr>
      <w:tr w:rsidR="00F87405" w:rsidRPr="00D24F48" w14:paraId="7E3E9DBF" w14:textId="77777777" w:rsidTr="005E0783">
        <w:tc>
          <w:tcPr>
            <w:tcW w:w="1177" w:type="pct"/>
            <w:tcBorders>
              <w:top w:val="single" w:sz="4" w:space="0" w:color="auto"/>
              <w:left w:val="single" w:sz="4" w:space="0" w:color="auto"/>
              <w:bottom w:val="single" w:sz="4" w:space="0" w:color="auto"/>
              <w:right w:val="single" w:sz="4" w:space="0" w:color="auto"/>
            </w:tcBorders>
            <w:hideMark/>
          </w:tcPr>
          <w:p w14:paraId="5DF020E9" w14:textId="77777777" w:rsidR="00F87405" w:rsidRPr="00D24F48" w:rsidRDefault="00F87405" w:rsidP="002118C7">
            <w:pPr>
              <w:rPr>
                <w:rFonts w:ascii="Times New Roman" w:hAnsi="Times New Roman" w:cs="Times New Roman"/>
                <w:b/>
                <w:bCs/>
                <w:sz w:val="20"/>
                <w:szCs w:val="20"/>
                <w:lang w:eastAsia="en-AU"/>
              </w:rPr>
            </w:pPr>
            <w:r w:rsidRPr="00D24F48">
              <w:rPr>
                <w:rFonts w:ascii="Times New Roman" w:hAnsi="Times New Roman" w:cs="Times New Roman"/>
                <w:b/>
                <w:bCs/>
                <w:sz w:val="20"/>
                <w:szCs w:val="20"/>
              </w:rPr>
              <w:t>U</w:t>
            </w:r>
            <w:proofErr w:type="spellStart"/>
            <w:r w:rsidRPr="00D24F48">
              <w:rPr>
                <w:rFonts w:ascii="Times New Roman" w:hAnsi="Times New Roman" w:cs="Times New Roman"/>
                <w:b/>
                <w:bCs/>
                <w:sz w:val="20"/>
                <w:szCs w:val="20"/>
                <w:lang w:val="en-AU"/>
              </w:rPr>
              <w:t>niversal</w:t>
            </w:r>
            <w:proofErr w:type="spellEnd"/>
            <w:r w:rsidRPr="00D24F48">
              <w:rPr>
                <w:rFonts w:ascii="Times New Roman" w:hAnsi="Times New Roman" w:cs="Times New Roman"/>
                <w:b/>
                <w:bCs/>
                <w:sz w:val="20"/>
                <w:szCs w:val="20"/>
                <w:lang w:val="en-AU"/>
              </w:rPr>
              <w:t xml:space="preserve"> Health Coverage </w:t>
            </w:r>
          </w:p>
        </w:tc>
        <w:tc>
          <w:tcPr>
            <w:tcW w:w="3823" w:type="pct"/>
            <w:tcBorders>
              <w:top w:val="single" w:sz="4" w:space="0" w:color="auto"/>
              <w:left w:val="single" w:sz="4" w:space="0" w:color="auto"/>
              <w:bottom w:val="single" w:sz="4" w:space="0" w:color="auto"/>
              <w:right w:val="single" w:sz="4" w:space="0" w:color="auto"/>
            </w:tcBorders>
            <w:hideMark/>
          </w:tcPr>
          <w:p w14:paraId="602B7544" w14:textId="77777777" w:rsidR="00F87405" w:rsidRPr="00D24F48" w:rsidRDefault="00F87405" w:rsidP="002118C7">
            <w:pPr>
              <w:rPr>
                <w:rFonts w:ascii="Times New Roman" w:hAnsi="Times New Roman" w:cs="Times New Roman"/>
                <w:sz w:val="20"/>
                <w:szCs w:val="20"/>
              </w:rPr>
            </w:pPr>
            <w:r w:rsidRPr="00D24F48">
              <w:rPr>
                <w:rFonts w:ascii="Times New Roman" w:hAnsi="Times New Roman" w:cs="Times New Roman"/>
                <w:sz w:val="20"/>
                <w:szCs w:val="20"/>
              </w:rPr>
              <w:t>"Universal Health Care" OR "Health Services Accessibility" OR "Quality of Health Care"</w:t>
            </w:r>
            <w:r w:rsidRPr="00D24F48">
              <w:rPr>
                <w:rFonts w:ascii="Times New Roman" w:hAnsi="Times New Roman" w:cs="Times New Roman"/>
                <w:sz w:val="20"/>
                <w:szCs w:val="20"/>
                <w:lang w:val="en-AU"/>
              </w:rPr>
              <w:t xml:space="preserve"> OR “safe health care”</w:t>
            </w:r>
            <w:r w:rsidRPr="00D24F48">
              <w:rPr>
                <w:rFonts w:ascii="Times New Roman" w:hAnsi="Times New Roman" w:cs="Times New Roman"/>
                <w:sz w:val="20"/>
                <w:szCs w:val="20"/>
              </w:rPr>
              <w:t xml:space="preserve"> OR "health coverage" OR "</w:t>
            </w:r>
            <w:r w:rsidRPr="00D24F48">
              <w:rPr>
                <w:rFonts w:ascii="Times New Roman" w:hAnsi="Times New Roman" w:cs="Times New Roman"/>
                <w:sz w:val="20"/>
                <w:szCs w:val="20"/>
                <w:lang w:val="en-AU"/>
              </w:rPr>
              <w:t xml:space="preserve">health </w:t>
            </w:r>
            <w:r w:rsidRPr="00D24F48">
              <w:rPr>
                <w:rFonts w:ascii="Times New Roman" w:hAnsi="Times New Roman" w:cs="Times New Roman"/>
                <w:sz w:val="20"/>
                <w:szCs w:val="20"/>
              </w:rPr>
              <w:t>care coverage" OR "</w:t>
            </w:r>
            <w:r w:rsidRPr="00D24F48">
              <w:rPr>
                <w:rFonts w:ascii="Times New Roman" w:hAnsi="Times New Roman" w:cs="Times New Roman"/>
                <w:sz w:val="20"/>
                <w:szCs w:val="20"/>
                <w:lang w:val="en-AU"/>
              </w:rPr>
              <w:t xml:space="preserve">health </w:t>
            </w:r>
            <w:r w:rsidRPr="00D24F48">
              <w:rPr>
                <w:rFonts w:ascii="Times New Roman" w:hAnsi="Times New Roman" w:cs="Times New Roman"/>
                <w:sz w:val="20"/>
                <w:szCs w:val="20"/>
              </w:rPr>
              <w:t xml:space="preserve">service coverage" OR "universal coverage" OR "universal health coverage" OR "UHC" OR "essential </w:t>
            </w:r>
            <w:r w:rsidRPr="00D24F48">
              <w:rPr>
                <w:rFonts w:ascii="Times New Roman" w:hAnsi="Times New Roman" w:cs="Times New Roman"/>
                <w:sz w:val="20"/>
                <w:szCs w:val="20"/>
                <w:lang w:val="en-AU"/>
              </w:rPr>
              <w:t xml:space="preserve">health </w:t>
            </w:r>
            <w:r w:rsidRPr="00D24F48">
              <w:rPr>
                <w:rFonts w:ascii="Times New Roman" w:hAnsi="Times New Roman" w:cs="Times New Roman"/>
                <w:sz w:val="20"/>
                <w:szCs w:val="20"/>
              </w:rPr>
              <w:t>coverage" OR</w:t>
            </w:r>
            <w:r w:rsidRPr="00D24F48">
              <w:rPr>
                <w:rFonts w:ascii="Times New Roman" w:hAnsi="Times New Roman" w:cs="Times New Roman"/>
                <w:sz w:val="20"/>
                <w:szCs w:val="20"/>
                <w:lang w:val="en-AU"/>
              </w:rPr>
              <w:t xml:space="preserve"> </w:t>
            </w:r>
            <w:r w:rsidRPr="00D24F48">
              <w:rPr>
                <w:rFonts w:ascii="Times New Roman" w:hAnsi="Times New Roman" w:cs="Times New Roman"/>
                <w:sz w:val="20"/>
                <w:szCs w:val="20"/>
              </w:rPr>
              <w:t>"</w:t>
            </w:r>
            <w:r w:rsidRPr="00D24F48">
              <w:rPr>
                <w:rFonts w:ascii="Times New Roman" w:hAnsi="Times New Roman" w:cs="Times New Roman"/>
                <w:sz w:val="20"/>
                <w:szCs w:val="20"/>
                <w:lang w:val="en-AU"/>
              </w:rPr>
              <w:t xml:space="preserve">health insurance </w:t>
            </w:r>
            <w:r w:rsidRPr="00D24F48">
              <w:rPr>
                <w:rFonts w:ascii="Times New Roman" w:hAnsi="Times New Roman" w:cs="Times New Roman"/>
                <w:sz w:val="20"/>
                <w:szCs w:val="20"/>
              </w:rPr>
              <w:t>coverage" OR "Financial risk protection" OR "Financial hardship" OR "Financial protection" OR "Efficiency" OR "Equity" OR "Responsiveness" OR "effectiveness" OR "performance"</w:t>
            </w:r>
          </w:p>
        </w:tc>
      </w:tr>
    </w:tbl>
    <w:p w14:paraId="4336A5BE" w14:textId="77777777" w:rsidR="00F87405" w:rsidRPr="00D24F48" w:rsidRDefault="00F87405" w:rsidP="002118C7">
      <w:pPr>
        <w:spacing w:line="240" w:lineRule="auto"/>
        <w:rPr>
          <w:rFonts w:ascii="Times New Roman" w:hAnsi="Times New Roman" w:cs="Times New Roman"/>
          <w:sz w:val="20"/>
          <w:szCs w:val="20"/>
          <w:lang w:val="en-AU"/>
        </w:rPr>
      </w:pPr>
    </w:p>
    <w:p w14:paraId="22813F85" w14:textId="77777777" w:rsidR="00F87405" w:rsidRPr="00D24F48" w:rsidRDefault="00F87405" w:rsidP="002118C7">
      <w:pPr>
        <w:spacing w:line="240" w:lineRule="auto"/>
        <w:rPr>
          <w:rFonts w:ascii="Times New Roman" w:hAnsi="Times New Roman" w:cs="Times New Roman"/>
          <w:b/>
          <w:bCs/>
          <w:sz w:val="20"/>
          <w:szCs w:val="20"/>
          <w:lang w:val="en-AU" w:eastAsia="en-AU"/>
        </w:rPr>
      </w:pPr>
    </w:p>
    <w:p w14:paraId="2F16444B" w14:textId="0446B6C9" w:rsidR="007A6C1A" w:rsidRPr="00D24F48" w:rsidRDefault="007A6C1A" w:rsidP="002118C7">
      <w:pPr>
        <w:spacing w:line="240" w:lineRule="auto"/>
        <w:rPr>
          <w:rFonts w:ascii="Times New Roman" w:hAnsi="Times New Roman" w:cs="Times New Roman"/>
          <w:b/>
          <w:sz w:val="20"/>
          <w:szCs w:val="20"/>
          <w:lang w:val="en-US"/>
        </w:rPr>
      </w:pPr>
    </w:p>
    <w:p w14:paraId="2C3926C7" w14:textId="77BE1BE8" w:rsidR="007A6C1A" w:rsidRPr="00D24F48" w:rsidRDefault="007A6C1A" w:rsidP="002118C7">
      <w:pPr>
        <w:pStyle w:val="Heading2"/>
        <w:spacing w:line="240" w:lineRule="auto"/>
        <w:rPr>
          <w:rFonts w:ascii="Times New Roman" w:hAnsi="Times New Roman" w:cs="Times New Roman"/>
          <w:sz w:val="20"/>
          <w:szCs w:val="20"/>
        </w:rPr>
      </w:pPr>
      <w:r w:rsidRPr="00D24F48">
        <w:rPr>
          <w:rFonts w:ascii="Times New Roman" w:eastAsia="Times New Roman" w:hAnsi="Times New Roman" w:cs="Times New Roman"/>
          <w:sz w:val="20"/>
          <w:szCs w:val="20"/>
          <w:lang w:eastAsia="en-AU"/>
        </w:rPr>
        <w:lastRenderedPageBreak/>
        <w:t>Table S</w:t>
      </w:r>
      <w:bookmarkStart w:id="0" w:name="_Hlk108166068"/>
      <w:r w:rsidR="00F87405" w:rsidRPr="00D24F48">
        <w:rPr>
          <w:rFonts w:ascii="Times New Roman" w:eastAsia="Times New Roman" w:hAnsi="Times New Roman" w:cs="Times New Roman"/>
          <w:sz w:val="20"/>
          <w:szCs w:val="20"/>
          <w:lang w:eastAsia="en-AU"/>
        </w:rPr>
        <w:t>3</w:t>
      </w:r>
      <w:r w:rsidRPr="00D24F48">
        <w:rPr>
          <w:rFonts w:ascii="Times New Roman" w:hAnsi="Times New Roman" w:cs="Times New Roman"/>
          <w:sz w:val="20"/>
          <w:szCs w:val="20"/>
        </w:rPr>
        <w:t xml:space="preserve">: Data extract of CHPs in primary health care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1014"/>
        <w:gridCol w:w="1283"/>
        <w:gridCol w:w="1843"/>
        <w:gridCol w:w="1462"/>
        <w:gridCol w:w="1987"/>
        <w:gridCol w:w="5177"/>
      </w:tblGrid>
      <w:tr w:rsidR="002D39DC" w:rsidRPr="00D24F48" w14:paraId="48091995" w14:textId="77777777" w:rsidTr="002D39DC">
        <w:trPr>
          <w:trHeight w:val="540"/>
          <w:tblHeader/>
        </w:trPr>
        <w:tc>
          <w:tcPr>
            <w:tcW w:w="443" w:type="pct"/>
            <w:shd w:val="clear" w:color="auto" w:fill="auto"/>
            <w:vAlign w:val="center"/>
            <w:hideMark/>
          </w:tcPr>
          <w:bookmarkEnd w:id="0"/>
          <w:p w14:paraId="27917C15" w14:textId="77777777" w:rsidR="002D39DC" w:rsidRPr="00D24F48" w:rsidRDefault="002D39DC" w:rsidP="002118C7">
            <w:pPr>
              <w:spacing w:after="0" w:line="240" w:lineRule="auto"/>
              <w:rPr>
                <w:rFonts w:ascii="Times New Roman" w:eastAsia="Times New Roman" w:hAnsi="Times New Roman" w:cs="Times New Roman"/>
                <w:b/>
                <w:bCs/>
                <w:color w:val="000000"/>
                <w:sz w:val="20"/>
                <w:szCs w:val="20"/>
                <w:lang w:val="en-AU" w:eastAsia="en-AU"/>
              </w:rPr>
            </w:pPr>
            <w:r w:rsidRPr="00D24F48">
              <w:rPr>
                <w:rFonts w:ascii="Times New Roman" w:eastAsia="Times New Roman" w:hAnsi="Times New Roman" w:cs="Times New Roman"/>
                <w:b/>
                <w:bCs/>
                <w:color w:val="000000"/>
                <w:sz w:val="20"/>
                <w:szCs w:val="20"/>
                <w:lang w:val="en-AU" w:eastAsia="en-AU"/>
              </w:rPr>
              <w:t>Study</w:t>
            </w:r>
          </w:p>
        </w:tc>
        <w:tc>
          <w:tcPr>
            <w:tcW w:w="362" w:type="pct"/>
          </w:tcPr>
          <w:p w14:paraId="08475DC6" w14:textId="5A5D369A" w:rsidR="002D39DC" w:rsidRPr="00D24F48" w:rsidRDefault="002D39DC" w:rsidP="002118C7">
            <w:pPr>
              <w:spacing w:after="0" w:line="240" w:lineRule="auto"/>
              <w:rPr>
                <w:rFonts w:ascii="Times New Roman" w:eastAsia="Times New Roman" w:hAnsi="Times New Roman" w:cs="Times New Roman"/>
                <w:b/>
                <w:bCs/>
                <w:color w:val="000000"/>
                <w:sz w:val="20"/>
                <w:szCs w:val="20"/>
                <w:lang w:val="en-AU" w:eastAsia="en-AU"/>
              </w:rPr>
            </w:pPr>
            <w:r w:rsidRPr="00D24F48">
              <w:rPr>
                <w:rFonts w:ascii="Times New Roman" w:eastAsia="Times New Roman" w:hAnsi="Times New Roman" w:cs="Times New Roman"/>
                <w:b/>
                <w:bCs/>
                <w:color w:val="000000"/>
                <w:sz w:val="20"/>
                <w:szCs w:val="20"/>
                <w:lang w:val="en-AU" w:eastAsia="en-AU"/>
              </w:rPr>
              <w:t xml:space="preserve">Year </w:t>
            </w:r>
          </w:p>
        </w:tc>
        <w:tc>
          <w:tcPr>
            <w:tcW w:w="458" w:type="pct"/>
            <w:shd w:val="clear" w:color="auto" w:fill="auto"/>
            <w:vAlign w:val="center"/>
            <w:hideMark/>
          </w:tcPr>
          <w:p w14:paraId="1351F8AA" w14:textId="1A429B2A" w:rsidR="002D39DC" w:rsidRPr="00D24F48" w:rsidRDefault="002D39DC" w:rsidP="002118C7">
            <w:pPr>
              <w:spacing w:after="0" w:line="240" w:lineRule="auto"/>
              <w:rPr>
                <w:rFonts w:ascii="Times New Roman" w:eastAsia="Times New Roman" w:hAnsi="Times New Roman" w:cs="Times New Roman"/>
                <w:b/>
                <w:bCs/>
                <w:color w:val="000000"/>
                <w:sz w:val="20"/>
                <w:szCs w:val="20"/>
                <w:lang w:val="en-AU" w:eastAsia="en-AU"/>
              </w:rPr>
            </w:pPr>
            <w:r w:rsidRPr="00D24F48">
              <w:rPr>
                <w:rFonts w:ascii="Times New Roman" w:eastAsia="Times New Roman" w:hAnsi="Times New Roman" w:cs="Times New Roman"/>
                <w:b/>
                <w:bCs/>
                <w:color w:val="000000"/>
                <w:sz w:val="20"/>
                <w:szCs w:val="20"/>
                <w:lang w:val="en-AU" w:eastAsia="en-AU"/>
              </w:rPr>
              <w:t xml:space="preserve">Country </w:t>
            </w:r>
          </w:p>
        </w:tc>
        <w:tc>
          <w:tcPr>
            <w:tcW w:w="658" w:type="pct"/>
            <w:shd w:val="clear" w:color="auto" w:fill="auto"/>
            <w:vAlign w:val="center"/>
            <w:hideMark/>
          </w:tcPr>
          <w:p w14:paraId="4ABD4CBA" w14:textId="77777777" w:rsidR="002D39DC" w:rsidRPr="00D24F48" w:rsidRDefault="002D39DC" w:rsidP="002118C7">
            <w:pPr>
              <w:spacing w:after="0" w:line="240" w:lineRule="auto"/>
              <w:rPr>
                <w:rFonts w:ascii="Times New Roman" w:eastAsia="Times New Roman" w:hAnsi="Times New Roman" w:cs="Times New Roman"/>
                <w:b/>
                <w:bCs/>
                <w:color w:val="000000"/>
                <w:sz w:val="20"/>
                <w:szCs w:val="20"/>
                <w:lang w:val="en-AU" w:eastAsia="en-AU"/>
              </w:rPr>
            </w:pPr>
            <w:r w:rsidRPr="00D24F48">
              <w:rPr>
                <w:rFonts w:ascii="Times New Roman" w:eastAsia="Times New Roman" w:hAnsi="Times New Roman" w:cs="Times New Roman"/>
                <w:b/>
                <w:bCs/>
                <w:color w:val="000000"/>
                <w:sz w:val="20"/>
                <w:szCs w:val="20"/>
                <w:lang w:val="en-AU" w:eastAsia="en-AU"/>
              </w:rPr>
              <w:t xml:space="preserve">aim </w:t>
            </w:r>
          </w:p>
        </w:tc>
        <w:tc>
          <w:tcPr>
            <w:tcW w:w="522" w:type="pct"/>
            <w:shd w:val="clear" w:color="auto" w:fill="auto"/>
            <w:vAlign w:val="center"/>
            <w:hideMark/>
          </w:tcPr>
          <w:p w14:paraId="5B355389" w14:textId="445B7031" w:rsidR="002D39DC" w:rsidRPr="00D24F48" w:rsidRDefault="002D39DC" w:rsidP="002118C7">
            <w:pPr>
              <w:spacing w:after="0" w:line="240" w:lineRule="auto"/>
              <w:rPr>
                <w:rFonts w:ascii="Times New Roman" w:eastAsia="Times New Roman" w:hAnsi="Times New Roman" w:cs="Times New Roman"/>
                <w:b/>
                <w:bCs/>
                <w:color w:val="000000"/>
                <w:sz w:val="20"/>
                <w:szCs w:val="20"/>
                <w:lang w:val="en-AU" w:eastAsia="en-AU"/>
              </w:rPr>
            </w:pPr>
            <w:r w:rsidRPr="00D24F48">
              <w:rPr>
                <w:rFonts w:ascii="Times New Roman" w:eastAsia="Times New Roman" w:hAnsi="Times New Roman" w:cs="Times New Roman"/>
                <w:b/>
                <w:bCs/>
                <w:color w:val="000000"/>
                <w:sz w:val="20"/>
                <w:szCs w:val="20"/>
                <w:lang w:val="en-AU" w:eastAsia="en-AU"/>
              </w:rPr>
              <w:t xml:space="preserve">Type </w:t>
            </w:r>
          </w:p>
        </w:tc>
        <w:tc>
          <w:tcPr>
            <w:tcW w:w="709" w:type="pct"/>
            <w:shd w:val="clear" w:color="auto" w:fill="auto"/>
            <w:vAlign w:val="center"/>
            <w:hideMark/>
          </w:tcPr>
          <w:p w14:paraId="27D2920D" w14:textId="33D72FF1" w:rsidR="002D39DC" w:rsidRPr="00D24F48" w:rsidRDefault="002D39DC" w:rsidP="002118C7">
            <w:pPr>
              <w:spacing w:after="0" w:line="240" w:lineRule="auto"/>
              <w:rPr>
                <w:rFonts w:ascii="Times New Roman" w:eastAsia="Times New Roman" w:hAnsi="Times New Roman" w:cs="Times New Roman"/>
                <w:b/>
                <w:bCs/>
                <w:color w:val="000000"/>
                <w:sz w:val="20"/>
                <w:szCs w:val="20"/>
                <w:lang w:val="en-AU" w:eastAsia="en-AU"/>
              </w:rPr>
            </w:pPr>
            <w:r w:rsidRPr="00D24F48">
              <w:rPr>
                <w:rFonts w:ascii="Times New Roman" w:eastAsia="Times New Roman" w:hAnsi="Times New Roman" w:cs="Times New Roman"/>
                <w:b/>
                <w:bCs/>
                <w:color w:val="000000"/>
                <w:sz w:val="20"/>
                <w:szCs w:val="20"/>
                <w:lang w:val="en-AU" w:eastAsia="en-AU"/>
              </w:rPr>
              <w:t>CHPs</w:t>
            </w:r>
          </w:p>
        </w:tc>
        <w:tc>
          <w:tcPr>
            <w:tcW w:w="1848" w:type="pct"/>
            <w:shd w:val="clear" w:color="auto" w:fill="auto"/>
            <w:vAlign w:val="center"/>
            <w:hideMark/>
          </w:tcPr>
          <w:p w14:paraId="5439CA0C" w14:textId="53956C0C" w:rsidR="002D39DC" w:rsidRPr="00D24F48" w:rsidRDefault="002D39DC" w:rsidP="002118C7">
            <w:pPr>
              <w:spacing w:after="0" w:line="240" w:lineRule="auto"/>
              <w:rPr>
                <w:rFonts w:ascii="Times New Roman" w:eastAsia="Times New Roman" w:hAnsi="Times New Roman" w:cs="Times New Roman"/>
                <w:b/>
                <w:bCs/>
                <w:color w:val="000000"/>
                <w:sz w:val="20"/>
                <w:szCs w:val="20"/>
                <w:lang w:val="en-AU" w:eastAsia="en-AU"/>
              </w:rPr>
            </w:pPr>
            <w:r w:rsidRPr="00D24F48">
              <w:rPr>
                <w:rFonts w:ascii="Times New Roman" w:eastAsia="Times New Roman" w:hAnsi="Times New Roman" w:cs="Times New Roman"/>
                <w:b/>
                <w:bCs/>
                <w:color w:val="000000"/>
                <w:sz w:val="20"/>
                <w:szCs w:val="20"/>
                <w:lang w:val="en-AU" w:eastAsia="en-AU"/>
              </w:rPr>
              <w:t>Key findings</w:t>
            </w:r>
          </w:p>
        </w:tc>
      </w:tr>
      <w:tr w:rsidR="002D39DC" w:rsidRPr="00D24F48" w14:paraId="1BFAD330" w14:textId="77777777" w:rsidTr="002D39DC">
        <w:trPr>
          <w:trHeight w:val="540"/>
        </w:trPr>
        <w:tc>
          <w:tcPr>
            <w:tcW w:w="443" w:type="pct"/>
            <w:shd w:val="clear" w:color="auto" w:fill="auto"/>
            <w:hideMark/>
          </w:tcPr>
          <w:p w14:paraId="20274033" w14:textId="0EA1373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Swanson et al </w:t>
            </w:r>
          </w:p>
        </w:tc>
        <w:tc>
          <w:tcPr>
            <w:tcW w:w="362" w:type="pct"/>
          </w:tcPr>
          <w:p w14:paraId="57C75E62" w14:textId="79AE388F" w:rsidR="002D39DC" w:rsidRPr="00D24F48" w:rsidRDefault="0081273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1</w:t>
            </w:r>
            <w:r w:rsidRPr="00D24F48">
              <w:rPr>
                <w:rFonts w:ascii="Times New Roman" w:eastAsia="Times New Roman" w:hAnsi="Times New Roman" w:cs="Times New Roman"/>
                <w:color w:val="000000"/>
                <w:sz w:val="20"/>
                <w:szCs w:val="20"/>
                <w:lang w:eastAsia="en-AU"/>
              </w:rPr>
              <w:t>995</w:t>
            </w:r>
          </w:p>
        </w:tc>
        <w:tc>
          <w:tcPr>
            <w:tcW w:w="458" w:type="pct"/>
            <w:shd w:val="clear" w:color="auto" w:fill="auto"/>
            <w:hideMark/>
          </w:tcPr>
          <w:p w14:paraId="1CD69A8E" w14:textId="34E5324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Cuba </w:t>
            </w:r>
          </w:p>
        </w:tc>
        <w:tc>
          <w:tcPr>
            <w:tcW w:w="658" w:type="pct"/>
            <w:shd w:val="clear" w:color="auto" w:fill="auto"/>
            <w:hideMark/>
          </w:tcPr>
          <w:p w14:paraId="6FF3EBA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Describe the status of health model in Cuba</w:t>
            </w:r>
          </w:p>
        </w:tc>
        <w:tc>
          <w:tcPr>
            <w:tcW w:w="522" w:type="pct"/>
            <w:shd w:val="clear" w:color="auto" w:fill="auto"/>
            <w:hideMark/>
          </w:tcPr>
          <w:p w14:paraId="7BA3B2F0"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5214A296"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Cuba's model is a comprehensive public health approach, </w:t>
            </w:r>
          </w:p>
        </w:tc>
        <w:tc>
          <w:tcPr>
            <w:tcW w:w="1848" w:type="pct"/>
            <w:shd w:val="clear" w:color="auto" w:fill="auto"/>
            <w:hideMark/>
          </w:tcPr>
          <w:p w14:paraId="7CAE4901"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Cuba's model is a comprehensive public health approach, innovative neighbourhood/home clinics. </w:t>
            </w:r>
          </w:p>
          <w:p w14:paraId="45339683"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Achievements in health outcomes because of Cuba's model and the consequences for women's health care. </w:t>
            </w:r>
          </w:p>
          <w:p w14:paraId="6721EFD6" w14:textId="709C074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Improved health indicators despite the economic hardship </w:t>
            </w:r>
          </w:p>
        </w:tc>
      </w:tr>
      <w:tr w:rsidR="002D39DC" w:rsidRPr="00D24F48" w14:paraId="60E404AA" w14:textId="77777777" w:rsidTr="002D39DC">
        <w:trPr>
          <w:trHeight w:val="540"/>
        </w:trPr>
        <w:tc>
          <w:tcPr>
            <w:tcW w:w="443" w:type="pct"/>
            <w:shd w:val="clear" w:color="auto" w:fill="auto"/>
            <w:hideMark/>
          </w:tcPr>
          <w:p w14:paraId="0084A83E" w14:textId="59D049D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Koncar et al </w:t>
            </w:r>
          </w:p>
        </w:tc>
        <w:tc>
          <w:tcPr>
            <w:tcW w:w="362" w:type="pct"/>
          </w:tcPr>
          <w:p w14:paraId="4749A065" w14:textId="6D0759FE" w:rsidR="002D39DC" w:rsidRPr="00D24F48" w:rsidRDefault="0081273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w:t>
            </w:r>
            <w:r w:rsidRPr="00D24F48">
              <w:rPr>
                <w:rFonts w:ascii="Times New Roman" w:eastAsia="Times New Roman" w:hAnsi="Times New Roman" w:cs="Times New Roman"/>
                <w:color w:val="000000"/>
                <w:sz w:val="20"/>
                <w:szCs w:val="20"/>
                <w:lang w:eastAsia="en-AU"/>
              </w:rPr>
              <w:t>006</w:t>
            </w:r>
          </w:p>
        </w:tc>
        <w:tc>
          <w:tcPr>
            <w:tcW w:w="458" w:type="pct"/>
            <w:shd w:val="clear" w:color="auto" w:fill="auto"/>
            <w:hideMark/>
          </w:tcPr>
          <w:p w14:paraId="7C36F0CB" w14:textId="167CA81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Croatia </w:t>
            </w:r>
          </w:p>
        </w:tc>
        <w:tc>
          <w:tcPr>
            <w:tcW w:w="658" w:type="pct"/>
            <w:shd w:val="clear" w:color="auto" w:fill="auto"/>
            <w:hideMark/>
          </w:tcPr>
          <w:p w14:paraId="62C0844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feature the functionalities</w:t>
            </w:r>
            <w:r w:rsidRPr="00D24F48">
              <w:rPr>
                <w:rFonts w:ascii="Times New Roman" w:eastAsia="Times New Roman" w:hAnsi="Times New Roman" w:cs="Times New Roman"/>
                <w:color w:val="000000"/>
                <w:sz w:val="20"/>
                <w:szCs w:val="20"/>
                <w:lang w:val="en-AU" w:eastAsia="en-AU"/>
              </w:rPr>
              <w:br/>
              <w:t>of Primary Healthcare Information System (PHCIS)</w:t>
            </w:r>
          </w:p>
        </w:tc>
        <w:tc>
          <w:tcPr>
            <w:tcW w:w="522" w:type="pct"/>
            <w:shd w:val="clear" w:color="auto" w:fill="auto"/>
            <w:hideMark/>
          </w:tcPr>
          <w:p w14:paraId="0E9F3F6F" w14:textId="4D8B73D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0E513C2D"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efficient healthcare related data management in support of decision-making processes. </w:t>
            </w:r>
          </w:p>
          <w:p w14:paraId="5D7E3C53"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support continuous process of healthcare resources spending optimization.</w:t>
            </w:r>
          </w:p>
        </w:tc>
        <w:tc>
          <w:tcPr>
            <w:tcW w:w="1848" w:type="pct"/>
            <w:shd w:val="clear" w:color="auto" w:fill="auto"/>
            <w:hideMark/>
          </w:tcPr>
          <w:p w14:paraId="4EDD1BE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first initiated project refers to PHCIS that provides domain of primary care with state-of-the-art enterprise information system that connects specialist services with the Croatian Institute for Health Insurance and Public Health Institute. </w:t>
            </w:r>
          </w:p>
          <w:p w14:paraId="138498BB" w14:textId="496B612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PHCIS is expected to serve as the main integration platform for connecting all levels of healthcare (e.g., hospitals, pharmacies, laboratories) into single enterprise healthcare network. </w:t>
            </w:r>
          </w:p>
        </w:tc>
      </w:tr>
      <w:tr w:rsidR="002D39DC" w:rsidRPr="00D24F48" w14:paraId="23AFB300" w14:textId="77777777" w:rsidTr="002D39DC">
        <w:trPr>
          <w:trHeight w:val="540"/>
        </w:trPr>
        <w:tc>
          <w:tcPr>
            <w:tcW w:w="443" w:type="pct"/>
            <w:shd w:val="clear" w:color="auto" w:fill="auto"/>
            <w:hideMark/>
          </w:tcPr>
          <w:p w14:paraId="2693D995" w14:textId="26ACB50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Preston et al  </w:t>
            </w:r>
          </w:p>
        </w:tc>
        <w:tc>
          <w:tcPr>
            <w:tcW w:w="362" w:type="pct"/>
          </w:tcPr>
          <w:p w14:paraId="52993CEF" w14:textId="0C65CD9B" w:rsidR="002D39DC" w:rsidRPr="00D24F48" w:rsidRDefault="0081273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w:t>
            </w:r>
            <w:r w:rsidRPr="00D24F48">
              <w:rPr>
                <w:rFonts w:ascii="Times New Roman" w:eastAsia="Times New Roman" w:hAnsi="Times New Roman" w:cs="Times New Roman"/>
                <w:color w:val="000000"/>
                <w:sz w:val="20"/>
                <w:szCs w:val="20"/>
                <w:lang w:eastAsia="en-AU"/>
              </w:rPr>
              <w:t>010</w:t>
            </w:r>
          </w:p>
        </w:tc>
        <w:tc>
          <w:tcPr>
            <w:tcW w:w="458" w:type="pct"/>
            <w:shd w:val="clear" w:color="auto" w:fill="auto"/>
            <w:hideMark/>
          </w:tcPr>
          <w:p w14:paraId="110EEB38" w14:textId="6E9B304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Australia </w:t>
            </w:r>
          </w:p>
        </w:tc>
        <w:tc>
          <w:tcPr>
            <w:tcW w:w="658" w:type="pct"/>
            <w:shd w:val="clear" w:color="auto" w:fill="auto"/>
            <w:hideMark/>
          </w:tcPr>
          <w:p w14:paraId="04627EC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summarise the results of the review and clarify recurring points of complexity.</w:t>
            </w:r>
          </w:p>
        </w:tc>
        <w:tc>
          <w:tcPr>
            <w:tcW w:w="522" w:type="pct"/>
            <w:shd w:val="clear" w:color="auto" w:fill="auto"/>
            <w:hideMark/>
          </w:tcPr>
          <w:p w14:paraId="51A5DA40" w14:textId="5E4A301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62B2BA2A"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community participation in the rural PHC</w:t>
            </w:r>
          </w:p>
          <w:p w14:paraId="7D9CD331"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partnership for responsive health care  </w:t>
            </w:r>
          </w:p>
        </w:tc>
        <w:tc>
          <w:tcPr>
            <w:tcW w:w="1848" w:type="pct"/>
            <w:shd w:val="clear" w:color="auto" w:fill="auto"/>
            <w:hideMark/>
          </w:tcPr>
          <w:p w14:paraId="045EFB43"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Community participation in rural PHC service design and delivery increase the likelihood of genuine community</w:t>
            </w:r>
          </w:p>
          <w:p w14:paraId="4AD9E193" w14:textId="226C9E1B"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health sector partnerships and more responsive health services for rural communities. </w:t>
            </w:r>
          </w:p>
        </w:tc>
      </w:tr>
      <w:tr w:rsidR="002D39DC" w:rsidRPr="00D24F48" w14:paraId="22B0578E" w14:textId="77777777" w:rsidTr="002D39DC">
        <w:trPr>
          <w:trHeight w:val="540"/>
        </w:trPr>
        <w:tc>
          <w:tcPr>
            <w:tcW w:w="443" w:type="pct"/>
            <w:shd w:val="clear" w:color="auto" w:fill="auto"/>
            <w:hideMark/>
          </w:tcPr>
          <w:p w14:paraId="2672BE60" w14:textId="4AA9F98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Talukder et al </w:t>
            </w:r>
          </w:p>
        </w:tc>
        <w:tc>
          <w:tcPr>
            <w:tcW w:w="362" w:type="pct"/>
          </w:tcPr>
          <w:p w14:paraId="784F7F86" w14:textId="547E09AB" w:rsidR="002D39DC" w:rsidRPr="00D24F48" w:rsidRDefault="0081273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w:t>
            </w:r>
            <w:r w:rsidRPr="00D24F48">
              <w:rPr>
                <w:rFonts w:ascii="Times New Roman" w:eastAsia="Times New Roman" w:hAnsi="Times New Roman" w:cs="Times New Roman"/>
                <w:color w:val="000000"/>
                <w:sz w:val="20"/>
                <w:szCs w:val="20"/>
                <w:lang w:eastAsia="en-AU"/>
              </w:rPr>
              <w:t>010</w:t>
            </w:r>
          </w:p>
        </w:tc>
        <w:tc>
          <w:tcPr>
            <w:tcW w:w="458" w:type="pct"/>
            <w:shd w:val="clear" w:color="auto" w:fill="auto"/>
            <w:hideMark/>
          </w:tcPr>
          <w:p w14:paraId="1AFE2545" w14:textId="5BC38EF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Bangladesh, Pakistan, Cambodia, Ghana, and Tanzania, </w:t>
            </w:r>
          </w:p>
        </w:tc>
        <w:tc>
          <w:tcPr>
            <w:tcW w:w="658" w:type="pct"/>
            <w:shd w:val="clear" w:color="auto" w:fill="auto"/>
            <w:hideMark/>
          </w:tcPr>
          <w:p w14:paraId="22E88AFB"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To examine selected health service delivery models that improved access to services in five developing countries. </w:t>
            </w:r>
          </w:p>
        </w:tc>
        <w:tc>
          <w:tcPr>
            <w:tcW w:w="522" w:type="pct"/>
            <w:shd w:val="clear" w:color="auto" w:fill="auto"/>
            <w:hideMark/>
          </w:tcPr>
          <w:p w14:paraId="4E287A87" w14:textId="2F83D38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01F1617E"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Services delivery through CHWs</w:t>
            </w:r>
            <w:r w:rsidRPr="00D24F48">
              <w:rPr>
                <w:rFonts w:ascii="Times New Roman" w:eastAsia="Times New Roman" w:hAnsi="Times New Roman" w:cs="Times New Roman"/>
                <w:color w:val="000000"/>
                <w:sz w:val="20"/>
                <w:szCs w:val="20"/>
                <w:lang w:val="en-AU" w:eastAsia="en-AU"/>
              </w:rPr>
              <w:br/>
              <w:t xml:space="preserve">Incentive for health care workers for motivation </w:t>
            </w:r>
          </w:p>
        </w:tc>
        <w:tc>
          <w:tcPr>
            <w:tcW w:w="1848" w:type="pct"/>
            <w:shd w:val="clear" w:color="auto" w:fill="auto"/>
            <w:hideMark/>
          </w:tcPr>
          <w:p w14:paraId="2435C71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Community-based deployment of service providers or recruitment and training of CHWs is enhancing service coverage and linking local populations to a health facility. </w:t>
            </w:r>
          </w:p>
          <w:p w14:paraId="3E236632"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Incentive is necessary to keep CHWs' interest in providing services, but they alone cannot ensure good health outcomes. </w:t>
            </w:r>
          </w:p>
          <w:p w14:paraId="6F14566A"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They must be embedded in a functioning service delivery network to transform structural inputs into outcomes. </w:t>
            </w:r>
          </w:p>
          <w:p w14:paraId="7A4420EF" w14:textId="3BFA3B8A"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local-level health systems should have the ability to allocate resources in strategic ways addressing the pressing health needs </w:t>
            </w:r>
          </w:p>
        </w:tc>
      </w:tr>
      <w:tr w:rsidR="002D39DC" w:rsidRPr="00D24F48" w14:paraId="49BDB977" w14:textId="77777777" w:rsidTr="002D39DC">
        <w:trPr>
          <w:trHeight w:val="540"/>
        </w:trPr>
        <w:tc>
          <w:tcPr>
            <w:tcW w:w="443" w:type="pct"/>
            <w:shd w:val="clear" w:color="auto" w:fill="auto"/>
            <w:hideMark/>
          </w:tcPr>
          <w:p w14:paraId="621B9742" w14:textId="75D59E8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Grills et al </w:t>
            </w:r>
          </w:p>
        </w:tc>
        <w:tc>
          <w:tcPr>
            <w:tcW w:w="362" w:type="pct"/>
          </w:tcPr>
          <w:p w14:paraId="4866DEB1" w14:textId="0F7E61DA" w:rsidR="002D39DC" w:rsidRPr="00D24F48" w:rsidRDefault="0081273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2012</w:t>
            </w:r>
          </w:p>
        </w:tc>
        <w:tc>
          <w:tcPr>
            <w:tcW w:w="458" w:type="pct"/>
            <w:shd w:val="clear" w:color="auto" w:fill="auto"/>
            <w:hideMark/>
          </w:tcPr>
          <w:p w14:paraId="5786B36A" w14:textId="1CDC3EE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India </w:t>
            </w:r>
          </w:p>
        </w:tc>
        <w:tc>
          <w:tcPr>
            <w:tcW w:w="658" w:type="pct"/>
            <w:shd w:val="clear" w:color="auto" w:fill="auto"/>
            <w:hideMark/>
          </w:tcPr>
          <w:p w14:paraId="659DCDAF"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examine barriers and facilitators to such linking, or clustering approach  </w:t>
            </w:r>
          </w:p>
        </w:tc>
        <w:tc>
          <w:tcPr>
            <w:tcW w:w="522" w:type="pct"/>
            <w:shd w:val="clear" w:color="auto" w:fill="auto"/>
            <w:hideMark/>
          </w:tcPr>
          <w:p w14:paraId="71E8AD27" w14:textId="14C162D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0647B7AB"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Networking of community health programs important for ties with faith location and resources and collaborative opportunities</w:t>
            </w:r>
          </w:p>
        </w:tc>
        <w:tc>
          <w:tcPr>
            <w:tcW w:w="1848" w:type="pct"/>
            <w:shd w:val="clear" w:color="auto" w:fill="auto"/>
            <w:hideMark/>
          </w:tcPr>
          <w:p w14:paraId="085DD066" w14:textId="77777777" w:rsidR="002D39DC" w:rsidRPr="00D24F48" w:rsidRDefault="002D39DC" w:rsidP="002118C7">
            <w:pPr>
              <w:pStyle w:val="ListParagraph"/>
              <w:numPr>
                <w:ilvl w:val="0"/>
                <w:numId w:val="1"/>
              </w:numPr>
              <w:spacing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Facilitators- ties (or relationships) included common faith and friendships and geographical location. </w:t>
            </w:r>
          </w:p>
          <w:p w14:paraId="12109227" w14:textId="77777777" w:rsidR="002D39DC" w:rsidRPr="00D24F48" w:rsidRDefault="002D39DC" w:rsidP="002118C7">
            <w:pPr>
              <w:pStyle w:val="ListParagraph"/>
              <w:numPr>
                <w:ilvl w:val="0"/>
                <w:numId w:val="1"/>
              </w:numPr>
              <w:spacing w:line="240" w:lineRule="auto"/>
              <w:rPr>
                <w:rFonts w:ascii="Times New Roman" w:hAnsi="Times New Roman" w:cs="Times New Roman"/>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common mission, funds, visibility, credibility, increased capacity, and access to trainings was also a commonly identified motivating factor for networking. </w:t>
            </w:r>
          </w:p>
          <w:p w14:paraId="20C3A562" w14:textId="77777777" w:rsidR="002D39DC" w:rsidRPr="00D24F48" w:rsidRDefault="002D39DC" w:rsidP="002118C7">
            <w:pPr>
              <w:pStyle w:val="ListParagraph"/>
              <w:numPr>
                <w:ilvl w:val="0"/>
                <w:numId w:val="1"/>
              </w:numPr>
              <w:spacing w:line="240" w:lineRule="auto"/>
              <w:rPr>
                <w:rFonts w:ascii="Times New Roman" w:hAnsi="Times New Roman" w:cs="Times New Roman"/>
                <w:sz w:val="20"/>
                <w:szCs w:val="20"/>
                <w:lang w:val="en-AU" w:eastAsia="en-AU"/>
              </w:rPr>
            </w:pPr>
            <w:r w:rsidRPr="00D24F48">
              <w:rPr>
                <w:rFonts w:ascii="Times New Roman" w:hAnsi="Times New Roman" w:cs="Times New Roman"/>
                <w:sz w:val="20"/>
                <w:szCs w:val="20"/>
                <w:lang w:val="en-AU" w:eastAsia="en-AU"/>
              </w:rPr>
              <w:t>effective at increasing access to resources, creating collaborative opportunities and increasing visibility, credibility, and confidence of the cluster members.</w:t>
            </w:r>
          </w:p>
          <w:p w14:paraId="0CAC5175" w14:textId="09CAECC9" w:rsidR="002D39DC" w:rsidRPr="00D24F48" w:rsidRDefault="002D39DC" w:rsidP="002118C7">
            <w:pPr>
              <w:pStyle w:val="ListParagraph"/>
              <w:numPr>
                <w:ilvl w:val="0"/>
                <w:numId w:val="1"/>
              </w:numPr>
              <w:spacing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Network synthesizing included lack of funding, poor communication, limited time, and lack of human resources, risk aversion and mistrust remained significant barriers to overcome for such a network.  </w:t>
            </w:r>
          </w:p>
        </w:tc>
      </w:tr>
      <w:tr w:rsidR="002D39DC" w:rsidRPr="00D24F48" w14:paraId="3EC74884" w14:textId="77777777" w:rsidTr="002D39DC">
        <w:trPr>
          <w:trHeight w:val="540"/>
        </w:trPr>
        <w:tc>
          <w:tcPr>
            <w:tcW w:w="443" w:type="pct"/>
            <w:shd w:val="clear" w:color="auto" w:fill="auto"/>
            <w:hideMark/>
          </w:tcPr>
          <w:p w14:paraId="0E80DA68" w14:textId="1F2FAAF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van </w:t>
            </w:r>
            <w:proofErr w:type="spellStart"/>
            <w:r w:rsidRPr="00D24F48">
              <w:rPr>
                <w:rFonts w:ascii="Times New Roman" w:eastAsia="Times New Roman" w:hAnsi="Times New Roman" w:cs="Times New Roman"/>
                <w:color w:val="000000"/>
                <w:sz w:val="20"/>
                <w:szCs w:val="20"/>
                <w:lang w:val="en-AU" w:eastAsia="en-AU"/>
              </w:rPr>
              <w:t>Lonkhuijzen</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3DB4BFF7" w14:textId="04928B1E" w:rsidR="002D39DC" w:rsidRPr="00D24F48" w:rsidRDefault="0081273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2012</w:t>
            </w:r>
          </w:p>
        </w:tc>
        <w:tc>
          <w:tcPr>
            <w:tcW w:w="458" w:type="pct"/>
            <w:shd w:val="clear" w:color="auto" w:fill="auto"/>
            <w:hideMark/>
          </w:tcPr>
          <w:p w14:paraId="004788E6" w14:textId="2D7A08E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low resource setting </w:t>
            </w:r>
          </w:p>
        </w:tc>
        <w:tc>
          <w:tcPr>
            <w:tcW w:w="658" w:type="pct"/>
            <w:shd w:val="clear" w:color="auto" w:fill="auto"/>
            <w:hideMark/>
          </w:tcPr>
          <w:p w14:paraId="535B8D1C"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assess the effects of a maternity waiting facility on maternal and perinatal health. </w:t>
            </w:r>
          </w:p>
        </w:tc>
        <w:tc>
          <w:tcPr>
            <w:tcW w:w="522" w:type="pct"/>
            <w:shd w:val="clear" w:color="auto" w:fill="auto"/>
            <w:hideMark/>
          </w:tcPr>
          <w:p w14:paraId="7A4155CB" w14:textId="4F3891E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3785472E"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Maternity waiting homes (MHWs)</w:t>
            </w:r>
          </w:p>
        </w:tc>
        <w:tc>
          <w:tcPr>
            <w:tcW w:w="1848" w:type="pct"/>
            <w:shd w:val="clear" w:color="auto" w:fill="auto"/>
            <w:hideMark/>
          </w:tcPr>
          <w:p w14:paraId="0F08820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effectiveness of MHWs in decreasing maternal deaths and stillbirths has been described in general terms. </w:t>
            </w:r>
          </w:p>
          <w:p w14:paraId="547244D3" w14:textId="48EA91B8"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These are likely to describe women who were referred to stay in HMWs because of risk factors and compared them with women who came to the hospitals for other reasons. </w:t>
            </w:r>
          </w:p>
        </w:tc>
      </w:tr>
      <w:tr w:rsidR="002D39DC" w:rsidRPr="00D24F48" w14:paraId="144B9B11" w14:textId="77777777" w:rsidTr="002D39DC">
        <w:trPr>
          <w:trHeight w:val="540"/>
        </w:trPr>
        <w:tc>
          <w:tcPr>
            <w:tcW w:w="443" w:type="pct"/>
            <w:shd w:val="clear" w:color="auto" w:fill="auto"/>
            <w:hideMark/>
          </w:tcPr>
          <w:p w14:paraId="7E35BF13" w14:textId="02BF6ED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Callaghan-Koru et al </w:t>
            </w:r>
          </w:p>
        </w:tc>
        <w:tc>
          <w:tcPr>
            <w:tcW w:w="362" w:type="pct"/>
          </w:tcPr>
          <w:p w14:paraId="480F11CE" w14:textId="6B7C05B3" w:rsidR="002D39DC" w:rsidRPr="00D24F48" w:rsidRDefault="00ED7AC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2013</w:t>
            </w:r>
          </w:p>
        </w:tc>
        <w:tc>
          <w:tcPr>
            <w:tcW w:w="458" w:type="pct"/>
            <w:shd w:val="clear" w:color="auto" w:fill="auto"/>
            <w:hideMark/>
          </w:tcPr>
          <w:p w14:paraId="6EF034E9" w14:textId="5A35411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Malawi</w:t>
            </w:r>
          </w:p>
        </w:tc>
        <w:tc>
          <w:tcPr>
            <w:tcW w:w="658" w:type="pct"/>
            <w:shd w:val="clear" w:color="auto" w:fill="auto"/>
            <w:hideMark/>
          </w:tcPr>
          <w:p w14:paraId="102AB5F9"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examine the contributions of community-based programming to improving the equity of newborn health. </w:t>
            </w:r>
          </w:p>
        </w:tc>
        <w:tc>
          <w:tcPr>
            <w:tcW w:w="522" w:type="pct"/>
            <w:shd w:val="clear" w:color="auto" w:fill="auto"/>
            <w:hideMark/>
          </w:tcPr>
          <w:p w14:paraId="5193D784" w14:textId="0B8541A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Quantitative </w:t>
            </w:r>
          </w:p>
        </w:tc>
        <w:tc>
          <w:tcPr>
            <w:tcW w:w="709" w:type="pct"/>
            <w:shd w:val="clear" w:color="auto" w:fill="auto"/>
            <w:hideMark/>
          </w:tcPr>
          <w:p w14:paraId="2FBFB66D"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CBMNC program improved home visit from the lowest wealth quintile </w:t>
            </w:r>
          </w:p>
        </w:tc>
        <w:tc>
          <w:tcPr>
            <w:tcW w:w="1848" w:type="pct"/>
            <w:shd w:val="clear" w:color="auto" w:fill="auto"/>
            <w:hideMark/>
          </w:tcPr>
          <w:p w14:paraId="68C6346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HSAs trained in the intervention reached 36.7% of women with a pregnancy home visit and 10.9% of women with a postnatal home visit within three days of delivery.  </w:t>
            </w:r>
          </w:p>
          <w:p w14:paraId="16D57E8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High proportion of women from the poorest quintile knew danger signs for pregnancy, delivery, and postpartum mothers. </w:t>
            </w:r>
          </w:p>
          <w:p w14:paraId="1764E255" w14:textId="12C6FAE4"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Equity also significantly improved for coverage of delivery at a health facility, immediate breastfeeding, and delayed bathing. </w:t>
            </w:r>
          </w:p>
        </w:tc>
      </w:tr>
      <w:tr w:rsidR="002D39DC" w:rsidRPr="00D24F48" w14:paraId="4C715CFA" w14:textId="77777777" w:rsidTr="002D39DC">
        <w:trPr>
          <w:trHeight w:val="540"/>
        </w:trPr>
        <w:tc>
          <w:tcPr>
            <w:tcW w:w="443" w:type="pct"/>
            <w:shd w:val="clear" w:color="auto" w:fill="auto"/>
            <w:hideMark/>
          </w:tcPr>
          <w:p w14:paraId="338899E4" w14:textId="050B500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Chomi</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5B15BFDF" w14:textId="3ABD1918" w:rsidR="002D39DC" w:rsidRPr="00D24F48" w:rsidRDefault="005D39D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2014</w:t>
            </w:r>
          </w:p>
        </w:tc>
        <w:tc>
          <w:tcPr>
            <w:tcW w:w="458" w:type="pct"/>
            <w:shd w:val="clear" w:color="auto" w:fill="auto"/>
            <w:hideMark/>
          </w:tcPr>
          <w:p w14:paraId="1A849AF2" w14:textId="052AEEB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Tanzania</w:t>
            </w:r>
          </w:p>
        </w:tc>
        <w:tc>
          <w:tcPr>
            <w:tcW w:w="658" w:type="pct"/>
            <w:shd w:val="clear" w:color="auto" w:fill="auto"/>
            <w:hideMark/>
          </w:tcPr>
          <w:p w14:paraId="6C38E498"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examine how the existence of multiple health </w:t>
            </w:r>
            <w:r w:rsidRPr="00D24F48">
              <w:rPr>
                <w:rFonts w:ascii="Times New Roman" w:eastAsia="Times New Roman" w:hAnsi="Times New Roman" w:cs="Times New Roman"/>
                <w:color w:val="000000"/>
                <w:sz w:val="20"/>
                <w:szCs w:val="20"/>
                <w:lang w:val="en-AU" w:eastAsia="en-AU"/>
              </w:rPr>
              <w:lastRenderedPageBreak/>
              <w:t>insurance funds affects health care utilisation</w:t>
            </w:r>
          </w:p>
        </w:tc>
        <w:tc>
          <w:tcPr>
            <w:tcW w:w="522" w:type="pct"/>
            <w:shd w:val="clear" w:color="auto" w:fill="auto"/>
            <w:hideMark/>
          </w:tcPr>
          <w:p w14:paraId="5DA67B46" w14:textId="45F8EF4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Quantitative </w:t>
            </w:r>
          </w:p>
        </w:tc>
        <w:tc>
          <w:tcPr>
            <w:tcW w:w="709" w:type="pct"/>
            <w:shd w:val="clear" w:color="auto" w:fill="auto"/>
            <w:hideMark/>
          </w:tcPr>
          <w:p w14:paraId="56D42789"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Health insurance programs increased </w:t>
            </w:r>
            <w:r w:rsidRPr="00D24F48">
              <w:rPr>
                <w:rFonts w:ascii="Times New Roman" w:eastAsia="Times New Roman" w:hAnsi="Times New Roman" w:cs="Times New Roman"/>
                <w:color w:val="000000"/>
                <w:sz w:val="20"/>
                <w:szCs w:val="20"/>
                <w:lang w:val="en-AU" w:eastAsia="en-AU"/>
              </w:rPr>
              <w:lastRenderedPageBreak/>
              <w:t xml:space="preserve">seeking care. Fragmentation </w:t>
            </w:r>
          </w:p>
        </w:tc>
        <w:tc>
          <w:tcPr>
            <w:tcW w:w="1848" w:type="pct"/>
            <w:shd w:val="clear" w:color="auto" w:fill="auto"/>
            <w:hideMark/>
          </w:tcPr>
          <w:p w14:paraId="23FD9D52"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Health insurance increased the probability of seeking care and reduce delays. </w:t>
            </w:r>
          </w:p>
          <w:p w14:paraId="53891181" w14:textId="7693B4CC"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Integration is necessary to provide opportunities for redistribution and to promote equity in utilisation of health services. </w:t>
            </w:r>
          </w:p>
        </w:tc>
      </w:tr>
      <w:tr w:rsidR="002D39DC" w:rsidRPr="00D24F48" w14:paraId="091B270B" w14:textId="77777777" w:rsidTr="002D39DC">
        <w:trPr>
          <w:trHeight w:val="540"/>
        </w:trPr>
        <w:tc>
          <w:tcPr>
            <w:tcW w:w="443" w:type="pct"/>
            <w:shd w:val="clear" w:color="auto" w:fill="auto"/>
            <w:hideMark/>
          </w:tcPr>
          <w:p w14:paraId="3408B7DD" w14:textId="1E08BE1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Condo et al </w:t>
            </w:r>
          </w:p>
        </w:tc>
        <w:tc>
          <w:tcPr>
            <w:tcW w:w="362" w:type="pct"/>
          </w:tcPr>
          <w:p w14:paraId="6C1BC883" w14:textId="6A01D88B" w:rsidR="002D39DC" w:rsidRPr="00D24F48" w:rsidRDefault="005D39D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2014</w:t>
            </w:r>
          </w:p>
        </w:tc>
        <w:tc>
          <w:tcPr>
            <w:tcW w:w="458" w:type="pct"/>
            <w:shd w:val="clear" w:color="auto" w:fill="auto"/>
            <w:hideMark/>
          </w:tcPr>
          <w:p w14:paraId="4D827958" w14:textId="6C6EA77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Rwanda </w:t>
            </w:r>
          </w:p>
        </w:tc>
        <w:tc>
          <w:tcPr>
            <w:tcW w:w="658" w:type="pct"/>
            <w:shd w:val="clear" w:color="auto" w:fill="auto"/>
            <w:hideMark/>
          </w:tcPr>
          <w:p w14:paraId="2175F991"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assess the capacity, efficiency, and effectiveness of the CHW programme, </w:t>
            </w:r>
          </w:p>
        </w:tc>
        <w:tc>
          <w:tcPr>
            <w:tcW w:w="522" w:type="pct"/>
            <w:shd w:val="clear" w:color="auto" w:fill="auto"/>
            <w:hideMark/>
          </w:tcPr>
          <w:p w14:paraId="45F3E5ED" w14:textId="3488B3A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Quantitative</w:t>
            </w:r>
          </w:p>
        </w:tc>
        <w:tc>
          <w:tcPr>
            <w:tcW w:w="709" w:type="pct"/>
            <w:shd w:val="clear" w:color="auto" w:fill="auto"/>
            <w:hideMark/>
          </w:tcPr>
          <w:p w14:paraId="38C87C0E"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are respected by the beneficiaries and was important incentive. </w:t>
            </w:r>
          </w:p>
          <w:p w14:paraId="7E4BFF72"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Higher workload </w:t>
            </w:r>
          </w:p>
        </w:tc>
        <w:tc>
          <w:tcPr>
            <w:tcW w:w="1848" w:type="pct"/>
            <w:shd w:val="clear" w:color="auto" w:fill="auto"/>
            <w:hideMark/>
          </w:tcPr>
          <w:p w14:paraId="4493BAD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involved in the community, and widely respected by the beneficiaries. </w:t>
            </w:r>
          </w:p>
          <w:p w14:paraId="72749343"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Rwanda's community PBF was an important incentive</w:t>
            </w:r>
          </w:p>
          <w:p w14:paraId="7D426F84" w14:textId="77777777" w:rsidR="002D39DC" w:rsidRPr="00D24F48" w:rsidRDefault="002D39DC" w:rsidP="002118C7">
            <w:pPr>
              <w:pStyle w:val="ListParagraph"/>
              <w:numPr>
                <w:ilvl w:val="0"/>
                <w:numId w:val="1"/>
              </w:numPr>
              <w:spacing w:after="0" w:line="240" w:lineRule="auto"/>
              <w:rPr>
                <w:rFonts w:ascii="Times New Roman" w:hAnsi="Times New Roman" w:cs="Times New Roman"/>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were also strongly motivated by community respect. </w:t>
            </w:r>
            <w:r w:rsidRPr="00D24F48">
              <w:rPr>
                <w:rFonts w:ascii="Times New Roman" w:hAnsi="Times New Roman" w:cs="Times New Roman"/>
                <w:sz w:val="20"/>
                <w:szCs w:val="20"/>
                <w:lang w:val="en-AU" w:eastAsia="en-AU"/>
              </w:rPr>
              <w:t xml:space="preserve"> </w:t>
            </w:r>
          </w:p>
          <w:p w14:paraId="78BD16A8" w14:textId="1B8BEA40" w:rsidR="002D39DC" w:rsidRPr="00D24F48" w:rsidRDefault="002D39DC" w:rsidP="002118C7">
            <w:pPr>
              <w:pStyle w:val="ListParagraph"/>
              <w:numPr>
                <w:ilvl w:val="0"/>
                <w:numId w:val="1"/>
              </w:numPr>
              <w:spacing w:after="0" w:line="240" w:lineRule="auto"/>
              <w:rPr>
                <w:rFonts w:ascii="Times New Roman" w:hAnsi="Times New Roman" w:cs="Times New Roman"/>
                <w:sz w:val="20"/>
                <w:szCs w:val="20"/>
                <w:lang w:val="en-AU" w:eastAsia="en-AU"/>
              </w:rPr>
            </w:pPr>
            <w:r w:rsidRPr="00D24F48">
              <w:rPr>
                <w:rFonts w:ascii="Times New Roman" w:hAnsi="Times New Roman" w:cs="Times New Roman"/>
                <w:sz w:val="20"/>
                <w:szCs w:val="20"/>
                <w:lang w:val="en-AU" w:eastAsia="en-AU"/>
              </w:rPr>
              <w:t xml:space="preserve">challenges identified were an overwhelming workload, irregular trainings, and lack of sufficient supervision. </w:t>
            </w:r>
          </w:p>
        </w:tc>
      </w:tr>
      <w:tr w:rsidR="002D39DC" w:rsidRPr="00D24F48" w14:paraId="0F7ABA9C" w14:textId="77777777" w:rsidTr="002D39DC">
        <w:trPr>
          <w:trHeight w:val="540"/>
        </w:trPr>
        <w:tc>
          <w:tcPr>
            <w:tcW w:w="443" w:type="pct"/>
            <w:shd w:val="clear" w:color="auto" w:fill="auto"/>
            <w:hideMark/>
          </w:tcPr>
          <w:p w14:paraId="71B575C8" w14:textId="5071114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Strachan et al </w:t>
            </w:r>
          </w:p>
        </w:tc>
        <w:tc>
          <w:tcPr>
            <w:tcW w:w="362" w:type="pct"/>
          </w:tcPr>
          <w:p w14:paraId="67AC21CA" w14:textId="6EE5DC30" w:rsidR="002D39DC" w:rsidRPr="00D24F48" w:rsidRDefault="005D39D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2014</w:t>
            </w:r>
          </w:p>
        </w:tc>
        <w:tc>
          <w:tcPr>
            <w:tcW w:w="458" w:type="pct"/>
            <w:shd w:val="clear" w:color="auto" w:fill="auto"/>
            <w:hideMark/>
          </w:tcPr>
          <w:p w14:paraId="597480FA" w14:textId="00E837A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South Sudan, Uganda, and Zambia</w:t>
            </w:r>
          </w:p>
        </w:tc>
        <w:tc>
          <w:tcPr>
            <w:tcW w:w="658" w:type="pct"/>
            <w:shd w:val="clear" w:color="auto" w:fill="auto"/>
            <w:hideMark/>
          </w:tcPr>
          <w:p w14:paraId="6584D27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capture context specific experiences of a range of stakeholders in implementing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w:t>
            </w:r>
          </w:p>
        </w:tc>
        <w:tc>
          <w:tcPr>
            <w:tcW w:w="522" w:type="pct"/>
            <w:shd w:val="clear" w:color="auto" w:fill="auto"/>
            <w:hideMark/>
          </w:tcPr>
          <w:p w14:paraId="338AB1F7" w14:textId="246E1B3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6ADA13F0"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 support to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and CHWs sustained health benefits and strengthening the public health system.</w:t>
            </w:r>
          </w:p>
        </w:tc>
        <w:tc>
          <w:tcPr>
            <w:tcW w:w="1848" w:type="pct"/>
            <w:shd w:val="clear" w:color="auto" w:fill="auto"/>
            <w:hideMark/>
          </w:tcPr>
          <w:p w14:paraId="4B3BDBC4"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collaboration with implementing partners in planning stages to positively impact on community acceptance and ownership. </w:t>
            </w:r>
          </w:p>
          <w:p w14:paraId="526AD887"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participatory training methods adapted to low literacy populations and peer supports in the supervision  </w:t>
            </w:r>
          </w:p>
          <w:p w14:paraId="68018337"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integration of community level data into the HMIS and emphasizing data analysis, use and feedback at all levels, strengthened supply chains (e.g., quantification and procurement of commodities through national distribution network) </w:t>
            </w:r>
          </w:p>
          <w:p w14:paraId="1D13BC7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 engagement to establish a support system for CHWs to increase their motivation. </w:t>
            </w:r>
          </w:p>
          <w:p w14:paraId="1931A86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enhanced sensitisation and behaviour change communication to raise awareness and usage of appropriate health services.</w:t>
            </w:r>
          </w:p>
          <w:p w14:paraId="211721DC" w14:textId="61A661B4"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advocacy at the national level for funding and logistical support for the continuation and integration of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w:t>
            </w:r>
          </w:p>
        </w:tc>
      </w:tr>
      <w:tr w:rsidR="002D39DC" w:rsidRPr="00D24F48" w14:paraId="2DE8DD85" w14:textId="77777777" w:rsidTr="002D39DC">
        <w:trPr>
          <w:trHeight w:val="540"/>
        </w:trPr>
        <w:tc>
          <w:tcPr>
            <w:tcW w:w="443" w:type="pct"/>
            <w:shd w:val="clear" w:color="auto" w:fill="auto"/>
            <w:hideMark/>
          </w:tcPr>
          <w:p w14:paraId="7255A34C" w14:textId="1CB16DD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Naimoli et al </w:t>
            </w:r>
          </w:p>
        </w:tc>
        <w:tc>
          <w:tcPr>
            <w:tcW w:w="362" w:type="pct"/>
          </w:tcPr>
          <w:p w14:paraId="7AD0E8D9" w14:textId="14C8C83B" w:rsidR="002D39DC" w:rsidRPr="00D24F48" w:rsidRDefault="005D39D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2015</w:t>
            </w:r>
          </w:p>
        </w:tc>
        <w:tc>
          <w:tcPr>
            <w:tcW w:w="458" w:type="pct"/>
            <w:shd w:val="clear" w:color="auto" w:fill="auto"/>
            <w:hideMark/>
          </w:tcPr>
          <w:p w14:paraId="5A669664" w14:textId="5199229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LMICs</w:t>
            </w:r>
          </w:p>
        </w:tc>
        <w:tc>
          <w:tcPr>
            <w:tcW w:w="658" w:type="pct"/>
            <w:shd w:val="clear" w:color="auto" w:fill="auto"/>
            <w:hideMark/>
          </w:tcPr>
          <w:p w14:paraId="2CA456DE"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explore a strategic community health system partnership through CHWs program. </w:t>
            </w:r>
          </w:p>
        </w:tc>
        <w:tc>
          <w:tcPr>
            <w:tcW w:w="522" w:type="pct"/>
            <w:shd w:val="clear" w:color="auto" w:fill="auto"/>
            <w:hideMark/>
          </w:tcPr>
          <w:p w14:paraId="37A542A3" w14:textId="3F7ACC4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59FA45B3"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Strategic partnership between communities and health system</w:t>
            </w:r>
          </w:p>
        </w:tc>
        <w:tc>
          <w:tcPr>
            <w:tcW w:w="1848" w:type="pct"/>
            <w:shd w:val="clear" w:color="auto" w:fill="auto"/>
            <w:hideMark/>
          </w:tcPr>
          <w:p w14:paraId="7150BFB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Implementation is feasible at sub-national levels over large geographic areas and among vulnerable populations </w:t>
            </w:r>
          </w:p>
          <w:p w14:paraId="41D89C16" w14:textId="46FF2908"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(1) joint ownership and design of CHW programmes, (2) collaborative supervision and constructive feedback, (3) a balanced package of incentives, and (4) a practical monitoring system incorporating data from communities and the health system. </w:t>
            </w:r>
          </w:p>
        </w:tc>
      </w:tr>
      <w:tr w:rsidR="002D39DC" w:rsidRPr="00D24F48" w14:paraId="31B84FA0" w14:textId="77777777" w:rsidTr="002D39DC">
        <w:trPr>
          <w:trHeight w:val="540"/>
        </w:trPr>
        <w:tc>
          <w:tcPr>
            <w:tcW w:w="443" w:type="pct"/>
            <w:shd w:val="clear" w:color="auto" w:fill="auto"/>
            <w:hideMark/>
          </w:tcPr>
          <w:p w14:paraId="598715E0" w14:textId="5DD0599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White et al </w:t>
            </w:r>
          </w:p>
        </w:tc>
        <w:tc>
          <w:tcPr>
            <w:tcW w:w="362" w:type="pct"/>
          </w:tcPr>
          <w:p w14:paraId="7B9E3B4B" w14:textId="49F9D4E6" w:rsidR="002D39DC" w:rsidRPr="00D24F48" w:rsidRDefault="00DF744A"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2015</w:t>
            </w:r>
          </w:p>
        </w:tc>
        <w:tc>
          <w:tcPr>
            <w:tcW w:w="458" w:type="pct"/>
            <w:shd w:val="clear" w:color="auto" w:fill="auto"/>
            <w:hideMark/>
          </w:tcPr>
          <w:p w14:paraId="2E5F150F" w14:textId="3B81BF8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not specified </w:t>
            </w:r>
          </w:p>
        </w:tc>
        <w:tc>
          <w:tcPr>
            <w:tcW w:w="658" w:type="pct"/>
            <w:shd w:val="clear" w:color="auto" w:fill="auto"/>
            <w:hideMark/>
          </w:tcPr>
          <w:p w14:paraId="10B79C6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advocate for integrated and universally accessible health systems, built on a foundation of PHC and public health.</w:t>
            </w:r>
          </w:p>
        </w:tc>
        <w:tc>
          <w:tcPr>
            <w:tcW w:w="522" w:type="pct"/>
            <w:shd w:val="clear" w:color="auto" w:fill="auto"/>
            <w:hideMark/>
          </w:tcPr>
          <w:p w14:paraId="6EF78E27"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2A15689A"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Most health systems heavily focused on illness</w:t>
            </w:r>
          </w:p>
        </w:tc>
        <w:tc>
          <w:tcPr>
            <w:tcW w:w="1848" w:type="pct"/>
            <w:shd w:val="clear" w:color="auto" w:fill="auto"/>
            <w:hideMark/>
          </w:tcPr>
          <w:p w14:paraId="125AAE4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Relatively little to optimize health and minimize illness burdens among vulnerable groups and are challenged by insufficient allocation of resources to address priority needs with equity. </w:t>
            </w:r>
          </w:p>
          <w:p w14:paraId="3BDD3EA0" w14:textId="3B23C402"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Public health and PHC are the cornerstones of sustainable health systems which reflected in the health policies and professional education systems of all nations. </w:t>
            </w:r>
          </w:p>
        </w:tc>
      </w:tr>
      <w:tr w:rsidR="002D39DC" w:rsidRPr="00D24F48" w14:paraId="0ECC0B7B" w14:textId="77777777" w:rsidTr="002D39DC">
        <w:trPr>
          <w:trHeight w:val="863"/>
        </w:trPr>
        <w:tc>
          <w:tcPr>
            <w:tcW w:w="443" w:type="pct"/>
            <w:shd w:val="clear" w:color="auto" w:fill="auto"/>
            <w:hideMark/>
          </w:tcPr>
          <w:p w14:paraId="06D37C41" w14:textId="1D0A4A2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Abimbola et al </w:t>
            </w:r>
          </w:p>
        </w:tc>
        <w:tc>
          <w:tcPr>
            <w:tcW w:w="362" w:type="pct"/>
          </w:tcPr>
          <w:p w14:paraId="6EEE4A51" w14:textId="7706604D" w:rsidR="002D39DC" w:rsidRPr="00D24F48" w:rsidRDefault="00B80C34"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2016</w:t>
            </w:r>
          </w:p>
        </w:tc>
        <w:tc>
          <w:tcPr>
            <w:tcW w:w="458" w:type="pct"/>
            <w:shd w:val="clear" w:color="auto" w:fill="auto"/>
            <w:hideMark/>
          </w:tcPr>
          <w:p w14:paraId="7A5275E5" w14:textId="0055997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Nigeria </w:t>
            </w:r>
          </w:p>
        </w:tc>
        <w:tc>
          <w:tcPr>
            <w:tcW w:w="658" w:type="pct"/>
            <w:shd w:val="clear" w:color="auto" w:fill="auto"/>
            <w:hideMark/>
          </w:tcPr>
          <w:p w14:paraId="4881B971"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explore the minutes of committee meetings in Nigeria for how and under what circumstances committees influence the demand and supply of PHC services.</w:t>
            </w:r>
          </w:p>
        </w:tc>
        <w:tc>
          <w:tcPr>
            <w:tcW w:w="522" w:type="pct"/>
            <w:shd w:val="clear" w:color="auto" w:fill="auto"/>
            <w:hideMark/>
          </w:tcPr>
          <w:p w14:paraId="33B4099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1CE05154"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CHC provided opportunities for improving the demand and supply of health care in their community. </w:t>
            </w:r>
          </w:p>
          <w:p w14:paraId="649CBFD5"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Committees tend to promote collective action for self-support more than collective action for demanding accountability</w:t>
            </w:r>
          </w:p>
        </w:tc>
        <w:tc>
          <w:tcPr>
            <w:tcW w:w="1848" w:type="pct"/>
            <w:shd w:val="clear" w:color="auto" w:fill="auto"/>
            <w:hideMark/>
          </w:tcPr>
          <w:p w14:paraId="6C7830A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Committees demonstrate five modes of functioning: through meetings, reaching out within their community, lobbying governments for support, inducing, and augmenting government support and taking control of health care in their community. </w:t>
            </w:r>
          </w:p>
          <w:p w14:paraId="59F08F67"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CHC operate within and through the existing social, cultural, and religious structures of their community, providing an opportunity for the health facility with which they are linked to be responsive to the needs and values of the community. </w:t>
            </w:r>
          </w:p>
          <w:p w14:paraId="7CBA368F" w14:textId="662357DE"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committees have limited capacity to influence health facilities for improved performance, and governments. </w:t>
            </w:r>
          </w:p>
        </w:tc>
      </w:tr>
      <w:tr w:rsidR="002D39DC" w:rsidRPr="00D24F48" w14:paraId="0ED7A026" w14:textId="77777777" w:rsidTr="002D39DC">
        <w:trPr>
          <w:trHeight w:val="540"/>
        </w:trPr>
        <w:tc>
          <w:tcPr>
            <w:tcW w:w="443" w:type="pct"/>
            <w:shd w:val="clear" w:color="auto" w:fill="auto"/>
            <w:hideMark/>
          </w:tcPr>
          <w:p w14:paraId="44E12727" w14:textId="2ECA9E0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Cancedda</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677E10B6" w14:textId="178DC8F9" w:rsidR="002D39DC" w:rsidRPr="00D24F48" w:rsidRDefault="00B80C34"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2016</w:t>
            </w:r>
          </w:p>
        </w:tc>
        <w:tc>
          <w:tcPr>
            <w:tcW w:w="458" w:type="pct"/>
            <w:shd w:val="clear" w:color="auto" w:fill="auto"/>
            <w:hideMark/>
          </w:tcPr>
          <w:p w14:paraId="0CA7E939" w14:textId="46A5F39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Sierra Leone</w:t>
            </w:r>
          </w:p>
        </w:tc>
        <w:tc>
          <w:tcPr>
            <w:tcW w:w="658" w:type="pct"/>
            <w:shd w:val="clear" w:color="auto" w:fill="auto"/>
            <w:hideMark/>
          </w:tcPr>
          <w:p w14:paraId="20AAF252"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outline strategic choices made, the guiding principles implemented, the activities pursued, and the lessons learned during Partners in Health (PIH) participation in the emergency Ebola response.</w:t>
            </w:r>
          </w:p>
        </w:tc>
        <w:tc>
          <w:tcPr>
            <w:tcW w:w="522" w:type="pct"/>
            <w:shd w:val="clear" w:color="auto" w:fill="auto"/>
            <w:hideMark/>
          </w:tcPr>
          <w:p w14:paraId="591EF99F"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145B2DB1" w14:textId="77777777" w:rsidR="002D39DC" w:rsidRPr="00D24F48" w:rsidRDefault="002D39DC" w:rsidP="002118C7">
            <w:pPr>
              <w:pStyle w:val="ListParagraph"/>
              <w:numPr>
                <w:ilvl w:val="0"/>
                <w:numId w:val="2"/>
              </w:numPr>
              <w:spacing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international NGO (PIH) partnered with the Government of Sierra Leone and </w:t>
            </w:r>
            <w:proofErr w:type="spellStart"/>
            <w:r w:rsidRPr="00D24F48">
              <w:rPr>
                <w:rFonts w:ascii="Times New Roman" w:eastAsia="Times New Roman" w:hAnsi="Times New Roman" w:cs="Times New Roman"/>
                <w:color w:val="000000"/>
                <w:sz w:val="20"/>
                <w:szCs w:val="20"/>
                <w:lang w:val="en-AU" w:eastAsia="en-AU"/>
              </w:rPr>
              <w:t>Wellbody</w:t>
            </w:r>
            <w:proofErr w:type="spellEnd"/>
            <w:r w:rsidRPr="00D24F48">
              <w:rPr>
                <w:rFonts w:ascii="Times New Roman" w:eastAsia="Times New Roman" w:hAnsi="Times New Roman" w:cs="Times New Roman"/>
                <w:color w:val="000000"/>
                <w:sz w:val="20"/>
                <w:szCs w:val="20"/>
                <w:lang w:val="en-AU" w:eastAsia="en-AU"/>
              </w:rPr>
              <w:t xml:space="preserve"> Alliance to respond to the EVD epidemic.</w:t>
            </w:r>
          </w:p>
          <w:p w14:paraId="08F4AC7B"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2D89A19C" w14:textId="77777777" w:rsidR="002D39DC" w:rsidRPr="00D24F48" w:rsidRDefault="002D39DC" w:rsidP="002118C7">
            <w:pPr>
              <w:pStyle w:val="ListParagraph"/>
              <w:numPr>
                <w:ilvl w:val="0"/>
                <w:numId w:val="1"/>
              </w:numPr>
              <w:spacing w:line="240" w:lineRule="auto"/>
              <w:rPr>
                <w:rFonts w:ascii="Times New Roman" w:hAnsi="Times New Roman" w:cs="Times New Roman"/>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PIH is partnering with the public sector to strengthen the health system and resume delivery of regular health services. </w:t>
            </w:r>
          </w:p>
          <w:p w14:paraId="1409969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PIH's experience in Sierra Leone is one of multiple partnerships with different stakeholders. </w:t>
            </w:r>
          </w:p>
          <w:p w14:paraId="4EE4070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rapid deployment of expatriate clinicians and logistics personnel in health facilities required to deliver health services effectively and safely. </w:t>
            </w:r>
          </w:p>
          <w:p w14:paraId="1CEEC3BB" w14:textId="06BBD1A9"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Lessons learned by PIH, and its partners can contribute to the ongoing discussion within the international community on how to ensure emergency preparedness and build resilient health systems in settings without either. </w:t>
            </w:r>
          </w:p>
        </w:tc>
      </w:tr>
      <w:tr w:rsidR="002D39DC" w:rsidRPr="00D24F48" w14:paraId="06BDDFC3" w14:textId="77777777" w:rsidTr="002D39DC">
        <w:trPr>
          <w:trHeight w:val="540"/>
        </w:trPr>
        <w:tc>
          <w:tcPr>
            <w:tcW w:w="443" w:type="pct"/>
            <w:shd w:val="clear" w:color="auto" w:fill="auto"/>
            <w:hideMark/>
          </w:tcPr>
          <w:p w14:paraId="012782A9" w14:textId="2E1CEAF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Freeman et al </w:t>
            </w:r>
          </w:p>
        </w:tc>
        <w:tc>
          <w:tcPr>
            <w:tcW w:w="362" w:type="pct"/>
          </w:tcPr>
          <w:p w14:paraId="357C09E3" w14:textId="3563C183" w:rsidR="002D39DC" w:rsidRPr="00D24F48" w:rsidRDefault="00B80C34"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2016</w:t>
            </w:r>
          </w:p>
        </w:tc>
        <w:tc>
          <w:tcPr>
            <w:tcW w:w="458" w:type="pct"/>
            <w:shd w:val="clear" w:color="auto" w:fill="auto"/>
            <w:hideMark/>
          </w:tcPr>
          <w:p w14:paraId="63CC515A" w14:textId="6A540CC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Australia </w:t>
            </w:r>
          </w:p>
        </w:tc>
        <w:tc>
          <w:tcPr>
            <w:tcW w:w="658" w:type="pct"/>
            <w:shd w:val="clear" w:color="auto" w:fill="auto"/>
            <w:hideMark/>
          </w:tcPr>
          <w:p w14:paraId="3059E03C"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explore the strengths and threats of the ACCHS as a comprehensive PHC model for UHC </w:t>
            </w:r>
          </w:p>
        </w:tc>
        <w:tc>
          <w:tcPr>
            <w:tcW w:w="522" w:type="pct"/>
            <w:shd w:val="clear" w:color="auto" w:fill="auto"/>
            <w:hideMark/>
          </w:tcPr>
          <w:p w14:paraId="02FC2A61" w14:textId="714252EE"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1EF270C8"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ACCHS contributed to multiple fonts </w:t>
            </w:r>
          </w:p>
        </w:tc>
        <w:tc>
          <w:tcPr>
            <w:tcW w:w="1848" w:type="pct"/>
            <w:shd w:val="clear" w:color="auto" w:fill="auto"/>
            <w:hideMark/>
          </w:tcPr>
          <w:p w14:paraId="55DD5C3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More impressive outcomes in several areas-multidisciplinary work, community participation, cultural respect and accessibility strategies, preventive and promotive work, and advocacy and intersectoral collaboration on SDH-at the ACCHS compared to the other participating South Australian services. </w:t>
            </w:r>
          </w:p>
          <w:p w14:paraId="28274CE6" w14:textId="6E670134"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community-controlled model of CPHC deserves attention as a promising form of implementation of UHC by articulating a model of care based on health as a human right that pursues the goal of health equity. </w:t>
            </w:r>
          </w:p>
        </w:tc>
      </w:tr>
      <w:tr w:rsidR="002D39DC" w:rsidRPr="00D24F48" w14:paraId="0203A2B1" w14:textId="77777777" w:rsidTr="002D39DC">
        <w:trPr>
          <w:trHeight w:val="540"/>
        </w:trPr>
        <w:tc>
          <w:tcPr>
            <w:tcW w:w="443" w:type="pct"/>
            <w:shd w:val="clear" w:color="auto" w:fill="auto"/>
            <w:hideMark/>
          </w:tcPr>
          <w:p w14:paraId="3D3DE4E7" w14:textId="266F456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Sandall et al</w:t>
            </w:r>
          </w:p>
        </w:tc>
        <w:tc>
          <w:tcPr>
            <w:tcW w:w="362" w:type="pct"/>
          </w:tcPr>
          <w:p w14:paraId="35FBF174" w14:textId="4F039C40" w:rsidR="002D39DC" w:rsidRPr="00D24F48" w:rsidRDefault="00B80C34"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2016</w:t>
            </w:r>
          </w:p>
        </w:tc>
        <w:tc>
          <w:tcPr>
            <w:tcW w:w="458" w:type="pct"/>
            <w:shd w:val="clear" w:color="auto" w:fill="auto"/>
            <w:hideMark/>
          </w:tcPr>
          <w:p w14:paraId="0A833A14" w14:textId="7294152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not specified </w:t>
            </w:r>
          </w:p>
        </w:tc>
        <w:tc>
          <w:tcPr>
            <w:tcW w:w="658" w:type="pct"/>
            <w:shd w:val="clear" w:color="auto" w:fill="auto"/>
            <w:hideMark/>
          </w:tcPr>
          <w:p w14:paraId="6757C1AB"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compare midwife‐led continuity models of care with other models of care for childbearing women and their infants. </w:t>
            </w:r>
          </w:p>
        </w:tc>
        <w:tc>
          <w:tcPr>
            <w:tcW w:w="522" w:type="pct"/>
            <w:shd w:val="clear" w:color="auto" w:fill="auto"/>
            <w:hideMark/>
          </w:tcPr>
          <w:p w14:paraId="2CADA400" w14:textId="48E5F17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1C79568A"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Models of care, midwifery lead care is effective  </w:t>
            </w:r>
          </w:p>
          <w:p w14:paraId="75F9AAFF"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0621E1B1"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Fewer women had episiotomies or instrumental births and increased spontaneous vaginal birth. </w:t>
            </w:r>
          </w:p>
          <w:p w14:paraId="5CDBE9E3"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Women were less likely to experience preterm birth, lower risk of losing their babies, and more cared for in labour by midwives.  </w:t>
            </w:r>
          </w:p>
          <w:p w14:paraId="7BA8983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No adverse effects identified compared with other models and women offered ‘midwife-led continuity of care’, and had benefits for women and babies, and we have identified no adverse effects. </w:t>
            </w:r>
          </w:p>
          <w:p w14:paraId="0DE414EE" w14:textId="00A62CAB"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women who received midwife-led continuity models of care were less likely to experience intervention and more likely to be satisfied with their care with at least comparable adverse outcomes for women or their infants than women who received other models of care </w:t>
            </w:r>
          </w:p>
        </w:tc>
      </w:tr>
      <w:tr w:rsidR="002D39DC" w:rsidRPr="00D24F48" w14:paraId="086306C4" w14:textId="77777777" w:rsidTr="002D39DC">
        <w:trPr>
          <w:trHeight w:val="540"/>
        </w:trPr>
        <w:tc>
          <w:tcPr>
            <w:tcW w:w="443" w:type="pct"/>
            <w:shd w:val="clear" w:color="auto" w:fill="auto"/>
            <w:hideMark/>
          </w:tcPr>
          <w:p w14:paraId="60850490" w14:textId="15C625F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Shaw et al  </w:t>
            </w:r>
          </w:p>
        </w:tc>
        <w:tc>
          <w:tcPr>
            <w:tcW w:w="362" w:type="pct"/>
          </w:tcPr>
          <w:p w14:paraId="209C85AC" w14:textId="588E1F09" w:rsidR="002D39DC" w:rsidRPr="00D24F48" w:rsidRDefault="00B80C34"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2016</w:t>
            </w:r>
          </w:p>
        </w:tc>
        <w:tc>
          <w:tcPr>
            <w:tcW w:w="458" w:type="pct"/>
            <w:shd w:val="clear" w:color="auto" w:fill="auto"/>
            <w:hideMark/>
          </w:tcPr>
          <w:p w14:paraId="6A0D0538" w14:textId="1D6AADD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Ethiopia </w:t>
            </w:r>
          </w:p>
        </w:tc>
        <w:tc>
          <w:tcPr>
            <w:tcW w:w="658" w:type="pct"/>
            <w:shd w:val="clear" w:color="auto" w:fill="auto"/>
            <w:hideMark/>
          </w:tcPr>
          <w:p w14:paraId="108E1E52"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To elicits perceptions and experiences of caregivers to better understand reasons for low utilization of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services</w:t>
            </w:r>
          </w:p>
        </w:tc>
        <w:tc>
          <w:tcPr>
            <w:tcW w:w="522" w:type="pct"/>
            <w:shd w:val="clear" w:color="auto" w:fill="auto"/>
            <w:hideMark/>
          </w:tcPr>
          <w:p w14:paraId="372DF5A0" w14:textId="1C90CD9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7934B9B0"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Facilitators and barriers of HEWs program </w:t>
            </w:r>
          </w:p>
        </w:tc>
        <w:tc>
          <w:tcPr>
            <w:tcW w:w="1848" w:type="pct"/>
            <w:shd w:val="clear" w:color="auto" w:fill="auto"/>
            <w:hideMark/>
          </w:tcPr>
          <w:p w14:paraId="76C4887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lack of availability of HEWs at the health post was one of the most common barriers to the utilization of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services mentioned by caregivers. </w:t>
            </w:r>
          </w:p>
          <w:p w14:paraId="6CB48DC1"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Financial and geographic challenges continue to influence caregiver decisions despite extension of free child health services in communities, and potentially resulting in low demand for services</w:t>
            </w:r>
          </w:p>
          <w:p w14:paraId="65AF126F" w14:textId="2C92FB0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Social networks acted to facilitate use of HEWs and mothers stated a preference for using the health post. </w:t>
            </w:r>
          </w:p>
        </w:tc>
      </w:tr>
      <w:tr w:rsidR="002D39DC" w:rsidRPr="00D24F48" w14:paraId="54EAE788" w14:textId="77777777" w:rsidTr="002D39DC">
        <w:trPr>
          <w:trHeight w:val="540"/>
        </w:trPr>
        <w:tc>
          <w:tcPr>
            <w:tcW w:w="443" w:type="pct"/>
            <w:shd w:val="clear" w:color="auto" w:fill="auto"/>
          </w:tcPr>
          <w:p w14:paraId="5A0749E5" w14:textId="6DAB01E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Khatri et al </w:t>
            </w:r>
          </w:p>
        </w:tc>
        <w:tc>
          <w:tcPr>
            <w:tcW w:w="362" w:type="pct"/>
          </w:tcPr>
          <w:p w14:paraId="173ED71B" w14:textId="7B62EA51" w:rsidR="002D39DC" w:rsidRPr="00D24F48" w:rsidRDefault="00B80C34"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2017</w:t>
            </w:r>
          </w:p>
        </w:tc>
        <w:tc>
          <w:tcPr>
            <w:tcW w:w="458" w:type="pct"/>
            <w:shd w:val="clear" w:color="auto" w:fill="auto"/>
          </w:tcPr>
          <w:p w14:paraId="64AAB4F9" w14:textId="2FC0EC8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Nepal </w:t>
            </w:r>
          </w:p>
        </w:tc>
        <w:tc>
          <w:tcPr>
            <w:tcW w:w="658" w:type="pct"/>
            <w:shd w:val="clear" w:color="auto" w:fill="auto"/>
          </w:tcPr>
          <w:p w14:paraId="03EDAC0C"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review their contribution, challenges and </w:t>
            </w:r>
            <w:r w:rsidRPr="00D24F48">
              <w:rPr>
                <w:rFonts w:ascii="Times New Roman" w:eastAsia="Times New Roman" w:hAnsi="Times New Roman" w:cs="Times New Roman"/>
                <w:color w:val="000000"/>
                <w:sz w:val="20"/>
                <w:szCs w:val="20"/>
                <w:lang w:val="en-AU" w:eastAsia="en-AU"/>
              </w:rPr>
              <w:lastRenderedPageBreak/>
              <w:t>recommend an integrated FCHV program model to support in the implementation of the community-based health interventions effectively</w:t>
            </w:r>
          </w:p>
        </w:tc>
        <w:tc>
          <w:tcPr>
            <w:tcW w:w="522" w:type="pct"/>
            <w:shd w:val="clear" w:color="auto" w:fill="auto"/>
          </w:tcPr>
          <w:p w14:paraId="4FEDF7F0"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Review </w:t>
            </w:r>
          </w:p>
        </w:tc>
        <w:tc>
          <w:tcPr>
            <w:tcW w:w="709" w:type="pct"/>
            <w:shd w:val="clear" w:color="auto" w:fill="auto"/>
          </w:tcPr>
          <w:p w14:paraId="774D9923"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Contribution of FCHVs in </w:t>
            </w:r>
            <w:r w:rsidRPr="00D24F48">
              <w:rPr>
                <w:rFonts w:ascii="Times New Roman" w:eastAsia="Times New Roman" w:hAnsi="Times New Roman" w:cs="Times New Roman"/>
                <w:color w:val="000000"/>
                <w:sz w:val="20"/>
                <w:szCs w:val="20"/>
                <w:lang w:val="en-AU" w:eastAsia="en-AU"/>
              </w:rPr>
              <w:lastRenderedPageBreak/>
              <w:t>community health programs</w:t>
            </w:r>
          </w:p>
        </w:tc>
        <w:tc>
          <w:tcPr>
            <w:tcW w:w="1848" w:type="pct"/>
            <w:shd w:val="clear" w:color="auto" w:fill="auto"/>
          </w:tcPr>
          <w:p w14:paraId="76F8C394"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Female Community Health Volunteers are frontline pillars of community-based health programs in Nepal. </w:t>
            </w:r>
          </w:p>
          <w:p w14:paraId="40740C5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They have been successful in making a significant contribution to various community-based maternal and child programs in various capacities as health promoters, dispensers, and service providers.</w:t>
            </w:r>
          </w:p>
          <w:p w14:paraId="3F09232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the fragmented roles of FCHV program need to be reorganized comprehensively, structurally, and programmatically.</w:t>
            </w:r>
          </w:p>
          <w:p w14:paraId="5C96F4B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crucial for the health authorities to craft an integrated FCHV program model and remove/merge the duplicated roles in various community-based maternal and child health programs. </w:t>
            </w:r>
          </w:p>
          <w:p w14:paraId="26383235" w14:textId="1DB5EBF0"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An integrated FCHV program can be cost effective community-based program package, which can increase FCHVs’ productivity </w:t>
            </w:r>
          </w:p>
        </w:tc>
      </w:tr>
      <w:tr w:rsidR="002D39DC" w:rsidRPr="00D24F48" w14:paraId="2E99ABA5" w14:textId="77777777" w:rsidTr="002D39DC">
        <w:trPr>
          <w:trHeight w:val="540"/>
        </w:trPr>
        <w:tc>
          <w:tcPr>
            <w:tcW w:w="443" w:type="pct"/>
            <w:shd w:val="clear" w:color="auto" w:fill="auto"/>
            <w:hideMark/>
          </w:tcPr>
          <w:p w14:paraId="52C122CC" w14:textId="54756D0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Kitutu et al </w:t>
            </w:r>
          </w:p>
        </w:tc>
        <w:tc>
          <w:tcPr>
            <w:tcW w:w="362" w:type="pct"/>
          </w:tcPr>
          <w:p w14:paraId="79CFBD3E" w14:textId="564D37D1" w:rsidR="002D39DC" w:rsidRPr="00D24F48" w:rsidRDefault="00DC575F"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2017</w:t>
            </w:r>
          </w:p>
        </w:tc>
        <w:tc>
          <w:tcPr>
            <w:tcW w:w="458" w:type="pct"/>
            <w:shd w:val="clear" w:color="auto" w:fill="auto"/>
            <w:hideMark/>
          </w:tcPr>
          <w:p w14:paraId="5660D682" w14:textId="60CED50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Uganda </w:t>
            </w:r>
          </w:p>
        </w:tc>
        <w:tc>
          <w:tcPr>
            <w:tcW w:w="658" w:type="pct"/>
            <w:shd w:val="clear" w:color="auto" w:fill="auto"/>
            <w:hideMark/>
          </w:tcPr>
          <w:p w14:paraId="5C12105E"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examine the processes of drug shop intervention culminated in positive unintended effects.</w:t>
            </w:r>
          </w:p>
        </w:tc>
        <w:tc>
          <w:tcPr>
            <w:tcW w:w="522" w:type="pct"/>
            <w:shd w:val="clear" w:color="auto" w:fill="auto"/>
            <w:hideMark/>
          </w:tcPr>
          <w:p w14:paraId="3C0AC981" w14:textId="428D3D3E"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04E12E29"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Private sector involvement in ICCM </w:t>
            </w:r>
          </w:p>
        </w:tc>
        <w:tc>
          <w:tcPr>
            <w:tcW w:w="1848" w:type="pct"/>
            <w:shd w:val="clear" w:color="auto" w:fill="auto"/>
            <w:hideMark/>
          </w:tcPr>
          <w:p w14:paraId="4DB49BA2"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improved drug shop standards, enabled drug shops to embrace patient record keeping, parasite-based treatment of malaria and appropriate medicine use, improved supportive supervision, and better compliance to licensing and other regulatory requirements.</w:t>
            </w:r>
          </w:p>
          <w:p w14:paraId="24C36D4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enhanced drug seller legitimacy from the community and client perspective, leading to improved trust in drug shops.  </w:t>
            </w:r>
          </w:p>
          <w:p w14:paraId="7844AF1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using health technologies and the perceived efficacy of medicines contributed to improved legitimacy and trust in drug shops among stakeholders.  </w:t>
            </w:r>
          </w:p>
          <w:p w14:paraId="7DFEAF58" w14:textId="3114AA70"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using a combination of appropriate incentives and consumer empowerment strategies can help harmonise common practices with medicine regulations in mixed health market contexts. </w:t>
            </w:r>
          </w:p>
        </w:tc>
      </w:tr>
      <w:tr w:rsidR="002D39DC" w:rsidRPr="00D24F48" w14:paraId="67BFB98C" w14:textId="77777777" w:rsidTr="002D39DC">
        <w:trPr>
          <w:trHeight w:val="540"/>
        </w:trPr>
        <w:tc>
          <w:tcPr>
            <w:tcW w:w="443" w:type="pct"/>
            <w:shd w:val="clear" w:color="auto" w:fill="auto"/>
            <w:hideMark/>
          </w:tcPr>
          <w:p w14:paraId="585AA957" w14:textId="37E3E16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Mays et al </w:t>
            </w:r>
          </w:p>
        </w:tc>
        <w:tc>
          <w:tcPr>
            <w:tcW w:w="362" w:type="pct"/>
          </w:tcPr>
          <w:p w14:paraId="440D98E8" w14:textId="6B6342DC" w:rsidR="002D39DC" w:rsidRPr="00D24F48" w:rsidRDefault="00DC575F"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2017</w:t>
            </w:r>
          </w:p>
        </w:tc>
        <w:tc>
          <w:tcPr>
            <w:tcW w:w="458" w:type="pct"/>
            <w:shd w:val="clear" w:color="auto" w:fill="auto"/>
            <w:hideMark/>
          </w:tcPr>
          <w:p w14:paraId="291F44A0" w14:textId="319BE0D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Uganda </w:t>
            </w:r>
          </w:p>
        </w:tc>
        <w:tc>
          <w:tcPr>
            <w:tcW w:w="658" w:type="pct"/>
            <w:shd w:val="clear" w:color="auto" w:fill="auto"/>
            <w:hideMark/>
          </w:tcPr>
          <w:p w14:paraId="2F9875AF"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examine the support needs and existing challenges of VHTs in Uganda and evaluated specific factors </w:t>
            </w:r>
            <w:r w:rsidRPr="00D24F48">
              <w:rPr>
                <w:rFonts w:ascii="Times New Roman" w:eastAsia="Times New Roman" w:hAnsi="Times New Roman" w:cs="Times New Roman"/>
                <w:color w:val="000000"/>
                <w:sz w:val="20"/>
                <w:szCs w:val="20"/>
                <w:lang w:val="en-AU" w:eastAsia="en-AU"/>
              </w:rPr>
              <w:lastRenderedPageBreak/>
              <w:t>associated with long-term retention.</w:t>
            </w:r>
          </w:p>
        </w:tc>
        <w:tc>
          <w:tcPr>
            <w:tcW w:w="522" w:type="pct"/>
            <w:shd w:val="clear" w:color="auto" w:fill="auto"/>
            <w:hideMark/>
          </w:tcPr>
          <w:p w14:paraId="06E77FF6" w14:textId="5B14E39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Mm study  </w:t>
            </w:r>
          </w:p>
        </w:tc>
        <w:tc>
          <w:tcPr>
            <w:tcW w:w="709" w:type="pct"/>
            <w:shd w:val="clear" w:color="auto" w:fill="auto"/>
            <w:hideMark/>
          </w:tcPr>
          <w:p w14:paraId="7A24BB7B"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Village Health Teams (VHTs) improve equity in basic health services </w:t>
            </w:r>
          </w:p>
        </w:tc>
        <w:tc>
          <w:tcPr>
            <w:tcW w:w="1848" w:type="pct"/>
            <w:shd w:val="clear" w:color="auto" w:fill="auto"/>
            <w:hideMark/>
          </w:tcPr>
          <w:p w14:paraId="6E3969F2"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VHTs desire additional support in the forms of money (e.g., transportation allowance) and material supplies (e.g., rubber boots). </w:t>
            </w:r>
          </w:p>
          <w:p w14:paraId="2BA26A51"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VHTs commonly report difficult working conditions and describe a lack of respect (communities and other health workers).</w:t>
            </w:r>
          </w:p>
          <w:p w14:paraId="10D57394" w14:textId="00DB56AB"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building stronger partnerships between VHTs and other health workers and regularly providing supplies and transportation allowances could support and retain VHTs. </w:t>
            </w:r>
          </w:p>
        </w:tc>
      </w:tr>
      <w:tr w:rsidR="002D39DC" w:rsidRPr="00D24F48" w14:paraId="3830FE9A" w14:textId="77777777" w:rsidTr="002D39DC">
        <w:trPr>
          <w:trHeight w:val="540"/>
        </w:trPr>
        <w:tc>
          <w:tcPr>
            <w:tcW w:w="443" w:type="pct"/>
            <w:shd w:val="clear" w:color="auto" w:fill="auto"/>
            <w:hideMark/>
          </w:tcPr>
          <w:p w14:paraId="413E2652" w14:textId="3C4C34E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Perry et al</w:t>
            </w:r>
          </w:p>
        </w:tc>
        <w:tc>
          <w:tcPr>
            <w:tcW w:w="362" w:type="pct"/>
          </w:tcPr>
          <w:p w14:paraId="6E17C506" w14:textId="5A08EE60" w:rsidR="002D39DC" w:rsidRPr="00D24F48" w:rsidRDefault="00DC575F"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2017</w:t>
            </w:r>
          </w:p>
        </w:tc>
        <w:tc>
          <w:tcPr>
            <w:tcW w:w="458" w:type="pct"/>
            <w:shd w:val="clear" w:color="auto" w:fill="auto"/>
            <w:hideMark/>
          </w:tcPr>
          <w:p w14:paraId="0850F84D" w14:textId="58AFDF5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Bangladesh, Haiti, India </w:t>
            </w:r>
          </w:p>
        </w:tc>
        <w:tc>
          <w:tcPr>
            <w:tcW w:w="658" w:type="pct"/>
            <w:shd w:val="clear" w:color="auto" w:fill="auto"/>
            <w:hideMark/>
          </w:tcPr>
          <w:p w14:paraId="255253A7"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describe the features of projects with more than one intervention that have evidence of long–term impact on MNCH</w:t>
            </w:r>
          </w:p>
        </w:tc>
        <w:tc>
          <w:tcPr>
            <w:tcW w:w="522" w:type="pct"/>
            <w:shd w:val="clear" w:color="auto" w:fill="auto"/>
            <w:hideMark/>
          </w:tcPr>
          <w:p w14:paraId="625FF18D" w14:textId="526AF5C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15C29DCB" w14:textId="331741BF"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Matlab</w:t>
            </w:r>
            <w:proofErr w:type="spellEnd"/>
            <w:r w:rsidRPr="00D24F48">
              <w:rPr>
                <w:rFonts w:ascii="Times New Roman" w:eastAsia="Times New Roman" w:hAnsi="Times New Roman" w:cs="Times New Roman"/>
                <w:color w:val="000000"/>
                <w:sz w:val="20"/>
                <w:szCs w:val="20"/>
                <w:lang w:val="en-AU" w:eastAsia="en-AU"/>
              </w:rPr>
              <w:t xml:space="preserve"> Bangladesh.  </w:t>
            </w:r>
            <w:proofErr w:type="spellStart"/>
            <w:r w:rsidRPr="00D24F48">
              <w:rPr>
                <w:rFonts w:ascii="Times New Roman" w:eastAsia="Times New Roman" w:hAnsi="Times New Roman" w:cs="Times New Roman"/>
                <w:color w:val="000000"/>
                <w:sz w:val="20"/>
                <w:szCs w:val="20"/>
                <w:lang w:val="en-AU" w:eastAsia="en-AU"/>
              </w:rPr>
              <w:t>Hôpital</w:t>
            </w:r>
            <w:proofErr w:type="spellEnd"/>
            <w:r w:rsidRPr="00D24F48">
              <w:rPr>
                <w:rFonts w:ascii="Times New Roman" w:eastAsia="Times New Roman" w:hAnsi="Times New Roman" w:cs="Times New Roman"/>
                <w:color w:val="000000"/>
                <w:sz w:val="20"/>
                <w:szCs w:val="20"/>
                <w:lang w:val="en-AU" w:eastAsia="en-AU"/>
              </w:rPr>
              <w:t xml:space="preserve"> Albert Schweitzer in </w:t>
            </w:r>
            <w:proofErr w:type="spellStart"/>
            <w:r w:rsidRPr="00D24F48">
              <w:rPr>
                <w:rFonts w:ascii="Times New Roman" w:eastAsia="Times New Roman" w:hAnsi="Times New Roman" w:cs="Times New Roman"/>
                <w:color w:val="000000"/>
                <w:sz w:val="20"/>
                <w:szCs w:val="20"/>
                <w:lang w:val="en-AU" w:eastAsia="en-AU"/>
              </w:rPr>
              <w:t>Deschapelles</w:t>
            </w:r>
            <w:proofErr w:type="spellEnd"/>
            <w:r w:rsidRPr="00D24F48">
              <w:rPr>
                <w:rFonts w:ascii="Times New Roman" w:eastAsia="Times New Roman" w:hAnsi="Times New Roman" w:cs="Times New Roman"/>
                <w:color w:val="000000"/>
                <w:sz w:val="20"/>
                <w:szCs w:val="20"/>
                <w:lang w:val="en-AU" w:eastAsia="en-AU"/>
              </w:rPr>
              <w:t xml:space="preserve">, Haiti. </w:t>
            </w:r>
          </w:p>
          <w:p w14:paraId="662C39FA" w14:textId="1E4217E0"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India: Comprehensive Rural Health Project in </w:t>
            </w:r>
            <w:proofErr w:type="spellStart"/>
            <w:r w:rsidRPr="00D24F48">
              <w:rPr>
                <w:rFonts w:ascii="Times New Roman" w:eastAsia="Times New Roman" w:hAnsi="Times New Roman" w:cs="Times New Roman"/>
                <w:color w:val="000000"/>
                <w:sz w:val="20"/>
                <w:szCs w:val="20"/>
                <w:lang w:val="en-AU" w:eastAsia="en-AU"/>
              </w:rPr>
              <w:t>Jamkhed</w:t>
            </w:r>
            <w:proofErr w:type="spellEnd"/>
            <w:r w:rsidRPr="00D24F48">
              <w:rPr>
                <w:rFonts w:ascii="Times New Roman" w:eastAsia="Times New Roman" w:hAnsi="Times New Roman" w:cs="Times New Roman"/>
                <w:color w:val="000000"/>
                <w:sz w:val="20"/>
                <w:szCs w:val="20"/>
                <w:lang w:val="en-AU" w:eastAsia="en-AU"/>
              </w:rPr>
              <w:t xml:space="preserve"> </w:t>
            </w:r>
            <w:proofErr w:type="spellStart"/>
            <w:r w:rsidRPr="00D24F48">
              <w:rPr>
                <w:rFonts w:ascii="Times New Roman" w:eastAsia="Times New Roman" w:hAnsi="Times New Roman" w:cs="Times New Roman"/>
                <w:color w:val="000000"/>
                <w:sz w:val="20"/>
                <w:szCs w:val="20"/>
                <w:lang w:val="en-AU" w:eastAsia="en-AU"/>
              </w:rPr>
              <w:t>Gadchiroli</w:t>
            </w:r>
            <w:proofErr w:type="spellEnd"/>
            <w:r w:rsidRPr="00D24F48">
              <w:rPr>
                <w:rFonts w:ascii="Times New Roman" w:eastAsia="Times New Roman" w:hAnsi="Times New Roman" w:cs="Times New Roman"/>
                <w:color w:val="000000"/>
                <w:sz w:val="20"/>
                <w:szCs w:val="20"/>
                <w:lang w:val="en-AU" w:eastAsia="en-AU"/>
              </w:rPr>
              <w:t>.</w:t>
            </w:r>
          </w:p>
        </w:tc>
        <w:tc>
          <w:tcPr>
            <w:tcW w:w="1848" w:type="pct"/>
            <w:shd w:val="clear" w:color="auto" w:fill="auto"/>
            <w:hideMark/>
          </w:tcPr>
          <w:p w14:paraId="49B925BA"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They all have demonstrated reductions in child mortality. </w:t>
            </w:r>
          </w:p>
          <w:p w14:paraId="5EE93EB7"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Provided strong community–based programs comprehensive maternal, child health and family planning services, </w:t>
            </w:r>
          </w:p>
          <w:p w14:paraId="6D1776AF" w14:textId="6F7F264B"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Utilised CHWs who maintain regular contact with all households, developed strong collaborations with the communities they serve, and referral capabilities and provide first–level hospital care</w:t>
            </w:r>
          </w:p>
        </w:tc>
      </w:tr>
      <w:tr w:rsidR="002D39DC" w:rsidRPr="00D24F48" w14:paraId="5F4BB16D" w14:textId="77777777" w:rsidTr="002D39DC">
        <w:trPr>
          <w:trHeight w:val="540"/>
        </w:trPr>
        <w:tc>
          <w:tcPr>
            <w:tcW w:w="443" w:type="pct"/>
            <w:shd w:val="clear" w:color="auto" w:fill="auto"/>
            <w:hideMark/>
          </w:tcPr>
          <w:p w14:paraId="4AA42A7E" w14:textId="5295F94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Seidman et al </w:t>
            </w:r>
          </w:p>
        </w:tc>
        <w:tc>
          <w:tcPr>
            <w:tcW w:w="362" w:type="pct"/>
          </w:tcPr>
          <w:p w14:paraId="761C2B25" w14:textId="23ADCDD7" w:rsidR="002D39DC" w:rsidRPr="00D24F48" w:rsidRDefault="00DC575F"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2017</w:t>
            </w:r>
          </w:p>
        </w:tc>
        <w:tc>
          <w:tcPr>
            <w:tcW w:w="458" w:type="pct"/>
            <w:shd w:val="clear" w:color="auto" w:fill="auto"/>
            <w:hideMark/>
          </w:tcPr>
          <w:p w14:paraId="16FF07BB" w14:textId="20EE6EC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LMICs</w:t>
            </w:r>
          </w:p>
        </w:tc>
        <w:tc>
          <w:tcPr>
            <w:tcW w:w="658" w:type="pct"/>
            <w:shd w:val="clear" w:color="auto" w:fill="auto"/>
            <w:hideMark/>
          </w:tcPr>
          <w:p w14:paraId="50D8503F"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To investigate whether task shifting in LMICs results in efficiency improvements</w:t>
            </w:r>
          </w:p>
        </w:tc>
        <w:tc>
          <w:tcPr>
            <w:tcW w:w="522" w:type="pct"/>
            <w:shd w:val="clear" w:color="auto" w:fill="auto"/>
            <w:hideMark/>
          </w:tcPr>
          <w:p w14:paraId="158B6D6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Systematic review</w:t>
            </w:r>
          </w:p>
        </w:tc>
        <w:tc>
          <w:tcPr>
            <w:tcW w:w="709" w:type="pct"/>
            <w:shd w:val="clear" w:color="auto" w:fill="auto"/>
            <w:hideMark/>
          </w:tcPr>
          <w:p w14:paraId="20F0230B"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Cost saving and efficiency through task shifting </w:t>
            </w:r>
          </w:p>
        </w:tc>
        <w:tc>
          <w:tcPr>
            <w:tcW w:w="1848" w:type="pct"/>
            <w:shd w:val="clear" w:color="auto" w:fill="auto"/>
            <w:hideMark/>
          </w:tcPr>
          <w:p w14:paraId="377D19B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substantial evidence exists for achieving cost savings and efficiency improvements from task shifting activities related to tuberculosis and HIV/AIDS, related to malaria, NCDs, NTDs, childhood illness, and other disease areas at the PHC and community levels. </w:t>
            </w:r>
          </w:p>
          <w:p w14:paraId="554F53B9" w14:textId="689ABDE5"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Task shifting presents a viable option for health system cost savings in LMICs. </w:t>
            </w:r>
          </w:p>
        </w:tc>
      </w:tr>
      <w:tr w:rsidR="002D39DC" w:rsidRPr="00D24F48" w14:paraId="4A5A6E44" w14:textId="77777777" w:rsidTr="002D39DC">
        <w:trPr>
          <w:trHeight w:val="540"/>
        </w:trPr>
        <w:tc>
          <w:tcPr>
            <w:tcW w:w="443" w:type="pct"/>
            <w:shd w:val="clear" w:color="auto" w:fill="auto"/>
            <w:hideMark/>
          </w:tcPr>
          <w:p w14:paraId="75E29EE7" w14:textId="5E89DD1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Siekmans</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4A981958" w14:textId="5DBE7956" w:rsidR="002D39DC" w:rsidRPr="00D24F48" w:rsidRDefault="00DC575F"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2017</w:t>
            </w:r>
          </w:p>
        </w:tc>
        <w:tc>
          <w:tcPr>
            <w:tcW w:w="458" w:type="pct"/>
            <w:shd w:val="clear" w:color="auto" w:fill="auto"/>
            <w:hideMark/>
          </w:tcPr>
          <w:p w14:paraId="11F6EADF" w14:textId="31B0116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Liberia </w:t>
            </w:r>
          </w:p>
        </w:tc>
        <w:tc>
          <w:tcPr>
            <w:tcW w:w="658" w:type="pct"/>
            <w:shd w:val="clear" w:color="auto" w:fill="auto"/>
            <w:hideMark/>
          </w:tcPr>
          <w:p w14:paraId="489D36AB"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examines the value of a community-based health system in ensuring continued treatment of child illnesses during the outbreak and the role that CHWs had in Ebola prevention activities.</w:t>
            </w:r>
          </w:p>
        </w:tc>
        <w:tc>
          <w:tcPr>
            <w:tcW w:w="522" w:type="pct"/>
            <w:shd w:val="clear" w:color="auto" w:fill="auto"/>
            <w:hideMark/>
          </w:tcPr>
          <w:p w14:paraId="524706C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Mixed methods </w:t>
            </w:r>
          </w:p>
        </w:tc>
        <w:tc>
          <w:tcPr>
            <w:tcW w:w="709" w:type="pct"/>
            <w:shd w:val="clear" w:color="auto" w:fill="auto"/>
            <w:hideMark/>
          </w:tcPr>
          <w:p w14:paraId="09DCC7A9" w14:textId="77777777" w:rsidR="002D39DC" w:rsidRPr="00D24F48" w:rsidRDefault="002D39DC" w:rsidP="002118C7">
            <w:pPr>
              <w:pStyle w:val="ListParagraph"/>
              <w:numPr>
                <w:ilvl w:val="1"/>
                <w:numId w:val="2"/>
              </w:numPr>
              <w:spacing w:after="0" w:line="240" w:lineRule="auto"/>
              <w:rPr>
                <w:rFonts w:ascii="Times New Roman" w:eastAsia="Times New Roman" w:hAnsi="Times New Roman" w:cs="Times New Roman"/>
                <w:color w:val="000000"/>
                <w:sz w:val="20"/>
                <w:szCs w:val="20"/>
                <w:lang w:val="en-AU" w:eastAsia="en-AU"/>
              </w:rPr>
            </w:pPr>
          </w:p>
          <w:p w14:paraId="75E4420F"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facility-based health services were impacted by the crisis, CHWs provided lifeline </w:t>
            </w:r>
          </w:p>
          <w:p w14:paraId="50C724F8"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Need to recruit local cadre during outbreak </w:t>
            </w:r>
          </w:p>
        </w:tc>
        <w:tc>
          <w:tcPr>
            <w:tcW w:w="1848" w:type="pct"/>
            <w:shd w:val="clear" w:color="auto" w:fill="auto"/>
            <w:hideMark/>
          </w:tcPr>
          <w:p w14:paraId="02E2311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Coverage for community-based treatment of child diarrhea and pneumonia continued throughout the outbreak in project areas. </w:t>
            </w:r>
          </w:p>
          <w:p w14:paraId="3A82D20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HWs were reluctant to treat patients, sick people were afraid to self-identify and caregivers were afraid to take children to the clinic, CHWs were a trusted source of advice and Ebola prevention education. </w:t>
            </w:r>
          </w:p>
          <w:p w14:paraId="47C0C5C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value of recruiting and training local workers who are trusted by the community and understand the social and cultural complexities. </w:t>
            </w:r>
          </w:p>
          <w:p w14:paraId="4970C66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outbreak gave CHWs renewed confidence in assessing and treating sick children. </w:t>
            </w:r>
          </w:p>
          <w:p w14:paraId="0678261A" w14:textId="1373EC03"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Investments in community-based health service delivery contributed to continued access to lifesaving treatment children making communities more resilient. </w:t>
            </w:r>
          </w:p>
        </w:tc>
      </w:tr>
      <w:tr w:rsidR="002D39DC" w:rsidRPr="00D24F48" w14:paraId="7D31983B" w14:textId="77777777" w:rsidTr="002D39DC">
        <w:trPr>
          <w:trHeight w:val="540"/>
        </w:trPr>
        <w:tc>
          <w:tcPr>
            <w:tcW w:w="443" w:type="pct"/>
            <w:shd w:val="clear" w:color="auto" w:fill="auto"/>
            <w:hideMark/>
          </w:tcPr>
          <w:p w14:paraId="0A44F0BC" w14:textId="69F34DD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Assan et al </w:t>
            </w:r>
          </w:p>
        </w:tc>
        <w:tc>
          <w:tcPr>
            <w:tcW w:w="362" w:type="pct"/>
          </w:tcPr>
          <w:p w14:paraId="57053845" w14:textId="446B284C" w:rsidR="002D39DC" w:rsidRPr="00D24F48" w:rsidRDefault="00DC575F"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11D42175" w14:textId="4811340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Ghana </w:t>
            </w:r>
          </w:p>
        </w:tc>
        <w:tc>
          <w:tcPr>
            <w:tcW w:w="658" w:type="pct"/>
            <w:shd w:val="clear" w:color="auto" w:fill="auto"/>
            <w:hideMark/>
          </w:tcPr>
          <w:p w14:paraId="1214521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explore the barriers to and facilitators of CHPS in Ghana, through a systems-centric perspective.</w:t>
            </w:r>
          </w:p>
        </w:tc>
        <w:tc>
          <w:tcPr>
            <w:tcW w:w="522" w:type="pct"/>
            <w:shd w:val="clear" w:color="auto" w:fill="auto"/>
            <w:hideMark/>
          </w:tcPr>
          <w:p w14:paraId="309DBB88" w14:textId="185D0C6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2E302A52"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Addressing the challenges of CHPS demand a system-approach.</w:t>
            </w:r>
          </w:p>
        </w:tc>
        <w:tc>
          <w:tcPr>
            <w:tcW w:w="1848" w:type="pct"/>
            <w:shd w:val="clear" w:color="auto" w:fill="auto"/>
            <w:hideMark/>
          </w:tcPr>
          <w:p w14:paraId="08D4646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CHPS contribution particularly in bridging geographical access to health cannot be demeaned.</w:t>
            </w:r>
          </w:p>
          <w:p w14:paraId="571DA53A"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Full functioning of initiative is limited by factors: health governance and leadership, provision of services of quality, financial risk protection strategies targeting public health, information and care continuity, and the right mix of trained health professionals of even distribution across communities.</w:t>
            </w:r>
          </w:p>
          <w:p w14:paraId="2758970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Substantial progress is more likely to emerge with improved leadership especially on the part of Governments to take bold political step to provide adequate financial and material resources. </w:t>
            </w:r>
          </w:p>
          <w:p w14:paraId="0CA6FC81" w14:textId="514C4C2B"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Stakeholders including the community work in synergies, to manage competing priorities by focusing on the core values and goals of CHPS. </w:t>
            </w:r>
          </w:p>
        </w:tc>
      </w:tr>
      <w:tr w:rsidR="002D39DC" w:rsidRPr="00D24F48" w14:paraId="46D0245B" w14:textId="77777777" w:rsidTr="002D39DC">
        <w:trPr>
          <w:trHeight w:val="540"/>
        </w:trPr>
        <w:tc>
          <w:tcPr>
            <w:tcW w:w="443" w:type="pct"/>
            <w:shd w:val="clear" w:color="auto" w:fill="auto"/>
            <w:hideMark/>
          </w:tcPr>
          <w:p w14:paraId="72AA188D" w14:textId="35FEEBF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Campbell et al </w:t>
            </w:r>
          </w:p>
        </w:tc>
        <w:tc>
          <w:tcPr>
            <w:tcW w:w="362" w:type="pct"/>
          </w:tcPr>
          <w:p w14:paraId="5C8E3706" w14:textId="31F2A96E" w:rsidR="002D39DC" w:rsidRPr="00D24F48" w:rsidRDefault="00DC575F"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027CC2A7" w14:textId="7E4C9F7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Australia </w:t>
            </w:r>
          </w:p>
        </w:tc>
        <w:tc>
          <w:tcPr>
            <w:tcW w:w="658" w:type="pct"/>
            <w:shd w:val="clear" w:color="auto" w:fill="auto"/>
            <w:hideMark/>
          </w:tcPr>
          <w:p w14:paraId="074423AA"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ACCHSs deliver comprehensive, culturally appropriate primary health care to Aboriginal people and communities.</w:t>
            </w:r>
          </w:p>
        </w:tc>
        <w:tc>
          <w:tcPr>
            <w:tcW w:w="522" w:type="pct"/>
            <w:shd w:val="clear" w:color="auto" w:fill="auto"/>
            <w:hideMark/>
          </w:tcPr>
          <w:p w14:paraId="5C18DD91"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40F8E5F9"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Contribution of ACCHS in the health and wellbeing of Aboriginal people </w:t>
            </w:r>
          </w:p>
        </w:tc>
        <w:tc>
          <w:tcPr>
            <w:tcW w:w="1848" w:type="pct"/>
            <w:shd w:val="clear" w:color="auto" w:fill="auto"/>
            <w:hideMark/>
          </w:tcPr>
          <w:p w14:paraId="279B580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ACCHSs contribute to improving the health and wellbeing of Aboriginal peoples through community-controlled governance, providing employment and training, strengthening the broader health system, and providing accessible, comprehensive PHC. </w:t>
            </w:r>
          </w:p>
          <w:p w14:paraId="0D8BC9FA" w14:textId="2A40D74F"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ACCHSs make a range of important contributions in the design and evaluation of programs and policies and improving the health of Aboriginal peoples. </w:t>
            </w:r>
          </w:p>
        </w:tc>
      </w:tr>
      <w:tr w:rsidR="002D39DC" w:rsidRPr="00D24F48" w14:paraId="5F54749B" w14:textId="77777777" w:rsidTr="002D39DC">
        <w:trPr>
          <w:trHeight w:val="540"/>
        </w:trPr>
        <w:tc>
          <w:tcPr>
            <w:tcW w:w="443" w:type="pct"/>
            <w:shd w:val="clear" w:color="auto" w:fill="auto"/>
            <w:hideMark/>
          </w:tcPr>
          <w:p w14:paraId="3A0F9B2A" w14:textId="571F5C4D" w:rsidR="002D39DC" w:rsidRPr="00D24F48" w:rsidRDefault="00F30F1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hAnsi="Times New Roman" w:cs="Times New Roman"/>
                <w:sz w:val="20"/>
                <w:szCs w:val="20"/>
                <w:lang w:val="en-AU"/>
              </w:rPr>
              <w:t>Srinivas</w:t>
            </w:r>
            <w:r w:rsidR="002D39DC"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30965509" w14:textId="33DCC297" w:rsidR="002D39DC" w:rsidRPr="00D24F48" w:rsidRDefault="00F30F1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03C06783" w14:textId="56E1D43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South Africa </w:t>
            </w:r>
          </w:p>
        </w:tc>
        <w:tc>
          <w:tcPr>
            <w:tcW w:w="658" w:type="pct"/>
            <w:shd w:val="clear" w:color="auto" w:fill="auto"/>
            <w:hideMark/>
          </w:tcPr>
          <w:p w14:paraId="074FCA7C"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explore the potential of combat AMA resistance using CHWs.</w:t>
            </w:r>
          </w:p>
        </w:tc>
        <w:tc>
          <w:tcPr>
            <w:tcW w:w="522" w:type="pct"/>
            <w:shd w:val="clear" w:color="auto" w:fill="auto"/>
            <w:hideMark/>
          </w:tcPr>
          <w:p w14:paraId="1B17ABE0" w14:textId="649F6C4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Mixed methods  </w:t>
            </w:r>
          </w:p>
        </w:tc>
        <w:tc>
          <w:tcPr>
            <w:tcW w:w="709" w:type="pct"/>
            <w:shd w:val="clear" w:color="auto" w:fill="auto"/>
            <w:hideMark/>
          </w:tcPr>
          <w:p w14:paraId="76296605"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could potential contribute to address AMA resistance </w:t>
            </w:r>
          </w:p>
        </w:tc>
        <w:tc>
          <w:tcPr>
            <w:tcW w:w="1848" w:type="pct"/>
            <w:shd w:val="clear" w:color="auto" w:fill="auto"/>
            <w:hideMark/>
          </w:tcPr>
          <w:p w14:paraId="2D3BD01E"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CHWs are being recognised in many LMICs to deliver PHC service with minimum training as an alternative solution to improve the cost-effectiveness of health care systems.</w:t>
            </w:r>
          </w:p>
          <w:p w14:paraId="6AABE3F1" w14:textId="0AFD6CF8"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can reach large number of people in the community where the public sector provided health service is very minimal and private health care sector is unaffordable. </w:t>
            </w:r>
          </w:p>
        </w:tc>
      </w:tr>
      <w:tr w:rsidR="002D39DC" w:rsidRPr="00D24F48" w14:paraId="4CBF372A" w14:textId="77777777" w:rsidTr="002D39DC">
        <w:trPr>
          <w:trHeight w:val="540"/>
        </w:trPr>
        <w:tc>
          <w:tcPr>
            <w:tcW w:w="443" w:type="pct"/>
            <w:shd w:val="clear" w:color="auto" w:fill="auto"/>
            <w:hideMark/>
          </w:tcPr>
          <w:p w14:paraId="460A5944" w14:textId="40E9F48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Gunderson et al </w:t>
            </w:r>
          </w:p>
        </w:tc>
        <w:tc>
          <w:tcPr>
            <w:tcW w:w="362" w:type="pct"/>
          </w:tcPr>
          <w:p w14:paraId="17FA0ED5" w14:textId="12E0E811" w:rsidR="002D39DC" w:rsidRPr="00D24F48" w:rsidRDefault="006E23B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160F6251" w14:textId="1249101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US</w:t>
            </w:r>
          </w:p>
        </w:tc>
        <w:tc>
          <w:tcPr>
            <w:tcW w:w="658" w:type="pct"/>
            <w:shd w:val="clear" w:color="auto" w:fill="auto"/>
            <w:hideMark/>
          </w:tcPr>
          <w:p w14:paraId="673B8461"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describe the collaborative development of a community based CHW program to address the social determinants of health that affect patients</w:t>
            </w:r>
          </w:p>
        </w:tc>
        <w:tc>
          <w:tcPr>
            <w:tcW w:w="522" w:type="pct"/>
            <w:shd w:val="clear" w:color="auto" w:fill="auto"/>
            <w:hideMark/>
          </w:tcPr>
          <w:p w14:paraId="71527DF6" w14:textId="4FC9A3F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Quantitative s</w:t>
            </w:r>
          </w:p>
        </w:tc>
        <w:tc>
          <w:tcPr>
            <w:tcW w:w="709" w:type="pct"/>
            <w:shd w:val="clear" w:color="auto" w:fill="auto"/>
            <w:hideMark/>
          </w:tcPr>
          <w:p w14:paraId="04B748D2"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CHW extension of care coordination in primary care</w:t>
            </w:r>
          </w:p>
          <w:p w14:paraId="06715CE9"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Effective in decreasing health care utilization cost and be adapted by clinical practices. </w:t>
            </w:r>
          </w:p>
        </w:tc>
        <w:tc>
          <w:tcPr>
            <w:tcW w:w="1848" w:type="pct"/>
            <w:shd w:val="clear" w:color="auto" w:fill="auto"/>
            <w:hideMark/>
          </w:tcPr>
          <w:p w14:paraId="4606081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co-supervisory, generalist CHW model provides an innovative template for cocreation of patient-</w:t>
            </w:r>
            <w:proofErr w:type="spellStart"/>
            <w:r w:rsidRPr="00D24F48">
              <w:rPr>
                <w:rFonts w:ascii="Times New Roman" w:eastAsia="Times New Roman" w:hAnsi="Times New Roman" w:cs="Times New Roman"/>
                <w:color w:val="000000"/>
                <w:sz w:val="20"/>
                <w:szCs w:val="20"/>
                <w:lang w:val="en-AU" w:eastAsia="en-AU"/>
              </w:rPr>
              <w:t>centered</w:t>
            </w:r>
            <w:proofErr w:type="spellEnd"/>
            <w:r w:rsidRPr="00D24F48">
              <w:rPr>
                <w:rFonts w:ascii="Times New Roman" w:eastAsia="Times New Roman" w:hAnsi="Times New Roman" w:cs="Times New Roman"/>
                <w:color w:val="000000"/>
                <w:sz w:val="20"/>
                <w:szCs w:val="20"/>
                <w:lang w:val="en-AU" w:eastAsia="en-AU"/>
              </w:rPr>
              <w:t xml:space="preserve"> infrastructure and resourcing within an evolving and replicable holistic care continuum across patient care and communities to promote health equity. </w:t>
            </w:r>
          </w:p>
          <w:p w14:paraId="70717C6C" w14:textId="10844E54"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distinctive structure, beginning with the collaborative development, seamlessly serves as an extension of clinical care coordination, with improved outcomes. </w:t>
            </w:r>
          </w:p>
        </w:tc>
      </w:tr>
      <w:tr w:rsidR="002D39DC" w:rsidRPr="00D24F48" w14:paraId="7CAE6F0F" w14:textId="77777777" w:rsidTr="002D39DC">
        <w:trPr>
          <w:trHeight w:val="540"/>
        </w:trPr>
        <w:tc>
          <w:tcPr>
            <w:tcW w:w="443" w:type="pct"/>
            <w:shd w:val="clear" w:color="auto" w:fill="auto"/>
            <w:hideMark/>
          </w:tcPr>
          <w:p w14:paraId="5EB430E1" w14:textId="6A57533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Huang et al </w:t>
            </w:r>
          </w:p>
        </w:tc>
        <w:tc>
          <w:tcPr>
            <w:tcW w:w="362" w:type="pct"/>
          </w:tcPr>
          <w:p w14:paraId="7A4B9532" w14:textId="59339C1B" w:rsidR="002D39DC" w:rsidRPr="00D24F48" w:rsidRDefault="006E23B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41C413C9" w14:textId="6F17ACC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China </w:t>
            </w:r>
          </w:p>
        </w:tc>
        <w:tc>
          <w:tcPr>
            <w:tcW w:w="658" w:type="pct"/>
            <w:shd w:val="clear" w:color="auto" w:fill="auto"/>
            <w:hideMark/>
          </w:tcPr>
          <w:p w14:paraId="1A37DD0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to identify the types of public health services provided by CHWs and summarized potential barriers and facilitating factors in the delivery of these services.</w:t>
            </w:r>
          </w:p>
        </w:tc>
        <w:tc>
          <w:tcPr>
            <w:tcW w:w="522" w:type="pct"/>
            <w:shd w:val="clear" w:color="auto" w:fill="auto"/>
            <w:hideMark/>
          </w:tcPr>
          <w:p w14:paraId="6C269181"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Systematic review </w:t>
            </w:r>
          </w:p>
        </w:tc>
        <w:tc>
          <w:tcPr>
            <w:tcW w:w="709" w:type="pct"/>
            <w:shd w:val="clear" w:color="auto" w:fill="auto"/>
            <w:hideMark/>
          </w:tcPr>
          <w:p w14:paraId="1EA904C4"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program faced several challenges delivering public health services </w:t>
            </w:r>
          </w:p>
        </w:tc>
        <w:tc>
          <w:tcPr>
            <w:tcW w:w="1848" w:type="pct"/>
            <w:shd w:val="clear" w:color="auto" w:fill="auto"/>
            <w:hideMark/>
          </w:tcPr>
          <w:p w14:paraId="55289344"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Barriers challenging the sustainability of the CHWs led projects were transportation, nature of official support, quantity, and quality of CHWs, training of CHWs, incentives for CHWs, and maintaining a good rapport between CHWs and target population.</w:t>
            </w:r>
          </w:p>
          <w:p w14:paraId="10A67D2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Facilitating factors included positive official support, integration with the existing health system, financial support, considering CHW's perspectives, and technology support.</w:t>
            </w:r>
          </w:p>
          <w:p w14:paraId="5E1C3F1F" w14:textId="2EBE5EFE"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HWs appear to frequently engage in implementing diverse public health intervention programs in China. </w:t>
            </w:r>
          </w:p>
        </w:tc>
      </w:tr>
      <w:tr w:rsidR="002D39DC" w:rsidRPr="00D24F48" w14:paraId="34C04648" w14:textId="77777777" w:rsidTr="002D39DC">
        <w:trPr>
          <w:trHeight w:val="540"/>
        </w:trPr>
        <w:tc>
          <w:tcPr>
            <w:tcW w:w="443" w:type="pct"/>
            <w:shd w:val="clear" w:color="auto" w:fill="auto"/>
            <w:hideMark/>
          </w:tcPr>
          <w:p w14:paraId="4AE79ABE" w14:textId="3320FD5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McCollum et al </w:t>
            </w:r>
          </w:p>
        </w:tc>
        <w:tc>
          <w:tcPr>
            <w:tcW w:w="362" w:type="pct"/>
          </w:tcPr>
          <w:p w14:paraId="7743C5CB" w14:textId="2BF8A009" w:rsidR="002D39DC" w:rsidRPr="00D24F48" w:rsidRDefault="006E23B2"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32285473" w14:textId="40A78FC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Indonesia, Kenya</w:t>
            </w:r>
          </w:p>
        </w:tc>
        <w:tc>
          <w:tcPr>
            <w:tcW w:w="658" w:type="pct"/>
            <w:shd w:val="clear" w:color="auto" w:fill="auto"/>
            <w:hideMark/>
          </w:tcPr>
          <w:p w14:paraId="503C890E"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examine governance in two countries at different stages in the devolution journey: Indonesia at 15 years post-devolution and Kenya at 3 years</w:t>
            </w:r>
          </w:p>
        </w:tc>
        <w:tc>
          <w:tcPr>
            <w:tcW w:w="522" w:type="pct"/>
            <w:shd w:val="clear" w:color="auto" w:fill="auto"/>
            <w:hideMark/>
          </w:tcPr>
          <w:p w14:paraId="3D62D0A7" w14:textId="090F8A4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12EB6618"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Both countries experienced similar challenges of ensuring good governance post decentralisation in health </w:t>
            </w:r>
          </w:p>
        </w:tc>
        <w:tc>
          <w:tcPr>
            <w:tcW w:w="1848" w:type="pct"/>
            <w:shd w:val="clear" w:color="auto" w:fill="auto"/>
            <w:hideMark/>
          </w:tcPr>
          <w:p w14:paraId="6BB86ED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Devolution reforms transformed power relationships, increasing responsibilities at subnational levels, and introducing opportunities for citizen participation.</w:t>
            </w:r>
          </w:p>
          <w:p w14:paraId="1D825E2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Impacts of decentralisation was undermined by insufficiently clear guidance; failure to address pre-existing negative contextual norms and practices varied decision-maker values, limited priority-setting capacity and limited genuine community accountability. </w:t>
            </w:r>
          </w:p>
          <w:p w14:paraId="2D62721B" w14:textId="584EF630"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priorities in both contexts are placed on curative rather than preventive health services. </w:t>
            </w:r>
          </w:p>
        </w:tc>
      </w:tr>
      <w:tr w:rsidR="002D39DC" w:rsidRPr="00D24F48" w14:paraId="48E0A00B" w14:textId="77777777" w:rsidTr="002D39DC">
        <w:trPr>
          <w:trHeight w:val="540"/>
        </w:trPr>
        <w:tc>
          <w:tcPr>
            <w:tcW w:w="443" w:type="pct"/>
            <w:shd w:val="clear" w:color="auto" w:fill="auto"/>
            <w:hideMark/>
          </w:tcPr>
          <w:p w14:paraId="4F551524" w14:textId="13A4A71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Odendaal et al </w:t>
            </w:r>
          </w:p>
        </w:tc>
        <w:tc>
          <w:tcPr>
            <w:tcW w:w="362" w:type="pct"/>
          </w:tcPr>
          <w:p w14:paraId="10B4084E" w14:textId="414FE0DF" w:rsidR="002D39DC" w:rsidRPr="00D24F48" w:rsidRDefault="00D8780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0E18EFE1" w14:textId="7E07EA4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LMICs</w:t>
            </w:r>
          </w:p>
        </w:tc>
        <w:tc>
          <w:tcPr>
            <w:tcW w:w="658" w:type="pct"/>
            <w:shd w:val="clear" w:color="auto" w:fill="auto"/>
            <w:hideMark/>
          </w:tcPr>
          <w:p w14:paraId="6DB7507E"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assess effects of contracting out governmental clinical health services to non‐</w:t>
            </w:r>
            <w:r w:rsidRPr="00D24F48">
              <w:rPr>
                <w:rFonts w:ascii="Times New Roman" w:eastAsia="Times New Roman" w:hAnsi="Times New Roman" w:cs="Times New Roman"/>
                <w:color w:val="000000"/>
                <w:sz w:val="20"/>
                <w:szCs w:val="20"/>
                <w:lang w:val="en-AU" w:eastAsia="en-AU"/>
              </w:rPr>
              <w:lastRenderedPageBreak/>
              <w:t>governmental service providers</w:t>
            </w:r>
          </w:p>
        </w:tc>
        <w:tc>
          <w:tcPr>
            <w:tcW w:w="522" w:type="pct"/>
            <w:shd w:val="clear" w:color="auto" w:fill="auto"/>
            <w:hideMark/>
          </w:tcPr>
          <w:p w14:paraId="2C97F619" w14:textId="747AA24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Review </w:t>
            </w:r>
          </w:p>
        </w:tc>
        <w:tc>
          <w:tcPr>
            <w:tcW w:w="709" w:type="pct"/>
            <w:shd w:val="clear" w:color="auto" w:fill="auto"/>
            <w:hideMark/>
          </w:tcPr>
          <w:p w14:paraId="5CC8EE87"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Contracting out and utilisation of health services and reduce OOP, support services </w:t>
            </w:r>
            <w:r w:rsidRPr="00D24F48">
              <w:rPr>
                <w:rFonts w:ascii="Times New Roman" w:eastAsia="Times New Roman" w:hAnsi="Times New Roman" w:cs="Times New Roman"/>
                <w:color w:val="000000"/>
                <w:sz w:val="20"/>
                <w:szCs w:val="20"/>
                <w:lang w:val="en-AU" w:eastAsia="en-AU"/>
              </w:rPr>
              <w:lastRenderedPageBreak/>
              <w:t>when government fail to provide clinical care.</w:t>
            </w:r>
          </w:p>
        </w:tc>
        <w:tc>
          <w:tcPr>
            <w:tcW w:w="1848" w:type="pct"/>
            <w:shd w:val="clear" w:color="auto" w:fill="auto"/>
            <w:hideMark/>
          </w:tcPr>
          <w:p w14:paraId="23739BE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Contracting out probably reduces individual OOP spending on curative care, but probably makes little or no difference in other health utilisation or service delivery outcomes. </w:t>
            </w:r>
          </w:p>
          <w:p w14:paraId="2530546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may be no better or worse than government-provided services, but a feasible response when governments fail to provide good clinical health care, </w:t>
            </w:r>
          </w:p>
          <w:p w14:paraId="4A235780" w14:textId="684766F4"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little or no difference in people’s use of healthcare services or to children’s health </w:t>
            </w:r>
          </w:p>
        </w:tc>
      </w:tr>
      <w:tr w:rsidR="002D39DC" w:rsidRPr="00D24F48" w14:paraId="5B145964" w14:textId="77777777" w:rsidTr="002D39DC">
        <w:trPr>
          <w:trHeight w:val="540"/>
        </w:trPr>
        <w:tc>
          <w:tcPr>
            <w:tcW w:w="443" w:type="pct"/>
            <w:shd w:val="clear" w:color="auto" w:fill="auto"/>
            <w:hideMark/>
          </w:tcPr>
          <w:p w14:paraId="6C6897F7" w14:textId="6A40DF2E"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Only et al </w:t>
            </w:r>
          </w:p>
        </w:tc>
        <w:tc>
          <w:tcPr>
            <w:tcW w:w="362" w:type="pct"/>
          </w:tcPr>
          <w:p w14:paraId="1191B583" w14:textId="3072A29B" w:rsidR="002D39DC" w:rsidRPr="00D24F48" w:rsidRDefault="00D8780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039AD3FF" w14:textId="65AF4FB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Pakistan </w:t>
            </w:r>
          </w:p>
        </w:tc>
        <w:tc>
          <w:tcPr>
            <w:tcW w:w="658" w:type="pct"/>
            <w:shd w:val="clear" w:color="auto" w:fill="auto"/>
            <w:hideMark/>
          </w:tcPr>
          <w:p w14:paraId="65C39B7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improve MCH through developing health service delivery in a poor and marginalised community. </w:t>
            </w:r>
          </w:p>
        </w:tc>
        <w:tc>
          <w:tcPr>
            <w:tcW w:w="522" w:type="pct"/>
            <w:shd w:val="clear" w:color="auto" w:fill="auto"/>
            <w:hideMark/>
          </w:tcPr>
          <w:p w14:paraId="1C2F855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Short communication </w:t>
            </w:r>
          </w:p>
        </w:tc>
        <w:tc>
          <w:tcPr>
            <w:tcW w:w="709" w:type="pct"/>
            <w:shd w:val="clear" w:color="auto" w:fill="auto"/>
            <w:hideMark/>
          </w:tcPr>
          <w:p w14:paraId="661BFA8E"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services delivery to marginalised groups </w:t>
            </w:r>
          </w:p>
        </w:tc>
        <w:tc>
          <w:tcPr>
            <w:tcW w:w="1848" w:type="pct"/>
            <w:shd w:val="clear" w:color="auto" w:fill="auto"/>
            <w:hideMark/>
          </w:tcPr>
          <w:p w14:paraId="5A67F52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 range of new health services were developed at the health centre including training of local volunteers to promote health awareness in the community. </w:t>
            </w:r>
          </w:p>
          <w:p w14:paraId="61348B4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Survey indicated   health improvements (e.g., increased vaccination rates for women and children, and a dramatic reduction in unskilled deliveries).  </w:t>
            </w:r>
          </w:p>
          <w:p w14:paraId="37D0A9F1" w14:textId="16457E7A"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 engagement was essential to achieve MCH improvements in the marginalised community. </w:t>
            </w:r>
          </w:p>
        </w:tc>
      </w:tr>
      <w:tr w:rsidR="002D39DC" w:rsidRPr="00D24F48" w14:paraId="2E5156C9" w14:textId="77777777" w:rsidTr="002D39DC">
        <w:trPr>
          <w:trHeight w:val="540"/>
        </w:trPr>
        <w:tc>
          <w:tcPr>
            <w:tcW w:w="443" w:type="pct"/>
            <w:shd w:val="clear" w:color="auto" w:fill="auto"/>
            <w:hideMark/>
          </w:tcPr>
          <w:p w14:paraId="36B63F2D" w14:textId="2EAAC9B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Rayner et al </w:t>
            </w:r>
          </w:p>
        </w:tc>
        <w:tc>
          <w:tcPr>
            <w:tcW w:w="362" w:type="pct"/>
          </w:tcPr>
          <w:p w14:paraId="2DC48135" w14:textId="38D4D4BF" w:rsidR="002D39DC" w:rsidRPr="00D24F48" w:rsidRDefault="00D8780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08A25FC4" w14:textId="1DED258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Canada</w:t>
            </w:r>
          </w:p>
        </w:tc>
        <w:tc>
          <w:tcPr>
            <w:tcW w:w="658" w:type="pct"/>
            <w:shd w:val="clear" w:color="auto" w:fill="auto"/>
            <w:hideMark/>
          </w:tcPr>
          <w:p w14:paraId="5840A171"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describes the development of a “Model of Health and Well-being” (MHWB) that provides a roadmap to the delivery of PHC in a successful network of community governed PHC organizations.</w:t>
            </w:r>
          </w:p>
        </w:tc>
        <w:tc>
          <w:tcPr>
            <w:tcW w:w="522" w:type="pct"/>
            <w:shd w:val="clear" w:color="auto" w:fill="auto"/>
            <w:hideMark/>
          </w:tcPr>
          <w:p w14:paraId="427E5194" w14:textId="4861532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Review </w:t>
            </w:r>
          </w:p>
        </w:tc>
        <w:tc>
          <w:tcPr>
            <w:tcW w:w="709" w:type="pct"/>
            <w:shd w:val="clear" w:color="auto" w:fill="auto"/>
            <w:hideMark/>
          </w:tcPr>
          <w:p w14:paraId="030C7954"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MHWB provides a blueprint for comprehensive PHC as delivered by Community Governed PHC organizations. </w:t>
            </w:r>
          </w:p>
        </w:tc>
        <w:tc>
          <w:tcPr>
            <w:tcW w:w="1848" w:type="pct"/>
            <w:shd w:val="clear" w:color="auto" w:fill="auto"/>
            <w:hideMark/>
          </w:tcPr>
          <w:p w14:paraId="109747D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MHWB worked with three principles: highest quality health; health equity; and community vitality and belonging.  </w:t>
            </w:r>
          </w:p>
          <w:p w14:paraId="16AB98B1" w14:textId="10B232FE"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As comprehensive, equitable PHC organizations become increasingly recognized as critical parts of the health care system to describe their approach to care and the values that drive their care. </w:t>
            </w:r>
          </w:p>
          <w:p w14:paraId="500D6E67"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All CGPHC organizations have endorsed, adopted, and operationalized MHWB</w:t>
            </w:r>
            <w:r w:rsidRPr="00D24F48" w:rsidDel="00D53DD4">
              <w:rPr>
                <w:rFonts w:ascii="Times New Roman" w:eastAsia="Times New Roman" w:hAnsi="Times New Roman" w:cs="Times New Roman"/>
                <w:color w:val="000000"/>
                <w:sz w:val="20"/>
                <w:szCs w:val="20"/>
                <w:lang w:val="en-AU" w:eastAsia="en-AU"/>
              </w:rPr>
              <w:t xml:space="preserve"> </w:t>
            </w:r>
            <w:r w:rsidRPr="00D24F48">
              <w:rPr>
                <w:rFonts w:ascii="Times New Roman" w:eastAsia="Times New Roman" w:hAnsi="Times New Roman" w:cs="Times New Roman"/>
                <w:color w:val="000000"/>
                <w:sz w:val="20"/>
                <w:szCs w:val="20"/>
                <w:lang w:val="en-AU" w:eastAsia="en-AU"/>
              </w:rPr>
              <w:t>model as a guide for optimum care delivery.</w:t>
            </w:r>
          </w:p>
        </w:tc>
      </w:tr>
      <w:tr w:rsidR="002D39DC" w:rsidRPr="00D24F48" w14:paraId="68BE4250" w14:textId="77777777" w:rsidTr="002D39DC">
        <w:trPr>
          <w:trHeight w:val="540"/>
        </w:trPr>
        <w:tc>
          <w:tcPr>
            <w:tcW w:w="443" w:type="pct"/>
            <w:shd w:val="clear" w:color="auto" w:fill="auto"/>
            <w:hideMark/>
          </w:tcPr>
          <w:p w14:paraId="017B300B" w14:textId="6909395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Zhong et al </w:t>
            </w:r>
          </w:p>
        </w:tc>
        <w:tc>
          <w:tcPr>
            <w:tcW w:w="362" w:type="pct"/>
          </w:tcPr>
          <w:p w14:paraId="48777BB4" w14:textId="57F28551" w:rsidR="002D39DC" w:rsidRPr="00D24F48" w:rsidRDefault="00D8780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2018</w:t>
            </w:r>
          </w:p>
        </w:tc>
        <w:tc>
          <w:tcPr>
            <w:tcW w:w="458" w:type="pct"/>
            <w:shd w:val="clear" w:color="auto" w:fill="auto"/>
            <w:hideMark/>
          </w:tcPr>
          <w:p w14:paraId="6DEED35C" w14:textId="669DA2B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China </w:t>
            </w:r>
          </w:p>
        </w:tc>
        <w:tc>
          <w:tcPr>
            <w:tcW w:w="658" w:type="pct"/>
            <w:shd w:val="clear" w:color="auto" w:fill="auto"/>
            <w:hideMark/>
          </w:tcPr>
          <w:p w14:paraId="7E2F678E"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assess the equity in the primary care patient experiences between rural-to-urban migrants and urban locals in the same health insurance context </w:t>
            </w:r>
          </w:p>
        </w:tc>
        <w:tc>
          <w:tcPr>
            <w:tcW w:w="522" w:type="pct"/>
            <w:shd w:val="clear" w:color="auto" w:fill="auto"/>
            <w:hideMark/>
          </w:tcPr>
          <w:p w14:paraId="7BA4B6FB" w14:textId="2205B60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Quantitative </w:t>
            </w:r>
          </w:p>
        </w:tc>
        <w:tc>
          <w:tcPr>
            <w:tcW w:w="709" w:type="pct"/>
            <w:shd w:val="clear" w:color="auto" w:fill="auto"/>
            <w:hideMark/>
          </w:tcPr>
          <w:p w14:paraId="790CB9E2"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only slight differences existed with and without Urban Employee Basic Medical Insurance. </w:t>
            </w:r>
          </w:p>
        </w:tc>
        <w:tc>
          <w:tcPr>
            <w:tcW w:w="1848" w:type="pct"/>
            <w:shd w:val="clear" w:color="auto" w:fill="auto"/>
            <w:hideMark/>
          </w:tcPr>
          <w:p w14:paraId="7844194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Equity in the primary care patient experiences between rural-to-urban migrants and urban locals seems to have been achieved to some extent. </w:t>
            </w:r>
          </w:p>
          <w:p w14:paraId="678B5EBC" w14:textId="29A88CA4"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rural-to-urban migrants receiving primary care from CHCs reported equal primary care experiences when compared to urban locals. </w:t>
            </w:r>
          </w:p>
        </w:tc>
      </w:tr>
      <w:tr w:rsidR="002D39DC" w:rsidRPr="00D24F48" w14:paraId="6001A365" w14:textId="77777777" w:rsidTr="002D39DC">
        <w:trPr>
          <w:trHeight w:val="540"/>
        </w:trPr>
        <w:tc>
          <w:tcPr>
            <w:tcW w:w="443" w:type="pct"/>
            <w:shd w:val="clear" w:color="auto" w:fill="auto"/>
            <w:hideMark/>
          </w:tcPr>
          <w:p w14:paraId="6602E61B" w14:textId="21E9798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Abimbola et al </w:t>
            </w:r>
          </w:p>
        </w:tc>
        <w:tc>
          <w:tcPr>
            <w:tcW w:w="362" w:type="pct"/>
          </w:tcPr>
          <w:p w14:paraId="40E5B578" w14:textId="52BED3A2" w:rsidR="002D39DC" w:rsidRPr="00D24F48" w:rsidRDefault="00D8780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18427AFE" w14:textId="2AD1779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Global </w:t>
            </w:r>
          </w:p>
        </w:tc>
        <w:tc>
          <w:tcPr>
            <w:tcW w:w="658" w:type="pct"/>
            <w:shd w:val="clear" w:color="auto" w:fill="auto"/>
            <w:hideMark/>
          </w:tcPr>
          <w:p w14:paraId="49752C4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synthesize evidence from the literature to </w:t>
            </w:r>
            <w:r w:rsidRPr="00D24F48">
              <w:rPr>
                <w:rFonts w:ascii="Times New Roman" w:eastAsia="Times New Roman" w:hAnsi="Times New Roman" w:cs="Times New Roman"/>
                <w:color w:val="000000"/>
                <w:sz w:val="20"/>
                <w:szCs w:val="20"/>
                <w:lang w:val="en-AU" w:eastAsia="en-AU"/>
              </w:rPr>
              <w:lastRenderedPageBreak/>
              <w:t>understand why, how and under what circumstances decentralization influences health system equity, efficiency, and resilience.</w:t>
            </w:r>
          </w:p>
        </w:tc>
        <w:tc>
          <w:tcPr>
            <w:tcW w:w="522" w:type="pct"/>
            <w:shd w:val="clear" w:color="auto" w:fill="auto"/>
            <w:hideMark/>
          </w:tcPr>
          <w:p w14:paraId="2F31717F" w14:textId="68247D0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Review </w:t>
            </w:r>
          </w:p>
        </w:tc>
        <w:tc>
          <w:tcPr>
            <w:tcW w:w="709" w:type="pct"/>
            <w:shd w:val="clear" w:color="auto" w:fill="auto"/>
            <w:hideMark/>
          </w:tcPr>
          <w:p w14:paraId="16DBE1B7"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Three mechanisms that decentralization </w:t>
            </w:r>
            <w:r w:rsidRPr="00D24F48">
              <w:rPr>
                <w:rFonts w:ascii="Times New Roman" w:eastAsia="Times New Roman" w:hAnsi="Times New Roman" w:cs="Times New Roman"/>
                <w:color w:val="000000"/>
                <w:sz w:val="20"/>
                <w:szCs w:val="20"/>
                <w:lang w:val="en-AU" w:eastAsia="en-AU"/>
              </w:rPr>
              <w:lastRenderedPageBreak/>
              <w:t xml:space="preserve">impacts on health system to equity, efficiency, and resilience </w:t>
            </w:r>
          </w:p>
          <w:p w14:paraId="0C6EF56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17C88A8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'Voting with feet' (reflecting how decentralization either exacerbates or assuages the existing patterns of </w:t>
            </w:r>
            <w:r w:rsidRPr="00D24F48">
              <w:rPr>
                <w:rFonts w:ascii="Times New Roman" w:eastAsia="Times New Roman" w:hAnsi="Times New Roman" w:cs="Times New Roman"/>
                <w:color w:val="000000"/>
                <w:sz w:val="20"/>
                <w:szCs w:val="20"/>
                <w:lang w:val="en-AU" w:eastAsia="en-AU"/>
              </w:rPr>
              <w:lastRenderedPageBreak/>
              <w:t xml:space="preserve">inequities in the distribution of people, resources, and outcomes in a jurisdiction). </w:t>
            </w:r>
          </w:p>
          <w:p w14:paraId="0376C29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'Close to ground' (reflecting how bringing governance closer to the people allows for use of local initiative, information, feedback, input, and control); and </w:t>
            </w:r>
          </w:p>
          <w:p w14:paraId="7E14167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'Watching the watchers' (reflecting mutual accountability and support relations between multiple centres of governance which are multiplied by decentralization, involving governments at different levels and community health committees and health boards). </w:t>
            </w:r>
          </w:p>
          <w:p w14:paraId="63AF8802" w14:textId="422833B0"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institutional, socio-economic, and geographic contextual factors influence each of these mechanisms. </w:t>
            </w:r>
          </w:p>
        </w:tc>
      </w:tr>
      <w:tr w:rsidR="002D39DC" w:rsidRPr="00D24F48" w14:paraId="339A516A" w14:textId="77777777" w:rsidTr="002D39DC">
        <w:trPr>
          <w:trHeight w:val="540"/>
        </w:trPr>
        <w:tc>
          <w:tcPr>
            <w:tcW w:w="443" w:type="pct"/>
            <w:shd w:val="clear" w:color="auto" w:fill="auto"/>
            <w:hideMark/>
          </w:tcPr>
          <w:p w14:paraId="39E63E65" w14:textId="14E6F48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Agrawal et al </w:t>
            </w:r>
          </w:p>
        </w:tc>
        <w:tc>
          <w:tcPr>
            <w:tcW w:w="362" w:type="pct"/>
          </w:tcPr>
          <w:p w14:paraId="204F61F6" w14:textId="5EE24E07" w:rsidR="002D39DC" w:rsidRPr="00D24F48" w:rsidRDefault="004E4C2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50F48753" w14:textId="476F9FB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Global </w:t>
            </w:r>
          </w:p>
        </w:tc>
        <w:tc>
          <w:tcPr>
            <w:tcW w:w="658" w:type="pct"/>
            <w:shd w:val="clear" w:color="auto" w:fill="auto"/>
            <w:hideMark/>
          </w:tcPr>
          <w:p w14:paraId="4FF864C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propose a global research agenda to strengthen CHW programs.</w:t>
            </w:r>
          </w:p>
        </w:tc>
        <w:tc>
          <w:tcPr>
            <w:tcW w:w="522" w:type="pct"/>
            <w:shd w:val="clear" w:color="auto" w:fill="auto"/>
            <w:hideMark/>
          </w:tcPr>
          <w:p w14:paraId="073FEAA9" w14:textId="55257A2E"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Review </w:t>
            </w:r>
          </w:p>
        </w:tc>
        <w:tc>
          <w:tcPr>
            <w:tcW w:w="709" w:type="pct"/>
            <w:shd w:val="clear" w:color="auto" w:fill="auto"/>
            <w:hideMark/>
          </w:tcPr>
          <w:p w14:paraId="3A1A153C"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research agendas and questions for CHWs and community health systems </w:t>
            </w:r>
          </w:p>
        </w:tc>
        <w:tc>
          <w:tcPr>
            <w:tcW w:w="1848" w:type="pct"/>
            <w:shd w:val="clear" w:color="auto" w:fill="auto"/>
            <w:hideMark/>
          </w:tcPr>
          <w:p w14:paraId="15AD6F5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Research gap areas included selection and training of CHWs, community embeddedness, institutionalization of CHW programs (referrals, supervision, and supply chain), CHW needs (e.g., incentives and remuneration), governance, and sustainability of CHW programs, performance and quality of care, and cost-effectiveness of CHW programs. </w:t>
            </w:r>
          </w:p>
          <w:p w14:paraId="399566EC" w14:textId="1B53C50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Priority research questions included queries on effective policy, financing, governance, supervision, and monitoring systems for CHWs and community health systems, implementation role of digital technologies, CHW preferences, and drivers of CHW motivation and retention over time. </w:t>
            </w:r>
          </w:p>
        </w:tc>
      </w:tr>
      <w:tr w:rsidR="002D39DC" w:rsidRPr="00D24F48" w14:paraId="01FAC892" w14:textId="77777777" w:rsidTr="002D39DC">
        <w:trPr>
          <w:trHeight w:val="540"/>
        </w:trPr>
        <w:tc>
          <w:tcPr>
            <w:tcW w:w="443" w:type="pct"/>
            <w:shd w:val="clear" w:color="auto" w:fill="auto"/>
            <w:hideMark/>
          </w:tcPr>
          <w:p w14:paraId="423215A4" w14:textId="7B3E938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Eckhardt et al </w:t>
            </w:r>
          </w:p>
        </w:tc>
        <w:tc>
          <w:tcPr>
            <w:tcW w:w="362" w:type="pct"/>
          </w:tcPr>
          <w:p w14:paraId="3355BCEA" w14:textId="2AD8424E" w:rsidR="002D39DC" w:rsidRPr="00D24F48" w:rsidRDefault="004E4C2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16750F05" w14:textId="206DE77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Ecuador </w:t>
            </w:r>
          </w:p>
        </w:tc>
        <w:tc>
          <w:tcPr>
            <w:tcW w:w="658" w:type="pct"/>
            <w:shd w:val="clear" w:color="auto" w:fill="auto"/>
            <w:hideMark/>
          </w:tcPr>
          <w:p w14:paraId="23CDEF8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explore the perceived effects of the 2008 health reform implementation, on rural PHC services and financial access of the rural poor. </w:t>
            </w:r>
          </w:p>
        </w:tc>
        <w:tc>
          <w:tcPr>
            <w:tcW w:w="522" w:type="pct"/>
            <w:shd w:val="clear" w:color="auto" w:fill="auto"/>
            <w:hideMark/>
          </w:tcPr>
          <w:p w14:paraId="2E6A2D03" w14:textId="6E530A8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3A4D9D50"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UHC in marginalised populations </w:t>
            </w:r>
          </w:p>
          <w:p w14:paraId="4E98DC01"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Health care needs and lack of communication of involved actors </w:t>
            </w:r>
          </w:p>
        </w:tc>
        <w:tc>
          <w:tcPr>
            <w:tcW w:w="1848" w:type="pct"/>
            <w:shd w:val="clear" w:color="auto" w:fill="auto"/>
            <w:hideMark/>
          </w:tcPr>
          <w:p w14:paraId="593CF95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Three themes: the pre-reform situation was described as difficult in terms of financial access and quality of care; the reform process was perceived as top-down and lacking in communication by the involved actors, lack of interest among the population; and the effects of the reform were mainly perceived as positive. </w:t>
            </w:r>
          </w:p>
          <w:p w14:paraId="133561EF" w14:textId="77BB3C9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New problems – challenging health information system and overusing the health services those without needs and the top-down approach of the Ecuadorean health reform, without communication to the implementers  </w:t>
            </w:r>
          </w:p>
        </w:tc>
      </w:tr>
      <w:tr w:rsidR="002D39DC" w:rsidRPr="00D24F48" w14:paraId="3EC8FD23" w14:textId="77777777" w:rsidTr="002D39DC">
        <w:trPr>
          <w:trHeight w:val="540"/>
        </w:trPr>
        <w:tc>
          <w:tcPr>
            <w:tcW w:w="443" w:type="pct"/>
            <w:shd w:val="clear" w:color="auto" w:fill="auto"/>
            <w:hideMark/>
          </w:tcPr>
          <w:p w14:paraId="0CED4C1A" w14:textId="2AAEE21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Lehmann et al </w:t>
            </w:r>
          </w:p>
        </w:tc>
        <w:tc>
          <w:tcPr>
            <w:tcW w:w="362" w:type="pct"/>
          </w:tcPr>
          <w:p w14:paraId="721E262A" w14:textId="4574630F" w:rsidR="002D39DC" w:rsidRPr="00D24F48" w:rsidRDefault="004E4C2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068D4ABB" w14:textId="7B3D1A1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SSA</w:t>
            </w:r>
          </w:p>
        </w:tc>
        <w:tc>
          <w:tcPr>
            <w:tcW w:w="658" w:type="pct"/>
            <w:shd w:val="clear" w:color="auto" w:fill="auto"/>
            <w:hideMark/>
          </w:tcPr>
          <w:p w14:paraId="7578A4C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determine foundational elements of functioning CHW programmes for large scale up </w:t>
            </w:r>
          </w:p>
        </w:tc>
        <w:tc>
          <w:tcPr>
            <w:tcW w:w="522" w:type="pct"/>
            <w:shd w:val="clear" w:color="auto" w:fill="auto"/>
            <w:hideMark/>
          </w:tcPr>
          <w:p w14:paraId="3055D0AB" w14:textId="6B3D202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6732FE6B"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elements of successful CHW programmes include embeddedness, cadre differentiation, sound programme design, and ongoing monitoring, evaluation, and adaptation.</w:t>
            </w:r>
          </w:p>
          <w:p w14:paraId="2A5747F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717049D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Successes of CHW programmes - embeddedness, connectivity, and integration into the larger system of healthcare service delivery; cadre differentiation and clarity of roles and maintain scopes of work and accountability; sound programme design based on local context and effective people management; and ongoing monitoring, learning, and adapting based contextual evidence to ensure optimal fit to local context. </w:t>
            </w:r>
          </w:p>
          <w:p w14:paraId="7BCE5E2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CHWs have long been recognised as important contributors to health services, but poor conceptualisation and implementation made failure of programmes.</w:t>
            </w:r>
          </w:p>
          <w:p w14:paraId="36FFDBD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Large-scale CHW programmes constitute a strong health systems foundation for UHC but cannot replace professional health workers</w:t>
            </w:r>
          </w:p>
          <w:p w14:paraId="10A255F9" w14:textId="416E5332"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Innovative strategies for sustainable financing of large-scale CHW programmes must be sought (to address the limitations and costs to CHW volunteerism). </w:t>
            </w:r>
          </w:p>
        </w:tc>
      </w:tr>
      <w:tr w:rsidR="002D39DC" w:rsidRPr="00D24F48" w14:paraId="1CFC0316" w14:textId="77777777" w:rsidTr="002D39DC">
        <w:trPr>
          <w:trHeight w:val="540"/>
        </w:trPr>
        <w:tc>
          <w:tcPr>
            <w:tcW w:w="443" w:type="pct"/>
            <w:shd w:val="clear" w:color="auto" w:fill="auto"/>
            <w:hideMark/>
          </w:tcPr>
          <w:p w14:paraId="3FA3ECB9" w14:textId="12242E7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Mathews et al </w:t>
            </w:r>
          </w:p>
        </w:tc>
        <w:tc>
          <w:tcPr>
            <w:tcW w:w="362" w:type="pct"/>
          </w:tcPr>
          <w:p w14:paraId="7FA147CA" w14:textId="1D08FD2F" w:rsidR="002D39DC" w:rsidRPr="00D24F48" w:rsidRDefault="004E4C2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0EBD5A37" w14:textId="09AAFC6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South Africa </w:t>
            </w:r>
          </w:p>
        </w:tc>
        <w:tc>
          <w:tcPr>
            <w:tcW w:w="658" w:type="pct"/>
            <w:shd w:val="clear" w:color="auto" w:fill="auto"/>
            <w:hideMark/>
          </w:tcPr>
          <w:p w14:paraId="113A9DC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apply an evidence ecosystem lens to the SA health system and discuss its current functioning in support of the achievement of a high-quality health system that can achieve UHC. </w:t>
            </w:r>
          </w:p>
        </w:tc>
        <w:tc>
          <w:tcPr>
            <w:tcW w:w="522" w:type="pct"/>
            <w:shd w:val="clear" w:color="auto" w:fill="auto"/>
            <w:hideMark/>
          </w:tcPr>
          <w:p w14:paraId="10C31B02"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Case studies</w:t>
            </w:r>
          </w:p>
        </w:tc>
        <w:tc>
          <w:tcPr>
            <w:tcW w:w="709" w:type="pct"/>
            <w:shd w:val="clear" w:color="auto" w:fill="auto"/>
            <w:hideMark/>
          </w:tcPr>
          <w:p w14:paraId="27EFD50C"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evidence ecosystem for health system strengthening </w:t>
            </w:r>
          </w:p>
        </w:tc>
        <w:tc>
          <w:tcPr>
            <w:tcW w:w="1848" w:type="pct"/>
            <w:shd w:val="clear" w:color="auto" w:fill="auto"/>
            <w:hideMark/>
          </w:tcPr>
          <w:p w14:paraId="36CD057A"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using evidence to strengthen health-system governance and support for CHW programmes.  </w:t>
            </w:r>
          </w:p>
          <w:p w14:paraId="7257E42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managing the growing epidemic of drug-resistant tuberculosis, while the third case focuses on social protection, the child support grant, and its impact on health. </w:t>
            </w:r>
          </w:p>
          <w:p w14:paraId="30D9576F" w14:textId="26E30ED0"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SA scientists and institutes are to strengthen the health-systems evidence ecosystem, through pioneering methods to synthesise evidence and produce evidence-informed guidelines to facilitate evidence use in health-system decision-making; facilitate involvement of evidence producers and synthesisers in the national health system policy-making process. </w:t>
            </w:r>
          </w:p>
        </w:tc>
      </w:tr>
      <w:tr w:rsidR="002D39DC" w:rsidRPr="00D24F48" w14:paraId="0EE6358D" w14:textId="77777777" w:rsidTr="002D39DC">
        <w:trPr>
          <w:trHeight w:val="540"/>
        </w:trPr>
        <w:tc>
          <w:tcPr>
            <w:tcW w:w="443" w:type="pct"/>
            <w:shd w:val="clear" w:color="auto" w:fill="auto"/>
            <w:hideMark/>
          </w:tcPr>
          <w:p w14:paraId="0B0F1A98" w14:textId="1116BE0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Rao et al </w:t>
            </w:r>
          </w:p>
        </w:tc>
        <w:tc>
          <w:tcPr>
            <w:tcW w:w="362" w:type="pct"/>
          </w:tcPr>
          <w:p w14:paraId="2547C646" w14:textId="7CE5B988" w:rsidR="002D39DC" w:rsidRPr="00D24F48" w:rsidRDefault="004E4C2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5D7BE427" w14:textId="694C0AD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India </w:t>
            </w:r>
          </w:p>
        </w:tc>
        <w:tc>
          <w:tcPr>
            <w:tcW w:w="658" w:type="pct"/>
            <w:shd w:val="clear" w:color="auto" w:fill="auto"/>
            <w:hideMark/>
          </w:tcPr>
          <w:p w14:paraId="74EC891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explore the extent to which political and programmatic decentralization are </w:t>
            </w:r>
            <w:r w:rsidRPr="00D24F48">
              <w:rPr>
                <w:rFonts w:ascii="Times New Roman" w:eastAsia="Times New Roman" w:hAnsi="Times New Roman" w:cs="Times New Roman"/>
                <w:color w:val="000000"/>
                <w:sz w:val="20"/>
                <w:szCs w:val="20"/>
                <w:lang w:val="en-AU" w:eastAsia="en-AU"/>
              </w:rPr>
              <w:lastRenderedPageBreak/>
              <w:t>functional at the village level; the consonance between the design and objectives of decentralization under NHM</w:t>
            </w:r>
          </w:p>
        </w:tc>
        <w:tc>
          <w:tcPr>
            <w:tcW w:w="522" w:type="pct"/>
            <w:shd w:val="clear" w:color="auto" w:fill="auto"/>
            <w:hideMark/>
          </w:tcPr>
          <w:p w14:paraId="3153A719" w14:textId="00B2F69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Qualitative </w:t>
            </w:r>
          </w:p>
        </w:tc>
        <w:tc>
          <w:tcPr>
            <w:tcW w:w="709" w:type="pct"/>
            <w:shd w:val="clear" w:color="auto" w:fill="auto"/>
            <w:hideMark/>
          </w:tcPr>
          <w:p w14:paraId="713E3409"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Decentralization in health sector </w:t>
            </w:r>
          </w:p>
          <w:p w14:paraId="7A5F21D2"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Rule based administrative machinery and </w:t>
            </w:r>
            <w:r w:rsidRPr="00D24F48">
              <w:rPr>
                <w:rFonts w:ascii="Times New Roman" w:eastAsia="Times New Roman" w:hAnsi="Times New Roman" w:cs="Times New Roman"/>
                <w:color w:val="000000"/>
                <w:sz w:val="20"/>
                <w:szCs w:val="20"/>
                <w:lang w:val="en-AU" w:eastAsia="en-AU"/>
              </w:rPr>
              <w:lastRenderedPageBreak/>
              <w:t xml:space="preserve">network based political culture </w:t>
            </w:r>
          </w:p>
        </w:tc>
        <w:tc>
          <w:tcPr>
            <w:tcW w:w="1848" w:type="pct"/>
            <w:shd w:val="clear" w:color="auto" w:fill="auto"/>
            <w:hideMark/>
          </w:tcPr>
          <w:p w14:paraId="2EA16C8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health sector decentralization at the village level in Karnataka is at risk due to lack of convergence between political and programmatic arms of government. </w:t>
            </w:r>
          </w:p>
          <w:p w14:paraId="01CC440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Compounded by the problems inherent in the design of the decentralization mechanism at the district level and below. </w:t>
            </w:r>
          </w:p>
          <w:p w14:paraId="145B0FC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The clash of values between rule-based administrative machinery and a network-based political culture is compounded by problems in the architecture of the decentralization mechanism.</w:t>
            </w:r>
          </w:p>
          <w:p w14:paraId="0479C8A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Strategies that focus mainly on local level capacity building and strengthening can be useful; but cannot by themselves be transformative.</w:t>
            </w:r>
          </w:p>
          <w:p w14:paraId="4F125F7E" w14:textId="768B9615"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There are spaces where co-ordination between administrative and political functionaries is possible but will require redesigning the current decentralization mechanisms. </w:t>
            </w:r>
          </w:p>
        </w:tc>
      </w:tr>
      <w:tr w:rsidR="002D39DC" w:rsidRPr="00D24F48" w14:paraId="0BEE07A8" w14:textId="77777777" w:rsidTr="002D39DC">
        <w:trPr>
          <w:trHeight w:val="540"/>
        </w:trPr>
        <w:tc>
          <w:tcPr>
            <w:tcW w:w="443" w:type="pct"/>
            <w:shd w:val="clear" w:color="auto" w:fill="auto"/>
            <w:hideMark/>
          </w:tcPr>
          <w:p w14:paraId="30A10E5B" w14:textId="3085F57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Tseng et al </w:t>
            </w:r>
          </w:p>
        </w:tc>
        <w:tc>
          <w:tcPr>
            <w:tcW w:w="362" w:type="pct"/>
          </w:tcPr>
          <w:p w14:paraId="63D972B2" w14:textId="140B7EDC" w:rsidR="002D39DC" w:rsidRPr="00D24F48" w:rsidRDefault="004E4C2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2019</w:t>
            </w:r>
          </w:p>
        </w:tc>
        <w:tc>
          <w:tcPr>
            <w:tcW w:w="458" w:type="pct"/>
            <w:shd w:val="clear" w:color="auto" w:fill="auto"/>
            <w:hideMark/>
          </w:tcPr>
          <w:p w14:paraId="2DB09260" w14:textId="4D8E36C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South Africa </w:t>
            </w:r>
          </w:p>
        </w:tc>
        <w:tc>
          <w:tcPr>
            <w:tcW w:w="658" w:type="pct"/>
            <w:shd w:val="clear" w:color="auto" w:fill="auto"/>
            <w:hideMark/>
          </w:tcPr>
          <w:p w14:paraId="69EC3421"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explore the role of on-site supervision in community health worker (CHW) programmes and CHW integration into the health system.</w:t>
            </w:r>
          </w:p>
        </w:tc>
        <w:tc>
          <w:tcPr>
            <w:tcW w:w="522" w:type="pct"/>
            <w:shd w:val="clear" w:color="auto" w:fill="auto"/>
            <w:hideMark/>
          </w:tcPr>
          <w:p w14:paraId="2598CC3A"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Case study </w:t>
            </w:r>
          </w:p>
        </w:tc>
        <w:tc>
          <w:tcPr>
            <w:tcW w:w="709" w:type="pct"/>
            <w:shd w:val="clear" w:color="auto" w:fill="auto"/>
            <w:hideMark/>
          </w:tcPr>
          <w:p w14:paraId="71DF98AC"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Integration of CHW in the formal system to improve performance </w:t>
            </w:r>
          </w:p>
          <w:p w14:paraId="29F0E2E4"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Effective supervision of the CHWs </w:t>
            </w:r>
          </w:p>
        </w:tc>
        <w:tc>
          <w:tcPr>
            <w:tcW w:w="1848" w:type="pct"/>
            <w:shd w:val="clear" w:color="auto" w:fill="auto"/>
            <w:hideMark/>
          </w:tcPr>
          <w:p w14:paraId="193D0798"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Effective supervisors supported CHWs through household visits, on-the-job training, debriefing, reviewing CHWs' daily logs and assistance with compiling reports. </w:t>
            </w:r>
          </w:p>
          <w:p w14:paraId="5558FFA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led by senior nurses were motivated and performed a greater range of tasks; junior nurses in these teams could better fulfil their role. </w:t>
            </w:r>
          </w:p>
          <w:p w14:paraId="525379C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Clinic-based teams with senior supervisors were better integrated and more able to ensure continuity of care. </w:t>
            </w:r>
          </w:p>
          <w:p w14:paraId="6774EE7C" w14:textId="640999D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Senior supervisors raised CHW skills, and successfully negotiated a place for CHWs in the health system. Collaboration with clinic staff reduced CHWs' marginalisation and increased motivation. </w:t>
            </w:r>
          </w:p>
        </w:tc>
      </w:tr>
      <w:tr w:rsidR="002D39DC" w:rsidRPr="00D24F48" w14:paraId="5794A687" w14:textId="77777777" w:rsidTr="002D39DC">
        <w:trPr>
          <w:trHeight w:val="540"/>
        </w:trPr>
        <w:tc>
          <w:tcPr>
            <w:tcW w:w="443" w:type="pct"/>
            <w:shd w:val="clear" w:color="auto" w:fill="auto"/>
            <w:hideMark/>
          </w:tcPr>
          <w:p w14:paraId="45A86E21" w14:textId="1E2733B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Hermansyah et al </w:t>
            </w:r>
          </w:p>
        </w:tc>
        <w:tc>
          <w:tcPr>
            <w:tcW w:w="362" w:type="pct"/>
          </w:tcPr>
          <w:p w14:paraId="576906D0" w14:textId="4F5CA8B2" w:rsidR="002D39DC" w:rsidRPr="00D24F48" w:rsidRDefault="004E4C2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2020</w:t>
            </w:r>
          </w:p>
        </w:tc>
        <w:tc>
          <w:tcPr>
            <w:tcW w:w="458" w:type="pct"/>
            <w:shd w:val="clear" w:color="auto" w:fill="auto"/>
            <w:hideMark/>
          </w:tcPr>
          <w:p w14:paraId="6995C75F" w14:textId="28120C2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Indonesia </w:t>
            </w:r>
          </w:p>
        </w:tc>
        <w:tc>
          <w:tcPr>
            <w:tcW w:w="658" w:type="pct"/>
            <w:shd w:val="clear" w:color="auto" w:fill="auto"/>
            <w:hideMark/>
          </w:tcPr>
          <w:p w14:paraId="320E6A1E"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argue that changes in the health care system with introduction of the UHC in 2014 due to amplify the role of pharmacists.</w:t>
            </w:r>
          </w:p>
        </w:tc>
        <w:tc>
          <w:tcPr>
            <w:tcW w:w="522" w:type="pct"/>
            <w:shd w:val="clear" w:color="auto" w:fill="auto"/>
            <w:hideMark/>
          </w:tcPr>
          <w:p w14:paraId="6E09DC3C" w14:textId="5EFA77E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Qualitative</w:t>
            </w:r>
          </w:p>
        </w:tc>
        <w:tc>
          <w:tcPr>
            <w:tcW w:w="709" w:type="pct"/>
            <w:shd w:val="clear" w:color="auto" w:fill="auto"/>
            <w:hideMark/>
          </w:tcPr>
          <w:p w14:paraId="0B52D3C0"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Integration of community pharmacy in PHC</w:t>
            </w:r>
          </w:p>
        </w:tc>
        <w:tc>
          <w:tcPr>
            <w:tcW w:w="1848" w:type="pct"/>
            <w:shd w:val="clear" w:color="auto" w:fill="auto"/>
            <w:hideMark/>
          </w:tcPr>
          <w:p w14:paraId="03921A3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highlights the contribution of pharmacist as a substantial health care element in primary care practice. </w:t>
            </w:r>
          </w:p>
          <w:p w14:paraId="17052D17"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Primary care pharmacists in the setting of CHC have enabled pharmacist to work together with other primary care providers. </w:t>
            </w:r>
          </w:p>
          <w:p w14:paraId="3C9F952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Government agenda under the “Smart Use of Medicines” program recognizes pharmacists as the agent of change for improving the rational use of medicines in the community.</w:t>
            </w:r>
          </w:p>
          <w:p w14:paraId="512A1C83" w14:textId="5F60A566"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Community pharmacy is developing, a novel position to deliver pharmacy-related primary care services (e.g., drug monitoring and home care). </w:t>
            </w:r>
          </w:p>
        </w:tc>
      </w:tr>
      <w:tr w:rsidR="002D39DC" w:rsidRPr="00D24F48" w14:paraId="6263663D" w14:textId="77777777" w:rsidTr="002D39DC">
        <w:trPr>
          <w:trHeight w:val="540"/>
        </w:trPr>
        <w:tc>
          <w:tcPr>
            <w:tcW w:w="443" w:type="pct"/>
            <w:shd w:val="clear" w:color="auto" w:fill="auto"/>
            <w:hideMark/>
          </w:tcPr>
          <w:p w14:paraId="7CC57A2E" w14:textId="60F7F0F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Jobson et al </w:t>
            </w:r>
          </w:p>
        </w:tc>
        <w:tc>
          <w:tcPr>
            <w:tcW w:w="362" w:type="pct"/>
          </w:tcPr>
          <w:p w14:paraId="29BE50F1" w14:textId="6F028B2D" w:rsidR="002D39DC" w:rsidRPr="00D24F48" w:rsidRDefault="00176FE7"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2020</w:t>
            </w:r>
          </w:p>
        </w:tc>
        <w:tc>
          <w:tcPr>
            <w:tcW w:w="458" w:type="pct"/>
            <w:shd w:val="clear" w:color="auto" w:fill="auto"/>
            <w:hideMark/>
          </w:tcPr>
          <w:p w14:paraId="3EED418E" w14:textId="733740D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South Africa </w:t>
            </w:r>
          </w:p>
        </w:tc>
        <w:tc>
          <w:tcPr>
            <w:tcW w:w="658" w:type="pct"/>
            <w:shd w:val="clear" w:color="auto" w:fill="auto"/>
            <w:hideMark/>
          </w:tcPr>
          <w:p w14:paraId="2EF8AE6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explore the contextual factors that shape the implementation of the WBOT to contribute to a more in-depth understanding of the ways in which CHWs interact with and integrate into the formal health system.</w:t>
            </w:r>
          </w:p>
        </w:tc>
        <w:tc>
          <w:tcPr>
            <w:tcW w:w="522" w:type="pct"/>
            <w:shd w:val="clear" w:color="auto" w:fill="auto"/>
            <w:hideMark/>
          </w:tcPr>
          <w:p w14:paraId="154708F3" w14:textId="52EE369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612F04DA"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context of CHWs program include geographic, social, and economic, community, local governance, and authority, and organisational.</w:t>
            </w:r>
          </w:p>
        </w:tc>
        <w:tc>
          <w:tcPr>
            <w:tcW w:w="1848" w:type="pct"/>
            <w:shd w:val="clear" w:color="auto" w:fill="auto"/>
            <w:hideMark/>
          </w:tcPr>
          <w:p w14:paraId="63DA105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CHW programme operates across these contexts, each associated with its own set of interrelated challenges and opportunities.  </w:t>
            </w:r>
          </w:p>
          <w:p w14:paraId="3FB197B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contextual analysis provides a useful means of understanding and implementation in ongoing decision-making processes. </w:t>
            </w:r>
          </w:p>
          <w:p w14:paraId="1B165DF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These contexts vary in the extent and influenced by management and policy makers. </w:t>
            </w:r>
          </w:p>
          <w:p w14:paraId="441E8FD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The CHW programme operates across a range of contexts, each with its own set of challenges and opportunities.</w:t>
            </w:r>
          </w:p>
          <w:p w14:paraId="6380E1CD" w14:textId="7CD1FF92"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Challenges interrelated with the lack of resources (organisational) and transport (geographical). </w:t>
            </w:r>
          </w:p>
        </w:tc>
      </w:tr>
      <w:tr w:rsidR="002D39DC" w:rsidRPr="00D24F48" w14:paraId="0887829D" w14:textId="77777777" w:rsidTr="002D39DC">
        <w:trPr>
          <w:trHeight w:val="540"/>
        </w:trPr>
        <w:tc>
          <w:tcPr>
            <w:tcW w:w="443" w:type="pct"/>
            <w:shd w:val="clear" w:color="auto" w:fill="auto"/>
            <w:hideMark/>
          </w:tcPr>
          <w:p w14:paraId="1A561A2A" w14:textId="22E4D6E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Jongen</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36ADA8C7" w14:textId="4FA22306" w:rsidR="002D39DC" w:rsidRPr="00D24F48" w:rsidRDefault="00176FE7"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2020</w:t>
            </w:r>
          </w:p>
        </w:tc>
        <w:tc>
          <w:tcPr>
            <w:tcW w:w="458" w:type="pct"/>
            <w:shd w:val="clear" w:color="auto" w:fill="auto"/>
            <w:hideMark/>
          </w:tcPr>
          <w:p w14:paraId="7436753A" w14:textId="0533FE4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Australia </w:t>
            </w:r>
          </w:p>
        </w:tc>
        <w:tc>
          <w:tcPr>
            <w:tcW w:w="658" w:type="pct"/>
            <w:shd w:val="clear" w:color="auto" w:fill="auto"/>
            <w:hideMark/>
          </w:tcPr>
          <w:p w14:paraId="683C263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report on an evaluation of one ACCHS’s experience of transitioning local PHC services to community control. </w:t>
            </w:r>
          </w:p>
        </w:tc>
        <w:tc>
          <w:tcPr>
            <w:tcW w:w="522" w:type="pct"/>
            <w:shd w:val="clear" w:color="auto" w:fill="auto"/>
            <w:hideMark/>
          </w:tcPr>
          <w:p w14:paraId="6692AE12"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242CDB2E"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Achieving successful transition to ACCHS of PHC was a lengthy process of substantial organisational growth and development.</w:t>
            </w:r>
          </w:p>
        </w:tc>
        <w:tc>
          <w:tcPr>
            <w:tcW w:w="1848" w:type="pct"/>
            <w:shd w:val="clear" w:color="auto" w:fill="auto"/>
            <w:hideMark/>
          </w:tcPr>
          <w:p w14:paraId="67E14A1A"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First stage strategies: addressing community social and emotional wellbeing; consulting the community; collaborating with researchers; and, strategically building services, organisation capacity and stakeholder trust. </w:t>
            </w:r>
          </w:p>
          <w:p w14:paraId="48E4B1D8" w14:textId="1F467EEC"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Stage two strategies: communicating and engaging with stakeholders; ensuring strong governance; planning and developing the services and workforce; assuring quality; and financial planning, management, and modelling. </w:t>
            </w:r>
          </w:p>
        </w:tc>
      </w:tr>
      <w:tr w:rsidR="002D39DC" w:rsidRPr="00D24F48" w14:paraId="17CE6A82" w14:textId="77777777" w:rsidTr="002D39DC">
        <w:trPr>
          <w:trHeight w:val="540"/>
        </w:trPr>
        <w:tc>
          <w:tcPr>
            <w:tcW w:w="443" w:type="pct"/>
            <w:shd w:val="clear" w:color="auto" w:fill="auto"/>
            <w:hideMark/>
          </w:tcPr>
          <w:p w14:paraId="51AA7E07" w14:textId="4015303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Langlois et al </w:t>
            </w:r>
          </w:p>
        </w:tc>
        <w:tc>
          <w:tcPr>
            <w:tcW w:w="362" w:type="pct"/>
          </w:tcPr>
          <w:p w14:paraId="4B0547D1" w14:textId="1A2689C1" w:rsidR="002D39DC" w:rsidRPr="00D24F48" w:rsidRDefault="00176FE7"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2020</w:t>
            </w:r>
          </w:p>
        </w:tc>
        <w:tc>
          <w:tcPr>
            <w:tcW w:w="458" w:type="pct"/>
            <w:shd w:val="clear" w:color="auto" w:fill="auto"/>
            <w:hideMark/>
          </w:tcPr>
          <w:p w14:paraId="14B1A6D7" w14:textId="3F30B7B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LIMCs</w:t>
            </w:r>
          </w:p>
        </w:tc>
        <w:tc>
          <w:tcPr>
            <w:tcW w:w="658" w:type="pct"/>
            <w:shd w:val="clear" w:color="auto" w:fill="auto"/>
            <w:hideMark/>
          </w:tcPr>
          <w:p w14:paraId="7E5A46D7"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analyse the system-level determinants of PHC performance and to derive lessons for PHC implementation, policymaking and systems reform that can aid efforts to </w:t>
            </w:r>
            <w:r w:rsidRPr="00D24F48">
              <w:rPr>
                <w:rFonts w:ascii="Times New Roman" w:eastAsia="Times New Roman" w:hAnsi="Times New Roman" w:cs="Times New Roman"/>
                <w:color w:val="000000"/>
                <w:sz w:val="20"/>
                <w:szCs w:val="20"/>
                <w:lang w:val="en-AU" w:eastAsia="en-AU"/>
              </w:rPr>
              <w:lastRenderedPageBreak/>
              <w:t>strengthen PHC in LMICs</w:t>
            </w:r>
          </w:p>
        </w:tc>
        <w:tc>
          <w:tcPr>
            <w:tcW w:w="522" w:type="pct"/>
            <w:shd w:val="clear" w:color="auto" w:fill="auto"/>
            <w:hideMark/>
          </w:tcPr>
          <w:p w14:paraId="685CA3E8" w14:textId="5A1D4F9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Qualitative </w:t>
            </w:r>
          </w:p>
        </w:tc>
        <w:tc>
          <w:tcPr>
            <w:tcW w:w="709" w:type="pct"/>
            <w:shd w:val="clear" w:color="auto" w:fill="auto"/>
            <w:hideMark/>
          </w:tcPr>
          <w:p w14:paraId="4508FA96"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System level determinants included: PHC systems (i.e., governance and leadership); (ii) inputs (e.g., drugs, supplies,) and (iii) service </w:t>
            </w:r>
            <w:r w:rsidRPr="00D24F48">
              <w:rPr>
                <w:rFonts w:ascii="Times New Roman" w:eastAsia="Times New Roman" w:hAnsi="Times New Roman" w:cs="Times New Roman"/>
                <w:color w:val="000000"/>
                <w:sz w:val="20"/>
                <w:szCs w:val="20"/>
                <w:lang w:val="en-AU" w:eastAsia="en-AU"/>
              </w:rPr>
              <w:lastRenderedPageBreak/>
              <w:t>delivery (e.g., access to care).</w:t>
            </w:r>
          </w:p>
        </w:tc>
        <w:tc>
          <w:tcPr>
            <w:tcW w:w="1848" w:type="pct"/>
            <w:shd w:val="clear" w:color="auto" w:fill="auto"/>
            <w:hideMark/>
          </w:tcPr>
          <w:p w14:paraId="0482174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Systematic determinants of PHC: despite the growing burden of NCDs, many LMICs lacked funds for preventive services; CHWs were often under-resourced, poorly supported and lacked training; OOP exceeded 40% of total health expenditure in half the countries studied, which affected equity; and health insurance schemes were hampered by the fragmentation of public and private systems, underfunding, corruption, and poor engagement of informal workers. </w:t>
            </w:r>
          </w:p>
          <w:p w14:paraId="0DC3968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Other determinants: unregulated private sector; weak community engagement in PHC in privatised health system and decentralised fragmentation of PHC.</w:t>
            </w:r>
          </w:p>
          <w:p w14:paraId="23734297" w14:textId="6E7FF960"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financial incentives were linked to regulation and quality improvement, and community involvement improved performance</w:t>
            </w:r>
          </w:p>
        </w:tc>
      </w:tr>
      <w:tr w:rsidR="002D39DC" w:rsidRPr="00D24F48" w14:paraId="01985F03" w14:textId="77777777" w:rsidTr="002D39DC">
        <w:trPr>
          <w:trHeight w:val="540"/>
        </w:trPr>
        <w:tc>
          <w:tcPr>
            <w:tcW w:w="443" w:type="pct"/>
            <w:shd w:val="clear" w:color="auto" w:fill="auto"/>
            <w:hideMark/>
          </w:tcPr>
          <w:p w14:paraId="64D8B3EC" w14:textId="07E76EB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Lim et al</w:t>
            </w:r>
          </w:p>
        </w:tc>
        <w:tc>
          <w:tcPr>
            <w:tcW w:w="362" w:type="pct"/>
          </w:tcPr>
          <w:p w14:paraId="4D3059FF" w14:textId="537F6C28" w:rsidR="002D39DC" w:rsidRPr="00D24F48" w:rsidRDefault="00176FE7"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2020</w:t>
            </w:r>
          </w:p>
        </w:tc>
        <w:tc>
          <w:tcPr>
            <w:tcW w:w="458" w:type="pct"/>
            <w:shd w:val="clear" w:color="auto" w:fill="auto"/>
            <w:hideMark/>
          </w:tcPr>
          <w:p w14:paraId="687B5580" w14:textId="24A0F05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Malaysia</w:t>
            </w:r>
          </w:p>
        </w:tc>
        <w:tc>
          <w:tcPr>
            <w:tcW w:w="658" w:type="pct"/>
            <w:shd w:val="clear" w:color="auto" w:fill="auto"/>
            <w:hideMark/>
          </w:tcPr>
          <w:p w14:paraId="5E8BF780"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understand the priority-setting process of SRH interventions in the context of UHC, drawing on the Malaysian experience.</w:t>
            </w:r>
          </w:p>
        </w:tc>
        <w:tc>
          <w:tcPr>
            <w:tcW w:w="522" w:type="pct"/>
            <w:shd w:val="clear" w:color="auto" w:fill="auto"/>
            <w:hideMark/>
          </w:tcPr>
          <w:p w14:paraId="3AA2C7D6" w14:textId="11964AC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Qualitative</w:t>
            </w:r>
          </w:p>
        </w:tc>
        <w:tc>
          <w:tcPr>
            <w:tcW w:w="709" w:type="pct"/>
            <w:shd w:val="clear" w:color="auto" w:fill="auto"/>
            <w:hideMark/>
          </w:tcPr>
          <w:p w14:paraId="11D92A85"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integrate and prioritise SRH services in UHC processes, </w:t>
            </w:r>
          </w:p>
        </w:tc>
        <w:tc>
          <w:tcPr>
            <w:tcW w:w="1848" w:type="pct"/>
            <w:shd w:val="clear" w:color="auto" w:fill="auto"/>
            <w:hideMark/>
          </w:tcPr>
          <w:p w14:paraId="5340F89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Advocacy strategy for the effective prioritisation of SRH services: generating public demand and social support; linking SRH issues with public agendas/commitments; engaging champions that are internal and external to the public health sector, and reframing SRH issues as public health issues. </w:t>
            </w:r>
          </w:p>
          <w:p w14:paraId="7E8ED076" w14:textId="3E8EC951"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Priority-setting is a political decision-making process that reflects societal values and norms. </w:t>
            </w:r>
          </w:p>
          <w:p w14:paraId="47E043D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Efforts to integrate SRH services in UHC processes need both to make technical arguments and to find strategies to overcome barriers related to societal values. </w:t>
            </w:r>
          </w:p>
        </w:tc>
      </w:tr>
      <w:tr w:rsidR="002D39DC" w:rsidRPr="00D24F48" w14:paraId="60D0F780" w14:textId="77777777" w:rsidTr="002D39DC">
        <w:trPr>
          <w:trHeight w:val="540"/>
        </w:trPr>
        <w:tc>
          <w:tcPr>
            <w:tcW w:w="443" w:type="pct"/>
            <w:shd w:val="clear" w:color="auto" w:fill="auto"/>
            <w:hideMark/>
          </w:tcPr>
          <w:p w14:paraId="4D81B4E1" w14:textId="548F604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Mhlongo et al </w:t>
            </w:r>
          </w:p>
        </w:tc>
        <w:tc>
          <w:tcPr>
            <w:tcW w:w="362" w:type="pct"/>
          </w:tcPr>
          <w:p w14:paraId="46043BFE" w14:textId="5A651977" w:rsidR="002D39DC" w:rsidRPr="00D24F48" w:rsidRDefault="00176FE7"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2020</w:t>
            </w:r>
          </w:p>
        </w:tc>
        <w:tc>
          <w:tcPr>
            <w:tcW w:w="458" w:type="pct"/>
            <w:shd w:val="clear" w:color="auto" w:fill="auto"/>
            <w:hideMark/>
          </w:tcPr>
          <w:p w14:paraId="0404FDD3" w14:textId="52F96E2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South Africa </w:t>
            </w:r>
          </w:p>
        </w:tc>
        <w:tc>
          <w:tcPr>
            <w:tcW w:w="658" w:type="pct"/>
            <w:shd w:val="clear" w:color="auto" w:fill="auto"/>
            <w:hideMark/>
          </w:tcPr>
          <w:p w14:paraId="4E8A3DA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investigate the roles, responsibilities, and effectiveness of CHWs working within ward based PHC outreach teams.</w:t>
            </w:r>
          </w:p>
        </w:tc>
        <w:tc>
          <w:tcPr>
            <w:tcW w:w="522" w:type="pct"/>
            <w:shd w:val="clear" w:color="auto" w:fill="auto"/>
            <w:hideMark/>
          </w:tcPr>
          <w:p w14:paraId="286CEE4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Scoping review </w:t>
            </w:r>
          </w:p>
        </w:tc>
        <w:tc>
          <w:tcPr>
            <w:tcW w:w="709" w:type="pct"/>
            <w:shd w:val="clear" w:color="auto" w:fill="auto"/>
            <w:hideMark/>
          </w:tcPr>
          <w:p w14:paraId="75FD6710"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enabling and hindering factors of the effectiveness of ward based PHC outreach teams in rural PHC settings.</w:t>
            </w:r>
          </w:p>
        </w:tc>
        <w:tc>
          <w:tcPr>
            <w:tcW w:w="1848" w:type="pct"/>
            <w:shd w:val="clear" w:color="auto" w:fill="auto"/>
            <w:hideMark/>
          </w:tcPr>
          <w:p w14:paraId="1567D224"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Positive factors: ongoing training and up skilling; collaboration and trust building with other health care workers; mentoring and supervision; motivation and recognition, and incentives and remuneration. </w:t>
            </w:r>
          </w:p>
          <w:p w14:paraId="4AF5765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Negative factors: inadequate mentorship and poor supervision; role conflict; lack of support; poor remuneration; inadequate manpower; poor knowledge, and insufficient training. </w:t>
            </w:r>
          </w:p>
          <w:p w14:paraId="45C9911E" w14:textId="06CE0291"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roles and responsibilities of CHWs included: conducting home visits; identifying vulnerable community groups; promoting health and wellness; increasing access to health care; contact tracing; delivering health education; giving counselling and psychosocial support and providing preventive health services. </w:t>
            </w:r>
          </w:p>
        </w:tc>
      </w:tr>
      <w:tr w:rsidR="002D39DC" w:rsidRPr="00D24F48" w14:paraId="145397A3" w14:textId="77777777" w:rsidTr="002D39DC">
        <w:trPr>
          <w:trHeight w:val="540"/>
        </w:trPr>
        <w:tc>
          <w:tcPr>
            <w:tcW w:w="443" w:type="pct"/>
            <w:shd w:val="clear" w:color="auto" w:fill="auto"/>
            <w:hideMark/>
          </w:tcPr>
          <w:p w14:paraId="4BB3CDE7" w14:textId="1B6DA96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Schaaf et al </w:t>
            </w:r>
          </w:p>
        </w:tc>
        <w:tc>
          <w:tcPr>
            <w:tcW w:w="362" w:type="pct"/>
          </w:tcPr>
          <w:p w14:paraId="2675DE81" w14:textId="738EC963" w:rsidR="002D39DC" w:rsidRPr="00D24F48" w:rsidRDefault="00176FE7"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2020</w:t>
            </w:r>
          </w:p>
        </w:tc>
        <w:tc>
          <w:tcPr>
            <w:tcW w:w="458" w:type="pct"/>
            <w:shd w:val="clear" w:color="auto" w:fill="auto"/>
            <w:hideMark/>
          </w:tcPr>
          <w:p w14:paraId="4BEF000B" w14:textId="2B7E46F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Global </w:t>
            </w:r>
          </w:p>
        </w:tc>
        <w:tc>
          <w:tcPr>
            <w:tcW w:w="658" w:type="pct"/>
            <w:shd w:val="clear" w:color="auto" w:fill="auto"/>
            <w:hideMark/>
          </w:tcPr>
          <w:p w14:paraId="2AE179C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promote or undermine CHWs as accountability agents to impel </w:t>
            </w:r>
            <w:r w:rsidRPr="00D24F48">
              <w:rPr>
                <w:rFonts w:ascii="Times New Roman" w:eastAsia="Times New Roman" w:hAnsi="Times New Roman" w:cs="Times New Roman"/>
                <w:color w:val="000000"/>
                <w:sz w:val="20"/>
                <w:szCs w:val="20"/>
                <w:lang w:val="en-AU" w:eastAsia="en-AU"/>
              </w:rPr>
              <w:lastRenderedPageBreak/>
              <w:t>health system accountability?</w:t>
            </w:r>
          </w:p>
        </w:tc>
        <w:tc>
          <w:tcPr>
            <w:tcW w:w="522" w:type="pct"/>
            <w:shd w:val="clear" w:color="auto" w:fill="auto"/>
            <w:hideMark/>
          </w:tcPr>
          <w:p w14:paraId="270930E4"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Critical interpretive synthesis </w:t>
            </w:r>
          </w:p>
        </w:tc>
        <w:tc>
          <w:tcPr>
            <w:tcW w:w="709" w:type="pct"/>
            <w:shd w:val="clear" w:color="auto" w:fill="auto"/>
            <w:hideMark/>
          </w:tcPr>
          <w:p w14:paraId="26A568C1"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comprise a 'bridge' between community </w:t>
            </w:r>
            <w:r w:rsidRPr="00D24F48">
              <w:rPr>
                <w:rFonts w:ascii="Times New Roman" w:eastAsia="Times New Roman" w:hAnsi="Times New Roman" w:cs="Times New Roman"/>
                <w:color w:val="000000"/>
                <w:sz w:val="20"/>
                <w:szCs w:val="20"/>
                <w:lang w:val="en-AU" w:eastAsia="en-AU"/>
              </w:rPr>
              <w:lastRenderedPageBreak/>
              <w:t xml:space="preserve">members and the formal health system. </w:t>
            </w:r>
          </w:p>
        </w:tc>
        <w:tc>
          <w:tcPr>
            <w:tcW w:w="1848" w:type="pct"/>
            <w:shd w:val="clear" w:color="auto" w:fill="auto"/>
            <w:hideMark/>
          </w:tcPr>
          <w:p w14:paraId="32B08A5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CHWs bridges the functions through service extender, cultural broker, social change agent. </w:t>
            </w:r>
          </w:p>
          <w:p w14:paraId="39B8A18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Several factors shape the bridging function CHWs play, their role in fomenting health system accountability to </w:t>
            </w:r>
            <w:r w:rsidRPr="00D24F48">
              <w:rPr>
                <w:rFonts w:ascii="Times New Roman" w:eastAsia="Times New Roman" w:hAnsi="Times New Roman" w:cs="Times New Roman"/>
                <w:color w:val="000000"/>
                <w:sz w:val="20"/>
                <w:szCs w:val="20"/>
                <w:lang w:val="en-AU" w:eastAsia="en-AU"/>
              </w:rPr>
              <w:lastRenderedPageBreak/>
              <w:t xml:space="preserve">communities, including the local political context, extent, and nature of CHW interactions with other community-based structures, health system treatment of CHWs, community perceptions of CHWs, and extent and type of CHW unionisation and collectivisation. </w:t>
            </w:r>
          </w:p>
          <w:p w14:paraId="7B194AB2" w14:textId="15F73C0B"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 embeddedness, acceptability, social connections, and expertise is a crucial attribute of CHW ability to foment local government accountability to communities. </w:t>
            </w:r>
          </w:p>
        </w:tc>
      </w:tr>
      <w:tr w:rsidR="002D39DC" w:rsidRPr="00D24F48" w14:paraId="56FAF6C2" w14:textId="77777777" w:rsidTr="002D39DC">
        <w:trPr>
          <w:trHeight w:val="540"/>
        </w:trPr>
        <w:tc>
          <w:tcPr>
            <w:tcW w:w="443" w:type="pct"/>
            <w:shd w:val="clear" w:color="auto" w:fill="auto"/>
            <w:hideMark/>
          </w:tcPr>
          <w:p w14:paraId="65ECFD30" w14:textId="5907FEC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Awar et al  </w:t>
            </w:r>
          </w:p>
        </w:tc>
        <w:tc>
          <w:tcPr>
            <w:tcW w:w="362" w:type="pct"/>
          </w:tcPr>
          <w:p w14:paraId="1606D01A" w14:textId="7E283E37" w:rsidR="002D39DC" w:rsidRPr="00D24F48" w:rsidRDefault="00176FE7"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4FBA0463" w14:textId="12E5D41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Uganda </w:t>
            </w:r>
          </w:p>
        </w:tc>
        <w:tc>
          <w:tcPr>
            <w:tcW w:w="658" w:type="pct"/>
            <w:shd w:val="clear" w:color="auto" w:fill="auto"/>
            <w:hideMark/>
          </w:tcPr>
          <w:p w14:paraId="2E471DA9"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identify the challenges, enablers, and priorities for scale-up of the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strategy in Uganda. </w:t>
            </w:r>
          </w:p>
        </w:tc>
        <w:tc>
          <w:tcPr>
            <w:tcW w:w="522" w:type="pct"/>
            <w:shd w:val="clear" w:color="auto" w:fill="auto"/>
            <w:hideMark/>
          </w:tcPr>
          <w:p w14:paraId="7949B21C" w14:textId="3222245C"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1B42D496"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ICCM challenges- little ownership </w:t>
            </w:r>
          </w:p>
        </w:tc>
        <w:tc>
          <w:tcPr>
            <w:tcW w:w="1848" w:type="pct"/>
            <w:shd w:val="clear" w:color="auto" w:fill="auto"/>
            <w:hideMark/>
          </w:tcPr>
          <w:p w14:paraId="6DE22E12"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drive by international agency through inception and little ownership of the government.</w:t>
            </w:r>
          </w:p>
          <w:p w14:paraId="190E4F7E"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Many implementation challenges low government funding, weak coordination and contradicting policies were identified, which could contribute to the slow scale up of the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program. </w:t>
            </w:r>
          </w:p>
          <w:p w14:paraId="550C5E6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enablers and opportunities also exist within the health system, include strong community commitment, existing policy instruments and the potential of also utilizing the private sector for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implementation.</w:t>
            </w:r>
          </w:p>
          <w:p w14:paraId="568F6AA4" w14:textId="7670E1B0"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w:t>
            </w:r>
            <w:proofErr w:type="spellStart"/>
            <w:r w:rsidRPr="00D24F48">
              <w:rPr>
                <w:rFonts w:ascii="Times New Roman" w:eastAsia="Times New Roman" w:hAnsi="Times New Roman" w:cs="Times New Roman"/>
                <w:color w:val="000000"/>
                <w:sz w:val="20"/>
                <w:szCs w:val="20"/>
                <w:lang w:val="en-AU" w:eastAsia="en-AU"/>
              </w:rPr>
              <w:t>iCCM</w:t>
            </w:r>
            <w:proofErr w:type="spellEnd"/>
            <w:r w:rsidRPr="00D24F48">
              <w:rPr>
                <w:rFonts w:ascii="Times New Roman" w:eastAsia="Times New Roman" w:hAnsi="Times New Roman" w:cs="Times New Roman"/>
                <w:color w:val="000000"/>
                <w:sz w:val="20"/>
                <w:szCs w:val="20"/>
                <w:lang w:val="en-AU" w:eastAsia="en-AU"/>
              </w:rPr>
              <w:t xml:space="preserve"> program needs increased domestic funding, strong coordination and a focus on monitoring, evaluation, and operational research. </w:t>
            </w:r>
          </w:p>
        </w:tc>
      </w:tr>
      <w:tr w:rsidR="002D39DC" w:rsidRPr="00D24F48" w14:paraId="2C11CE40" w14:textId="77777777" w:rsidTr="002D39DC">
        <w:trPr>
          <w:trHeight w:val="540"/>
        </w:trPr>
        <w:tc>
          <w:tcPr>
            <w:tcW w:w="443" w:type="pct"/>
            <w:shd w:val="clear" w:color="auto" w:fill="auto"/>
            <w:hideMark/>
          </w:tcPr>
          <w:p w14:paraId="74D960DE" w14:textId="22C5DA8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Bassoumah</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68D0817E" w14:textId="791CF156"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5266102B" w14:textId="1E6A231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Ghana </w:t>
            </w:r>
          </w:p>
        </w:tc>
        <w:tc>
          <w:tcPr>
            <w:tcW w:w="658" w:type="pct"/>
            <w:shd w:val="clear" w:color="auto" w:fill="auto"/>
            <w:hideMark/>
          </w:tcPr>
          <w:p w14:paraId="308734A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explore the implementation and utilization challenges of the CHPS programme</w:t>
            </w:r>
          </w:p>
        </w:tc>
        <w:tc>
          <w:tcPr>
            <w:tcW w:w="522" w:type="pct"/>
            <w:shd w:val="clear" w:color="auto" w:fill="auto"/>
            <w:hideMark/>
          </w:tcPr>
          <w:p w14:paraId="4DFB2416" w14:textId="43AA64A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36A435C9"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CHPS barriers included  </w:t>
            </w:r>
          </w:p>
        </w:tc>
        <w:tc>
          <w:tcPr>
            <w:tcW w:w="1848" w:type="pct"/>
            <w:shd w:val="clear" w:color="auto" w:fill="auto"/>
            <w:hideMark/>
          </w:tcPr>
          <w:p w14:paraId="54B0390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barriers of the CHPS utilization include lack of transportation, poor road network, cultural beliefs, proof of women's faithfulness to their husbands and absence of health workers, poor communication networks during emergencies, and inaccessibility of ambulance service. </w:t>
            </w:r>
          </w:p>
          <w:p w14:paraId="0788E00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CHPS compounds lack the capacity to sterilize some of their equipment, lack of incentives for Community Health Officers and Community Health Volunteers and inadequate infrastructures (e.g., potable water and electricity). </w:t>
            </w:r>
          </w:p>
          <w:p w14:paraId="2906D9D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study also observed poor coordination of interventions, inadequate equipment, and poor community engagement as setbacks to the progress of the CHPS policy. </w:t>
            </w:r>
          </w:p>
          <w:p w14:paraId="06DECAAC" w14:textId="638F2093"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Clinical attendance, timing, and number of antenatal and postnatal care visits, remain major concerns for the CHPS programme in the study setting. </w:t>
            </w:r>
          </w:p>
        </w:tc>
      </w:tr>
      <w:tr w:rsidR="002D39DC" w:rsidRPr="00D24F48" w14:paraId="754332E1" w14:textId="77777777" w:rsidTr="002D39DC">
        <w:trPr>
          <w:trHeight w:val="540"/>
        </w:trPr>
        <w:tc>
          <w:tcPr>
            <w:tcW w:w="443" w:type="pct"/>
            <w:shd w:val="clear" w:color="auto" w:fill="auto"/>
            <w:hideMark/>
          </w:tcPr>
          <w:p w14:paraId="422235B5" w14:textId="1B5D5CC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Blanchard et al </w:t>
            </w:r>
          </w:p>
        </w:tc>
        <w:tc>
          <w:tcPr>
            <w:tcW w:w="362" w:type="pct"/>
          </w:tcPr>
          <w:p w14:paraId="277BF865" w14:textId="6663643B"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35732D08" w14:textId="2204A6B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India</w:t>
            </w:r>
          </w:p>
        </w:tc>
        <w:tc>
          <w:tcPr>
            <w:tcW w:w="658" w:type="pct"/>
            <w:shd w:val="clear" w:color="auto" w:fill="auto"/>
            <w:hideMark/>
          </w:tcPr>
          <w:p w14:paraId="1E93624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explore the roles of ASHAs' home visits in improving equity in perinatal health between socio-economic position groups </w:t>
            </w:r>
          </w:p>
        </w:tc>
        <w:tc>
          <w:tcPr>
            <w:tcW w:w="522" w:type="pct"/>
            <w:shd w:val="clear" w:color="auto" w:fill="auto"/>
            <w:hideMark/>
          </w:tcPr>
          <w:p w14:paraId="172EE803" w14:textId="7AE36F3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7D876BDD"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ASHAs built relationships, counselled, and supported many pregnant women of lower socio-economic positions.</w:t>
            </w:r>
          </w:p>
          <w:p w14:paraId="4F420701"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Ongoing inequities were perpetuated by overlapping contextual issues beyond the ASHAs' purview. </w:t>
            </w:r>
          </w:p>
        </w:tc>
        <w:tc>
          <w:tcPr>
            <w:tcW w:w="1848" w:type="pct"/>
            <w:shd w:val="clear" w:color="auto" w:fill="auto"/>
            <w:hideMark/>
          </w:tcPr>
          <w:p w14:paraId="331385C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Home visits enabled ASHAs to build trusting relationships with women, offer information about health services, schemes, and preventive care, and provide practical support for accessing maternity care.</w:t>
            </w:r>
          </w:p>
          <w:p w14:paraId="0F0124E1"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Many women and families prepared for birth and motivated them to deliver in health facilities. </w:t>
            </w:r>
          </w:p>
          <w:p w14:paraId="39F07493"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ASHAs encouraged women who were poorer, less educated or from lower caste groups to give birth in public CHCs. </w:t>
            </w:r>
          </w:p>
          <w:p w14:paraId="58B50504"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Women who gave birth at CHCs often experienced insufficient emergency care, mistreatment from staff, indirect costs, lack of medicines, and referrals. </w:t>
            </w:r>
          </w:p>
          <w:p w14:paraId="338E4D96" w14:textId="04E19DDE"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Referrals often led to delays and higher fees that placed the greatest burden on families who were considered of lower socio-economic position or living in remote areas and increased their risk of experiencing perinatal loss. </w:t>
            </w:r>
          </w:p>
        </w:tc>
      </w:tr>
      <w:tr w:rsidR="002D39DC" w:rsidRPr="00D24F48" w14:paraId="0FACDC55" w14:textId="77777777" w:rsidTr="002D39DC">
        <w:trPr>
          <w:trHeight w:val="540"/>
        </w:trPr>
        <w:tc>
          <w:tcPr>
            <w:tcW w:w="443" w:type="pct"/>
            <w:shd w:val="clear" w:color="auto" w:fill="auto"/>
            <w:hideMark/>
          </w:tcPr>
          <w:p w14:paraId="2E03D534" w14:textId="67BC780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DeHaven et al </w:t>
            </w:r>
          </w:p>
        </w:tc>
        <w:tc>
          <w:tcPr>
            <w:tcW w:w="362" w:type="pct"/>
          </w:tcPr>
          <w:p w14:paraId="28F0C4CA" w14:textId="0E090C2B"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64170248" w14:textId="59F50C9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US</w:t>
            </w:r>
          </w:p>
        </w:tc>
        <w:tc>
          <w:tcPr>
            <w:tcW w:w="658" w:type="pct"/>
            <w:shd w:val="clear" w:color="auto" w:fill="auto"/>
            <w:hideMark/>
          </w:tcPr>
          <w:p w14:paraId="61BF6E8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describe community health science framework to achieve UHC.</w:t>
            </w:r>
          </w:p>
        </w:tc>
        <w:tc>
          <w:tcPr>
            <w:tcW w:w="522" w:type="pct"/>
            <w:shd w:val="clear" w:color="auto" w:fill="auto"/>
            <w:hideMark/>
          </w:tcPr>
          <w:p w14:paraId="080114BB" w14:textId="01085FC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hideMark/>
          </w:tcPr>
          <w:p w14:paraId="2C8506ED"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Working with communities to identify problems and solutions </w:t>
            </w:r>
          </w:p>
        </w:tc>
        <w:tc>
          <w:tcPr>
            <w:tcW w:w="1848" w:type="pct"/>
            <w:shd w:val="clear" w:color="auto" w:fill="auto"/>
            <w:hideMark/>
          </w:tcPr>
          <w:p w14:paraId="0667866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research programme for testing interventions to improve health outcomes in vulnerable communities, by working in partnership with community organizations and other stakeholders. </w:t>
            </w:r>
          </w:p>
          <w:p w14:paraId="4C9B916E"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partnership goals were reducing chronic disease risk and multimorbidity, by stimulating lifestyle changes, increasing healthy behaviours and health knowledge, improving care seeking and patient self-management, and addressing the social determinants of health and population health. </w:t>
            </w:r>
          </w:p>
          <w:p w14:paraId="07270068"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Our approach demonstrated factors contributing to health can only be addressed by working directly with and in affected communities to co-develop health care solutions across the broad range of causal factors.  </w:t>
            </w:r>
          </w:p>
          <w:p w14:paraId="7E474848" w14:textId="5E7207CB"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experience provides useful lessons in how to engage communities to address the deficits of the current system</w:t>
            </w:r>
          </w:p>
        </w:tc>
      </w:tr>
      <w:tr w:rsidR="002D39DC" w:rsidRPr="00D24F48" w14:paraId="6018EAB5" w14:textId="77777777" w:rsidTr="002D39DC">
        <w:trPr>
          <w:trHeight w:val="540"/>
        </w:trPr>
        <w:tc>
          <w:tcPr>
            <w:tcW w:w="443" w:type="pct"/>
            <w:shd w:val="clear" w:color="auto" w:fill="auto"/>
            <w:hideMark/>
          </w:tcPr>
          <w:p w14:paraId="758D6B30" w14:textId="4454D66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Hand et al </w:t>
            </w:r>
          </w:p>
        </w:tc>
        <w:tc>
          <w:tcPr>
            <w:tcW w:w="362" w:type="pct"/>
          </w:tcPr>
          <w:p w14:paraId="7E7FACC2" w14:textId="0C249435"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4D560720" w14:textId="37BA3B3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global </w:t>
            </w:r>
          </w:p>
        </w:tc>
        <w:tc>
          <w:tcPr>
            <w:tcW w:w="658" w:type="pct"/>
            <w:shd w:val="clear" w:color="auto" w:fill="auto"/>
            <w:hideMark/>
          </w:tcPr>
          <w:p w14:paraId="785C25AC"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determine the effectiveness and feasibility of these programs, with particular attention paid to differences between CHW-led interventions in LMICs and HICs.</w:t>
            </w:r>
          </w:p>
        </w:tc>
        <w:tc>
          <w:tcPr>
            <w:tcW w:w="522" w:type="pct"/>
            <w:shd w:val="clear" w:color="auto" w:fill="auto"/>
            <w:hideMark/>
          </w:tcPr>
          <w:p w14:paraId="021E2988"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Scoping review </w:t>
            </w:r>
          </w:p>
        </w:tc>
        <w:tc>
          <w:tcPr>
            <w:tcW w:w="709" w:type="pct"/>
            <w:shd w:val="clear" w:color="auto" w:fill="auto"/>
            <w:hideMark/>
          </w:tcPr>
          <w:p w14:paraId="5A2BE533"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CHWs in NCD prevention-</w:t>
            </w:r>
          </w:p>
          <w:p w14:paraId="6104C878" w14:textId="77777777" w:rsidR="002D39DC" w:rsidRPr="00D24F48" w:rsidRDefault="002D39DC" w:rsidP="002118C7">
            <w:pPr>
              <w:pStyle w:val="ListParagraph"/>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0F8B8681"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Three primary roles for CHWs in breast cancer screening were identified: education, direct assistance or performance of breast cancer screening, and navigational services. </w:t>
            </w:r>
          </w:p>
          <w:p w14:paraId="76B3AD58"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 these roles, CHWs improved rates of breast cancer screening and overall community member knowledge. </w:t>
            </w:r>
          </w:p>
          <w:p w14:paraId="660E08C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It illustrates how CHW involvement in screening programs can have a significant impact in LMICs and HICs, </w:t>
            </w:r>
          </w:p>
          <w:p w14:paraId="43744F74" w14:textId="7586DF44"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three CHW roles of education, direct performance of screening, and navigational services that emerge as useful pillars around which governments and NGOs can design effective programs in this area. </w:t>
            </w:r>
          </w:p>
        </w:tc>
      </w:tr>
      <w:tr w:rsidR="002D39DC" w:rsidRPr="00D24F48" w14:paraId="395C66A5" w14:textId="77777777" w:rsidTr="002D39DC">
        <w:trPr>
          <w:trHeight w:val="540"/>
        </w:trPr>
        <w:tc>
          <w:tcPr>
            <w:tcW w:w="443" w:type="pct"/>
            <w:shd w:val="clear" w:color="auto" w:fill="auto"/>
            <w:hideMark/>
          </w:tcPr>
          <w:p w14:paraId="36F10C3A" w14:textId="05B1A93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Kinney et al </w:t>
            </w:r>
          </w:p>
        </w:tc>
        <w:tc>
          <w:tcPr>
            <w:tcW w:w="362" w:type="pct"/>
          </w:tcPr>
          <w:p w14:paraId="226C22E8" w14:textId="72566CC6"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586EEB2E" w14:textId="03139C9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Uganda </w:t>
            </w:r>
          </w:p>
        </w:tc>
        <w:tc>
          <w:tcPr>
            <w:tcW w:w="658" w:type="pct"/>
            <w:shd w:val="clear" w:color="auto" w:fill="auto"/>
            <w:hideMark/>
          </w:tcPr>
          <w:p w14:paraId="324122F2"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present a novel low-cost approach for supplemental primary care financing - pooling community wealth and) issuing microfinance loans to motorcycle taxi entrepreneurs</w:t>
            </w:r>
          </w:p>
          <w:p w14:paraId="07E67296"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 </w:t>
            </w:r>
          </w:p>
        </w:tc>
        <w:tc>
          <w:tcPr>
            <w:tcW w:w="522" w:type="pct"/>
            <w:shd w:val="clear" w:color="auto" w:fill="auto"/>
            <w:hideMark/>
          </w:tcPr>
          <w:p w14:paraId="2EC6A1B6" w14:textId="50E8EA1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Mm </w:t>
            </w:r>
          </w:p>
        </w:tc>
        <w:tc>
          <w:tcPr>
            <w:tcW w:w="709" w:type="pct"/>
            <w:shd w:val="clear" w:color="auto" w:fill="auto"/>
            <w:hideMark/>
          </w:tcPr>
          <w:p w14:paraId="153685F5"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Community-funded integrated care outreach clinics as a capacity building strategy to expand access </w:t>
            </w:r>
          </w:p>
          <w:p w14:paraId="67BDBC60"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p w14:paraId="74F0ADC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50488623"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integrated and appropriately resourced monthly outreach clinics, based on a microfinance-linked model of wealth pooling and government cooperation, can expand the capacity of government-provided healthcare to reach more patients living in remote communities. </w:t>
            </w:r>
          </w:p>
          <w:p w14:paraId="094EBF84"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This scalable, sustainable, and flexible model is responsive to shifting needs of patients and health systems and presents an alternative approach to healthcare financing in low-resource settings</w:t>
            </w:r>
          </w:p>
          <w:p w14:paraId="2D15D36A" w14:textId="52302345"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pooling community wealth to cover overhead costs for outreach clinic activities and issuing microfinance loans to motorcycle taxi entrepreneurs to overcome gaps in access to transportation </w:t>
            </w:r>
          </w:p>
        </w:tc>
      </w:tr>
      <w:tr w:rsidR="002D39DC" w:rsidRPr="00D24F48" w14:paraId="75E0D680" w14:textId="77777777" w:rsidTr="002D39DC">
        <w:trPr>
          <w:trHeight w:val="540"/>
        </w:trPr>
        <w:tc>
          <w:tcPr>
            <w:tcW w:w="443" w:type="pct"/>
            <w:shd w:val="clear" w:color="auto" w:fill="auto"/>
            <w:hideMark/>
          </w:tcPr>
          <w:p w14:paraId="28DA9951" w14:textId="0BB5C2F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Mushamiri</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4229BB9B" w14:textId="7897D89E"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653875F1" w14:textId="2983D90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LMICs</w:t>
            </w:r>
          </w:p>
        </w:tc>
        <w:tc>
          <w:tcPr>
            <w:tcW w:w="658" w:type="pct"/>
            <w:shd w:val="clear" w:color="auto" w:fill="auto"/>
            <w:hideMark/>
          </w:tcPr>
          <w:p w14:paraId="42117D4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assess the evidence of the effectiveness of CBPHC on HIV outcomes at the population level in the context of MNCH in LMICs</w:t>
            </w:r>
          </w:p>
        </w:tc>
        <w:tc>
          <w:tcPr>
            <w:tcW w:w="522" w:type="pct"/>
            <w:shd w:val="clear" w:color="auto" w:fill="auto"/>
            <w:hideMark/>
          </w:tcPr>
          <w:p w14:paraId="33FF3D98" w14:textId="751367D0"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61EACA48"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community based primary health care in improving HIV/AIDS outcomes for mothers and children</w:t>
            </w:r>
          </w:p>
        </w:tc>
        <w:tc>
          <w:tcPr>
            <w:tcW w:w="1848" w:type="pct"/>
            <w:shd w:val="clear" w:color="auto" w:fill="auto"/>
            <w:hideMark/>
          </w:tcPr>
          <w:p w14:paraId="075F12B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Community-based interventions improved HIV prevention and treatment outcomes compared to facility-based approaches alone. Most interventions were implemented by community health workers; other implementers were government workers, community members, or research staff.</w:t>
            </w:r>
          </w:p>
          <w:p w14:paraId="655E8352" w14:textId="150AA22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Strategies used included peer-to-peer education, psychosocial support, training of community champions, community-based follow-up care, home-based care, and integrated care. </w:t>
            </w:r>
          </w:p>
        </w:tc>
      </w:tr>
      <w:tr w:rsidR="002D39DC" w:rsidRPr="00D24F48" w14:paraId="03160A3D" w14:textId="77777777" w:rsidTr="002D39DC">
        <w:trPr>
          <w:trHeight w:val="540"/>
        </w:trPr>
        <w:tc>
          <w:tcPr>
            <w:tcW w:w="443" w:type="pct"/>
            <w:shd w:val="clear" w:color="auto" w:fill="auto"/>
            <w:hideMark/>
          </w:tcPr>
          <w:p w14:paraId="4D91D40D" w14:textId="5704DCE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lastRenderedPageBreak/>
              <w:t>Ndejjo</w:t>
            </w:r>
            <w:proofErr w:type="spellEnd"/>
            <w:r w:rsidRPr="00D24F48">
              <w:rPr>
                <w:rFonts w:ascii="Times New Roman" w:eastAsia="Times New Roman" w:hAnsi="Times New Roman" w:cs="Times New Roman"/>
                <w:color w:val="000000"/>
                <w:sz w:val="20"/>
                <w:szCs w:val="20"/>
                <w:lang w:val="en-AU" w:eastAsia="en-AU"/>
              </w:rPr>
              <w:t xml:space="preserve"> </w:t>
            </w:r>
          </w:p>
        </w:tc>
        <w:tc>
          <w:tcPr>
            <w:tcW w:w="362" w:type="pct"/>
          </w:tcPr>
          <w:p w14:paraId="1AE1447E" w14:textId="745E2CCA"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6E80D1C2" w14:textId="560F0FE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Africa</w:t>
            </w:r>
          </w:p>
        </w:tc>
        <w:tc>
          <w:tcPr>
            <w:tcW w:w="658" w:type="pct"/>
            <w:shd w:val="clear" w:color="auto" w:fill="auto"/>
            <w:hideMark/>
          </w:tcPr>
          <w:p w14:paraId="5EFBF3EA"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explore the role of communities in operationalizing within the </w:t>
            </w:r>
            <w:r w:rsidRPr="00D24F48">
              <w:rPr>
                <w:rFonts w:ascii="Times New Roman" w:eastAsia="Times New Roman" w:hAnsi="Times New Roman" w:cs="Times New Roman"/>
                <w:color w:val="000000"/>
                <w:sz w:val="20"/>
                <w:szCs w:val="20"/>
                <w:lang w:val="en-AU" w:eastAsia="en-AU"/>
              </w:rPr>
              <w:br/>
              <w:t xml:space="preserve">community holds the promise to achieving </w:t>
            </w:r>
            <w:r w:rsidRPr="00D24F48">
              <w:rPr>
                <w:rFonts w:ascii="Times New Roman" w:eastAsia="Times New Roman" w:hAnsi="Times New Roman" w:cs="Times New Roman"/>
                <w:color w:val="000000"/>
                <w:sz w:val="20"/>
                <w:szCs w:val="20"/>
                <w:lang w:val="en-AU" w:eastAsia="en-AU"/>
              </w:rPr>
              <w:br/>
              <w:t>UHC for its population</w:t>
            </w:r>
          </w:p>
        </w:tc>
        <w:tc>
          <w:tcPr>
            <w:tcW w:w="522" w:type="pct"/>
            <w:shd w:val="clear" w:color="auto" w:fill="auto"/>
            <w:hideMark/>
          </w:tcPr>
          <w:p w14:paraId="02C93C57" w14:textId="204095F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7D1C9165"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role of communities in UHC</w:t>
            </w:r>
          </w:p>
        </w:tc>
        <w:tc>
          <w:tcPr>
            <w:tcW w:w="1848" w:type="pct"/>
            <w:shd w:val="clear" w:color="auto" w:fill="auto"/>
            <w:hideMark/>
          </w:tcPr>
          <w:p w14:paraId="4C02CDF3"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Africa’s key strength lies in the communities whose potential need to unlock to build cost effective and sustainable bottom-up health systems founded on PHC. </w:t>
            </w:r>
          </w:p>
          <w:p w14:paraId="22A3B03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Such systems on community-based services, designed around individuals, families, and the community, involving CHWs and other actors, and capitalising on health promotion and disease prevention approaches. </w:t>
            </w:r>
          </w:p>
          <w:p w14:paraId="7CAC8FD0" w14:textId="53FC5C02"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A strong community health system should be adequately linked to district, regional and national levels working together to empower and serve populations to make health for all a reality </w:t>
            </w:r>
          </w:p>
        </w:tc>
      </w:tr>
      <w:tr w:rsidR="002D39DC" w:rsidRPr="00D24F48" w14:paraId="27AEF57D" w14:textId="77777777" w:rsidTr="002D39DC">
        <w:trPr>
          <w:trHeight w:val="540"/>
        </w:trPr>
        <w:tc>
          <w:tcPr>
            <w:tcW w:w="443" w:type="pct"/>
            <w:shd w:val="clear" w:color="auto" w:fill="auto"/>
            <w:hideMark/>
          </w:tcPr>
          <w:p w14:paraId="7F937A62" w14:textId="709BC16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Oliphant et al </w:t>
            </w:r>
          </w:p>
        </w:tc>
        <w:tc>
          <w:tcPr>
            <w:tcW w:w="362" w:type="pct"/>
          </w:tcPr>
          <w:p w14:paraId="4FED3DD0" w14:textId="5BE94A47"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57CAF298" w14:textId="4F0D651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Niger </w:t>
            </w:r>
          </w:p>
        </w:tc>
        <w:tc>
          <w:tcPr>
            <w:tcW w:w="658" w:type="pct"/>
            <w:shd w:val="clear" w:color="auto" w:fill="auto"/>
            <w:hideMark/>
          </w:tcPr>
          <w:p w14:paraId="1FC99ED7"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explore the contribution of community health posts and CHWs to geographical accessibility of PHC services at community level and strategies for optimising geographical accessibility to these services.</w:t>
            </w:r>
          </w:p>
        </w:tc>
        <w:tc>
          <w:tcPr>
            <w:tcW w:w="522" w:type="pct"/>
            <w:shd w:val="clear" w:color="auto" w:fill="auto"/>
            <w:hideMark/>
          </w:tcPr>
          <w:p w14:paraId="14DF6DFB" w14:textId="0D0C976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Quantitative </w:t>
            </w:r>
          </w:p>
        </w:tc>
        <w:tc>
          <w:tcPr>
            <w:tcW w:w="709" w:type="pct"/>
            <w:shd w:val="clear" w:color="auto" w:fill="auto"/>
            <w:hideMark/>
          </w:tcPr>
          <w:p w14:paraId="5A8B01C9"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CHWs addressed the geographical barriers </w:t>
            </w:r>
          </w:p>
        </w:tc>
        <w:tc>
          <w:tcPr>
            <w:tcW w:w="1848" w:type="pct"/>
            <w:shd w:val="clear" w:color="auto" w:fill="auto"/>
            <w:hideMark/>
          </w:tcPr>
          <w:p w14:paraId="21D0606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proportion of population within 60-minute walking to the nearest community health post with a CHW increased from 0.0% to 17.5% between 2000 and 2013. </w:t>
            </w:r>
          </w:p>
          <w:p w14:paraId="520FF85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Geographical targeting of the existing community health post network was inefficient but optimised networks could improve efficiency by 32.3%-47.1%, depending on targeting metric. </w:t>
            </w:r>
          </w:p>
          <w:p w14:paraId="49B7B531" w14:textId="47BD34E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This provides the estimates of geographical accessibility to community health posts and CHWs at national scale in Niger, highlighting improvements, geographies where gaps remained and approaches for optimising geographical accessibility to PHC services at community level. </w:t>
            </w:r>
          </w:p>
        </w:tc>
      </w:tr>
      <w:tr w:rsidR="002D39DC" w:rsidRPr="00D24F48" w14:paraId="5D01EFA1" w14:textId="77777777" w:rsidTr="002D39DC">
        <w:trPr>
          <w:trHeight w:val="540"/>
        </w:trPr>
        <w:tc>
          <w:tcPr>
            <w:tcW w:w="443" w:type="pct"/>
            <w:shd w:val="clear" w:color="auto" w:fill="auto"/>
            <w:hideMark/>
          </w:tcPr>
          <w:p w14:paraId="7E0C8A55" w14:textId="2257F97E"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roofErr w:type="spellStart"/>
            <w:r w:rsidRPr="00D24F48">
              <w:rPr>
                <w:rFonts w:ascii="Times New Roman" w:eastAsia="Times New Roman" w:hAnsi="Times New Roman" w:cs="Times New Roman"/>
                <w:color w:val="000000"/>
                <w:sz w:val="20"/>
                <w:szCs w:val="20"/>
                <w:lang w:val="en-AU" w:eastAsia="en-AU"/>
              </w:rPr>
              <w:t>Petiwala</w:t>
            </w:r>
            <w:proofErr w:type="spellEnd"/>
            <w:r w:rsidRPr="00D24F48">
              <w:rPr>
                <w:rFonts w:ascii="Times New Roman" w:eastAsia="Times New Roman" w:hAnsi="Times New Roman" w:cs="Times New Roman"/>
                <w:color w:val="000000"/>
                <w:sz w:val="20"/>
                <w:szCs w:val="20"/>
                <w:lang w:val="en-AU" w:eastAsia="en-AU"/>
              </w:rPr>
              <w:t xml:space="preserve"> et al </w:t>
            </w:r>
          </w:p>
        </w:tc>
        <w:tc>
          <w:tcPr>
            <w:tcW w:w="362" w:type="pct"/>
          </w:tcPr>
          <w:p w14:paraId="6D4E3547" w14:textId="1FD35A3D"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4223DB7C" w14:textId="5B692F7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LMICs</w:t>
            </w:r>
          </w:p>
        </w:tc>
        <w:tc>
          <w:tcPr>
            <w:tcW w:w="658" w:type="pct"/>
            <w:shd w:val="clear" w:color="auto" w:fill="auto"/>
            <w:hideMark/>
          </w:tcPr>
          <w:p w14:paraId="74A8009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addresses a gap in the literature with a systematic scoping review of research on health-oriented cross-sector collaboration and community voice.</w:t>
            </w:r>
          </w:p>
        </w:tc>
        <w:tc>
          <w:tcPr>
            <w:tcW w:w="522" w:type="pct"/>
            <w:shd w:val="clear" w:color="auto" w:fill="auto"/>
            <w:hideMark/>
          </w:tcPr>
          <w:p w14:paraId="6C2B3A7B" w14:textId="30AA124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516F5F51"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conceptualization of community voice in health-oriented collaborations provides a new theoretical basis for future research. </w:t>
            </w:r>
          </w:p>
        </w:tc>
        <w:tc>
          <w:tcPr>
            <w:tcW w:w="1848" w:type="pct"/>
            <w:shd w:val="clear" w:color="auto" w:fill="auto"/>
            <w:hideMark/>
          </w:tcPr>
          <w:p w14:paraId="38A8902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Several conceptions of community voice and a range of community voice strategies.</w:t>
            </w:r>
          </w:p>
          <w:p w14:paraId="35AEE6F5"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 voice strategies fall on a spectrum between two broad types of approaches: active and passive. </w:t>
            </w:r>
          </w:p>
          <w:p w14:paraId="11DF2717"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These vary not only in the level of power shared between communities and collaborators, but also in the level of involvement required from the community and has implications for community collaboration strategies. </w:t>
            </w:r>
          </w:p>
          <w:p w14:paraId="38EB47EA"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Most strategies are discussed in the context of short-term collaboration, many also lend themselves to adoption in the context of sustainable collaboration and, ultimately, cross-sector alignment.</w:t>
            </w:r>
          </w:p>
          <w:p w14:paraId="3532BC71"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Increased attention to active community voice and the resources helps practitioners achieve improved health outcomes and researchers understand the pathways to health improvement through collaboration. </w:t>
            </w:r>
          </w:p>
          <w:p w14:paraId="76740C1F" w14:textId="7765D2A9"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Passive and active community voice strategies can be studied in more detail for their expected impact on health outcomes and disparities. </w:t>
            </w:r>
          </w:p>
        </w:tc>
      </w:tr>
      <w:tr w:rsidR="002D39DC" w:rsidRPr="00D24F48" w14:paraId="0BA0E6AA" w14:textId="77777777" w:rsidTr="002D39DC">
        <w:trPr>
          <w:trHeight w:val="540"/>
        </w:trPr>
        <w:tc>
          <w:tcPr>
            <w:tcW w:w="443" w:type="pct"/>
            <w:shd w:val="clear" w:color="auto" w:fill="auto"/>
            <w:hideMark/>
          </w:tcPr>
          <w:p w14:paraId="2E52E2C2" w14:textId="240B258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Sabo et al </w:t>
            </w:r>
          </w:p>
        </w:tc>
        <w:tc>
          <w:tcPr>
            <w:tcW w:w="362" w:type="pct"/>
          </w:tcPr>
          <w:p w14:paraId="0C8CFE87" w14:textId="0A39A4D7"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3CD1FC33" w14:textId="6C5ED13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US</w:t>
            </w:r>
          </w:p>
        </w:tc>
        <w:tc>
          <w:tcPr>
            <w:tcW w:w="658" w:type="pct"/>
            <w:shd w:val="clear" w:color="auto" w:fill="auto"/>
            <w:hideMark/>
          </w:tcPr>
          <w:p w14:paraId="5EC5148E"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test if participation in the Health Start Programme, an Arizona state-wide CHW MCH home visiting programme, reduced rates of low birth weight and preterm birth.</w:t>
            </w:r>
          </w:p>
        </w:tc>
        <w:tc>
          <w:tcPr>
            <w:tcW w:w="522" w:type="pct"/>
            <w:shd w:val="clear" w:color="auto" w:fill="auto"/>
            <w:hideMark/>
          </w:tcPr>
          <w:p w14:paraId="49B2783B" w14:textId="2039189B"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Mm</w:t>
            </w:r>
          </w:p>
        </w:tc>
        <w:tc>
          <w:tcPr>
            <w:tcW w:w="709" w:type="pct"/>
            <w:shd w:val="clear" w:color="auto" w:fill="auto"/>
            <w:hideMark/>
          </w:tcPr>
          <w:p w14:paraId="5EBB57CF"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hAnsi="Times New Roman" w:cs="Times New Roman"/>
                <w:sz w:val="20"/>
                <w:szCs w:val="20"/>
                <w:lang w:val="en-AU"/>
              </w:rPr>
              <w:t xml:space="preserve">Programme participation is associated with decreases in adverse birth outcomes for most subgroups. </w:t>
            </w:r>
          </w:p>
          <w:p w14:paraId="54247B0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169001A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hAnsi="Times New Roman" w:cs="Times New Roman"/>
                <w:sz w:val="20"/>
                <w:szCs w:val="20"/>
                <w:lang w:val="en-AU"/>
              </w:rPr>
              <w:t>Health Start participation is associated with statistically significant lower rates of LBW among American Indian. Among Latina mothers, Health Start Programme participation is associated with statistically significant lower rates of VLBW and ELBW.</w:t>
            </w:r>
          </w:p>
          <w:p w14:paraId="2D9B214E"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hAnsi="Times New Roman" w:cs="Times New Roman"/>
                <w:sz w:val="20"/>
                <w:szCs w:val="20"/>
                <w:lang w:val="en-AU"/>
              </w:rPr>
              <w:t xml:space="preserve">Health Start Programme participation is associated with a statistically significant lower rate of PTB for teen mothers. </w:t>
            </w:r>
          </w:p>
          <w:p w14:paraId="3359806F" w14:textId="184F8F23"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hAnsi="Times New Roman" w:cs="Times New Roman"/>
                <w:sz w:val="20"/>
                <w:szCs w:val="20"/>
                <w:lang w:val="en-AU"/>
              </w:rPr>
              <w:t>A state health department operated MCH home visiting intervention that employs CHWs as the primary interventionist may contribute to the reduction of LBW, VLBW, ELBW and PTB and could improve birth outcomes state-wide, especially among women and children at increased risk for MCH inequity.</w:t>
            </w:r>
            <w:r w:rsidRPr="00D24F48" w:rsidDel="00FC1C5D">
              <w:rPr>
                <w:rFonts w:ascii="Times New Roman" w:eastAsia="Times New Roman" w:hAnsi="Times New Roman" w:cs="Times New Roman"/>
                <w:color w:val="000000"/>
                <w:sz w:val="20"/>
                <w:szCs w:val="20"/>
                <w:lang w:val="en-AU" w:eastAsia="en-AU"/>
              </w:rPr>
              <w:t xml:space="preserve"> </w:t>
            </w:r>
          </w:p>
        </w:tc>
      </w:tr>
      <w:tr w:rsidR="002D39DC" w:rsidRPr="00D24F48" w14:paraId="2E2EDD39" w14:textId="77777777" w:rsidTr="002D39DC">
        <w:trPr>
          <w:trHeight w:val="540"/>
        </w:trPr>
        <w:tc>
          <w:tcPr>
            <w:tcW w:w="443" w:type="pct"/>
            <w:shd w:val="clear" w:color="auto" w:fill="auto"/>
            <w:hideMark/>
          </w:tcPr>
          <w:p w14:paraId="36BDAE0C" w14:textId="5AAB5BD9"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Simen-Kapeu et al</w:t>
            </w:r>
          </w:p>
        </w:tc>
        <w:tc>
          <w:tcPr>
            <w:tcW w:w="362" w:type="pct"/>
          </w:tcPr>
          <w:p w14:paraId="50B280D0" w14:textId="607574F1" w:rsidR="002D39DC" w:rsidRPr="00D24F48" w:rsidRDefault="00D35E56"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25CAD53B" w14:textId="180D48E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Central Africa</w:t>
            </w:r>
          </w:p>
        </w:tc>
        <w:tc>
          <w:tcPr>
            <w:tcW w:w="658" w:type="pct"/>
            <w:shd w:val="clear" w:color="auto" w:fill="auto"/>
            <w:hideMark/>
          </w:tcPr>
          <w:p w14:paraId="71630E39"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identify</w:t>
            </w:r>
            <w:r w:rsidRPr="00D24F48">
              <w:rPr>
                <w:rFonts w:ascii="Times New Roman" w:eastAsia="Times New Roman" w:hAnsi="Times New Roman" w:cs="Times New Roman"/>
                <w:color w:val="000000"/>
                <w:sz w:val="20"/>
                <w:szCs w:val="20"/>
                <w:lang w:val="en-AU" w:eastAsia="en-AU"/>
              </w:rPr>
              <w:br/>
              <w:t>common community health system bottlenecks,</w:t>
            </w:r>
            <w:r w:rsidRPr="00D24F48">
              <w:rPr>
                <w:rFonts w:ascii="Times New Roman" w:eastAsia="Times New Roman" w:hAnsi="Times New Roman" w:cs="Times New Roman"/>
                <w:color w:val="000000"/>
                <w:sz w:val="20"/>
                <w:szCs w:val="20"/>
                <w:lang w:val="en-AU" w:eastAsia="en-AU"/>
              </w:rPr>
              <w:br/>
              <w:t>review progress made by selected countries, and</w:t>
            </w:r>
            <w:r w:rsidRPr="00D24F48">
              <w:rPr>
                <w:rFonts w:ascii="Times New Roman" w:eastAsia="Times New Roman" w:hAnsi="Times New Roman" w:cs="Times New Roman"/>
                <w:color w:val="000000"/>
                <w:sz w:val="20"/>
                <w:szCs w:val="20"/>
                <w:lang w:val="en-AU" w:eastAsia="en-AU"/>
              </w:rPr>
              <w:br/>
              <w:t>propose strategies to move forward.</w:t>
            </w:r>
          </w:p>
        </w:tc>
        <w:tc>
          <w:tcPr>
            <w:tcW w:w="522" w:type="pct"/>
            <w:shd w:val="clear" w:color="auto" w:fill="auto"/>
            <w:hideMark/>
          </w:tcPr>
          <w:p w14:paraId="0025A017" w14:textId="2FA37A3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3E7B3DBD"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Countries must seize the opportunities to</w:t>
            </w:r>
            <w:r w:rsidRPr="00D24F48">
              <w:rPr>
                <w:rFonts w:ascii="Times New Roman" w:eastAsia="Times New Roman" w:hAnsi="Times New Roman" w:cs="Times New Roman"/>
                <w:color w:val="000000"/>
                <w:sz w:val="20"/>
                <w:szCs w:val="20"/>
                <w:lang w:val="en-AU" w:eastAsia="en-AU"/>
              </w:rPr>
              <w:br/>
              <w:t>systematically strengthen community health</w:t>
            </w:r>
            <w:r w:rsidRPr="00D24F48">
              <w:rPr>
                <w:rFonts w:ascii="Times New Roman" w:eastAsia="Times New Roman" w:hAnsi="Times New Roman" w:cs="Times New Roman"/>
                <w:color w:val="000000"/>
                <w:sz w:val="20"/>
                <w:szCs w:val="20"/>
                <w:lang w:val="en-AU" w:eastAsia="en-AU"/>
              </w:rPr>
              <w:br/>
              <w:t>systems in their efforts to achieve UHC.</w:t>
            </w:r>
          </w:p>
          <w:p w14:paraId="18FC5C06"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2463044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The bottlenecks identified as severe or very severe were related to health financing, essential medical technology and products, integrated health service delivery, and community ownership and partnerships. Only the integrated service delivery was self-reported as a severe challenge by countries with high U5MR.</w:t>
            </w:r>
          </w:p>
          <w:p w14:paraId="05A9120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strengthening community health systems as part of PHC revitalization efforts should focus on increasing health financing and innovative investments, strengthening the logistics management system, and fostering community ownership and partnerships. </w:t>
            </w:r>
          </w:p>
          <w:p w14:paraId="422593C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Potential strategies to overcome bottlenecks include increasing domestic allocation and leveraging innovative funding mechanisms for PHC, integrating supply chain </w:t>
            </w:r>
            <w:r w:rsidRPr="00D24F48">
              <w:rPr>
                <w:rFonts w:ascii="Times New Roman" w:eastAsia="Times New Roman" w:hAnsi="Times New Roman" w:cs="Times New Roman"/>
                <w:color w:val="000000"/>
                <w:sz w:val="20"/>
                <w:szCs w:val="20"/>
                <w:lang w:val="en-AU" w:eastAsia="en-AU"/>
              </w:rPr>
              <w:lastRenderedPageBreak/>
              <w:t xml:space="preserve">systems, and strengthening policy implementation with communities and local governments. </w:t>
            </w:r>
          </w:p>
          <w:p w14:paraId="36A1F43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Countries with high child mortality rates should improve service delivery through better integration.</w:t>
            </w:r>
          </w:p>
          <w:p w14:paraId="7E236035" w14:textId="3F33015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Community-based integrated programming should reinforce to strengthen resilience, disease surveillance, and rapid responses to health crises </w:t>
            </w:r>
          </w:p>
        </w:tc>
      </w:tr>
      <w:tr w:rsidR="002D39DC" w:rsidRPr="00D24F48" w14:paraId="67E2E501" w14:textId="77777777" w:rsidTr="002D39DC">
        <w:trPr>
          <w:trHeight w:val="540"/>
        </w:trPr>
        <w:tc>
          <w:tcPr>
            <w:tcW w:w="443" w:type="pct"/>
            <w:shd w:val="clear" w:color="auto" w:fill="auto"/>
            <w:hideMark/>
          </w:tcPr>
          <w:p w14:paraId="56E992DF" w14:textId="7AEF695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Yadav et al </w:t>
            </w:r>
          </w:p>
        </w:tc>
        <w:tc>
          <w:tcPr>
            <w:tcW w:w="362" w:type="pct"/>
          </w:tcPr>
          <w:p w14:paraId="262B615A" w14:textId="16FEC124" w:rsidR="002D39DC" w:rsidRPr="00D24F48" w:rsidRDefault="00C14750"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2021</w:t>
            </w:r>
          </w:p>
        </w:tc>
        <w:tc>
          <w:tcPr>
            <w:tcW w:w="458" w:type="pct"/>
            <w:shd w:val="clear" w:color="auto" w:fill="auto"/>
            <w:hideMark/>
          </w:tcPr>
          <w:p w14:paraId="59B45392" w14:textId="6B047C8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Nepal</w:t>
            </w:r>
          </w:p>
        </w:tc>
        <w:tc>
          <w:tcPr>
            <w:tcW w:w="658" w:type="pct"/>
            <w:shd w:val="clear" w:color="auto" w:fill="auto"/>
            <w:hideMark/>
          </w:tcPr>
          <w:p w14:paraId="75F6EAB7"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develop a model of care, using a co-design approach, for delivering evidence based biomedical and psycho-social care to support COPD patient in Nepal</w:t>
            </w:r>
          </w:p>
        </w:tc>
        <w:tc>
          <w:tcPr>
            <w:tcW w:w="522" w:type="pct"/>
            <w:shd w:val="clear" w:color="auto" w:fill="auto"/>
            <w:hideMark/>
          </w:tcPr>
          <w:p w14:paraId="1C977727" w14:textId="441D835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Qualitative</w:t>
            </w:r>
          </w:p>
        </w:tc>
        <w:tc>
          <w:tcPr>
            <w:tcW w:w="709" w:type="pct"/>
            <w:shd w:val="clear" w:color="auto" w:fill="auto"/>
            <w:hideMark/>
          </w:tcPr>
          <w:p w14:paraId="79C2D2A1"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co-design approach is different from the currently dominant approach of rolling out models of care, which were designed elsewhere with minimal community engagement. </w:t>
            </w:r>
          </w:p>
        </w:tc>
        <w:tc>
          <w:tcPr>
            <w:tcW w:w="1848" w:type="pct"/>
            <w:shd w:val="clear" w:color="auto" w:fill="auto"/>
            <w:hideMark/>
          </w:tcPr>
          <w:p w14:paraId="421764E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The integrated model of care included: screening of the community members aged &gt; 40 years or exhibiting symptoms for COPD and management of symptomatic patients within primary health care, establishing referral pathways for severe cases to and from secondary/tertiary-level health care and establishing a community-based support system.</w:t>
            </w:r>
          </w:p>
          <w:p w14:paraId="16878415" w14:textId="22C829D9"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It involved specific roles for community health workers, patients and their caregivers and community representatives. It was built on existing services and programmes linking PHC centres and tertiary-level health facilities. </w:t>
            </w:r>
          </w:p>
        </w:tc>
      </w:tr>
      <w:tr w:rsidR="002D39DC" w:rsidRPr="00D24F48" w14:paraId="402A7AAF" w14:textId="77777777" w:rsidTr="002D39DC">
        <w:trPr>
          <w:trHeight w:val="540"/>
        </w:trPr>
        <w:tc>
          <w:tcPr>
            <w:tcW w:w="443" w:type="pct"/>
            <w:shd w:val="clear" w:color="auto" w:fill="auto"/>
            <w:hideMark/>
          </w:tcPr>
          <w:p w14:paraId="06784D3B" w14:textId="4DA878A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D'Apice et al </w:t>
            </w:r>
          </w:p>
        </w:tc>
        <w:tc>
          <w:tcPr>
            <w:tcW w:w="362" w:type="pct"/>
          </w:tcPr>
          <w:p w14:paraId="383456B0" w14:textId="5D963772" w:rsidR="002D39DC" w:rsidRPr="00D24F48" w:rsidRDefault="00C14750"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2022</w:t>
            </w:r>
          </w:p>
        </w:tc>
        <w:tc>
          <w:tcPr>
            <w:tcW w:w="458" w:type="pct"/>
            <w:shd w:val="clear" w:color="auto" w:fill="auto"/>
            <w:hideMark/>
          </w:tcPr>
          <w:p w14:paraId="50377932" w14:textId="694286A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global </w:t>
            </w:r>
          </w:p>
        </w:tc>
        <w:tc>
          <w:tcPr>
            <w:tcW w:w="658" w:type="pct"/>
            <w:shd w:val="clear" w:color="auto" w:fill="auto"/>
            <w:hideMark/>
          </w:tcPr>
          <w:p w14:paraId="7B3145CF"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How the interventions involving health care staff work and under what circumstance remains unclear. </w:t>
            </w:r>
          </w:p>
        </w:tc>
        <w:tc>
          <w:tcPr>
            <w:tcW w:w="522" w:type="pct"/>
            <w:shd w:val="clear" w:color="auto" w:fill="auto"/>
            <w:hideMark/>
          </w:tcPr>
          <w:p w14:paraId="2C4FFD74" w14:textId="478DEDA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13BB0A4F"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The review highlights that the context and contextual factors should be considered for an intervention to be successful</w:t>
            </w:r>
          </w:p>
        </w:tc>
        <w:tc>
          <w:tcPr>
            <w:tcW w:w="1848" w:type="pct"/>
            <w:shd w:val="clear" w:color="auto" w:fill="auto"/>
            <w:hideMark/>
          </w:tcPr>
          <w:p w14:paraId="098730E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Three Context-Mechanism-Outcome (CMO) configurations: inserting culturally sensitive ad hoc bridge figures, tailoring staff practices to the needs of specified populations, and training as a means for staff reskilling. Inserting ad hoc bridge figures in health care services was successful when they were familiar with the contextual culture and the users’ needs. </w:t>
            </w:r>
          </w:p>
          <w:p w14:paraId="226BA3E0"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second configuration entails interventions where the staff was asked to consider the needs of targeted populations and differentiate strategies by the detected conditions. </w:t>
            </w:r>
          </w:p>
          <w:p w14:paraId="167A8452"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third one consists of specific, ad hoc, and context-based training targeting several stakeholders. </w:t>
            </w:r>
          </w:p>
          <w:p w14:paraId="7532FD40" w14:textId="73FA343C"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Central to this intervention was training for health care bridge figures, since they were explicitly trained before </w:t>
            </w:r>
            <w:r w:rsidRPr="00D24F48">
              <w:rPr>
                <w:rFonts w:ascii="Times New Roman" w:eastAsia="Times New Roman" w:hAnsi="Times New Roman" w:cs="Times New Roman"/>
                <w:color w:val="000000"/>
                <w:sz w:val="20"/>
                <w:szCs w:val="20"/>
                <w:lang w:val="en-AU" w:eastAsia="en-AU"/>
              </w:rPr>
              <w:lastRenderedPageBreak/>
              <w:t xml:space="preserve">performing their duties to cope with the health care and social needs of the specific groups they intended to serve. </w:t>
            </w:r>
          </w:p>
        </w:tc>
      </w:tr>
      <w:tr w:rsidR="002D39DC" w:rsidRPr="00D24F48" w14:paraId="3425E9E5" w14:textId="77777777" w:rsidTr="002D39DC">
        <w:trPr>
          <w:trHeight w:val="540"/>
        </w:trPr>
        <w:tc>
          <w:tcPr>
            <w:tcW w:w="443" w:type="pct"/>
            <w:shd w:val="clear" w:color="auto" w:fill="auto"/>
            <w:hideMark/>
          </w:tcPr>
          <w:p w14:paraId="38B15DEC" w14:textId="5329A74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Ignoffo et al </w:t>
            </w:r>
          </w:p>
        </w:tc>
        <w:tc>
          <w:tcPr>
            <w:tcW w:w="362" w:type="pct"/>
          </w:tcPr>
          <w:p w14:paraId="36624267" w14:textId="5C62D3EB" w:rsidR="002D39DC" w:rsidRPr="00D24F48" w:rsidRDefault="00C14750"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2022</w:t>
            </w:r>
          </w:p>
        </w:tc>
        <w:tc>
          <w:tcPr>
            <w:tcW w:w="458" w:type="pct"/>
            <w:shd w:val="clear" w:color="auto" w:fill="auto"/>
            <w:hideMark/>
          </w:tcPr>
          <w:p w14:paraId="076CF21E" w14:textId="4AEE633F"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US </w:t>
            </w:r>
          </w:p>
        </w:tc>
        <w:tc>
          <w:tcPr>
            <w:tcW w:w="658" w:type="pct"/>
            <w:shd w:val="clear" w:color="auto" w:fill="auto"/>
            <w:hideMark/>
          </w:tcPr>
          <w:p w14:paraId="79911208"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Investing in and more effectively integrating CHWs into health care delivery been prioritized in the COVID-19 response given the importance of trust and community connection to move people toward </w:t>
            </w:r>
            <w:proofErr w:type="spellStart"/>
            <w:r w:rsidRPr="00D24F48">
              <w:rPr>
                <w:rFonts w:ascii="Times New Roman" w:eastAsia="Times New Roman" w:hAnsi="Times New Roman" w:cs="Times New Roman"/>
                <w:color w:val="000000"/>
                <w:sz w:val="20"/>
                <w:szCs w:val="20"/>
                <w:lang w:val="en-AU" w:eastAsia="en-AU"/>
              </w:rPr>
              <w:t>behavior</w:t>
            </w:r>
            <w:proofErr w:type="spellEnd"/>
            <w:r w:rsidRPr="00D24F48">
              <w:rPr>
                <w:rFonts w:ascii="Times New Roman" w:eastAsia="Times New Roman" w:hAnsi="Times New Roman" w:cs="Times New Roman"/>
                <w:color w:val="000000"/>
                <w:sz w:val="20"/>
                <w:szCs w:val="20"/>
                <w:lang w:val="en-AU" w:eastAsia="en-AU"/>
              </w:rPr>
              <w:t xml:space="preserve"> change during times of uncertainty. </w:t>
            </w:r>
          </w:p>
        </w:tc>
        <w:tc>
          <w:tcPr>
            <w:tcW w:w="522" w:type="pct"/>
            <w:shd w:val="clear" w:color="auto" w:fill="auto"/>
            <w:hideMark/>
          </w:tcPr>
          <w:p w14:paraId="4D6DB265"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Perspective </w:t>
            </w:r>
          </w:p>
        </w:tc>
        <w:tc>
          <w:tcPr>
            <w:tcW w:w="709" w:type="pct"/>
            <w:shd w:val="clear" w:color="auto" w:fill="auto"/>
            <w:hideMark/>
          </w:tcPr>
          <w:p w14:paraId="04619F57"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integration of urban health </w:t>
            </w:r>
          </w:p>
        </w:tc>
        <w:tc>
          <w:tcPr>
            <w:tcW w:w="1848" w:type="pct"/>
            <w:shd w:val="clear" w:color="auto" w:fill="auto"/>
            <w:hideMark/>
          </w:tcPr>
          <w:p w14:paraId="302A8D7F"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Health care systems should reimagine current care delivery models to fully integrate CHWs into care teams. Sinai Urban Health Institute has learned valuable lessons in overcoming the common barriers to true and effective CHW integration. </w:t>
            </w:r>
          </w:p>
          <w:p w14:paraId="6B83002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Organizations that approach CHW program implementation with a deliberate focus on recruitment and training and career pathways, and adequately prepare their organization for CHWs will realize the benefits this unique workforce has to offer.</w:t>
            </w:r>
          </w:p>
          <w:p w14:paraId="1BA9A8CB"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If we hire the right people, train them effectively, and provide appropriate supervision, CHWs are transformative to health care delivery. </w:t>
            </w:r>
          </w:p>
          <w:p w14:paraId="56BD384E" w14:textId="45F47572"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We discuss our solutions in these areas within the context of integrating CHWs into our health care system to work with our most medically and socially complex patients. </w:t>
            </w:r>
          </w:p>
        </w:tc>
      </w:tr>
      <w:tr w:rsidR="002D39DC" w:rsidRPr="00D24F48" w14:paraId="6F09A17C" w14:textId="77777777" w:rsidTr="002D39DC">
        <w:trPr>
          <w:trHeight w:val="540"/>
        </w:trPr>
        <w:tc>
          <w:tcPr>
            <w:tcW w:w="443" w:type="pct"/>
            <w:shd w:val="clear" w:color="auto" w:fill="auto"/>
            <w:hideMark/>
          </w:tcPr>
          <w:p w14:paraId="2D8ABCB3" w14:textId="672EF3CD"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Jimmenez et al</w:t>
            </w:r>
          </w:p>
        </w:tc>
        <w:tc>
          <w:tcPr>
            <w:tcW w:w="362" w:type="pct"/>
          </w:tcPr>
          <w:p w14:paraId="1FC032EE" w14:textId="5668D7C1" w:rsidR="002D39DC" w:rsidRPr="00D24F48" w:rsidRDefault="00C14750"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2022</w:t>
            </w:r>
          </w:p>
        </w:tc>
        <w:tc>
          <w:tcPr>
            <w:tcW w:w="458" w:type="pct"/>
            <w:shd w:val="clear" w:color="auto" w:fill="auto"/>
            <w:hideMark/>
          </w:tcPr>
          <w:p w14:paraId="3E75F5F2" w14:textId="729A2D13"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US</w:t>
            </w:r>
          </w:p>
        </w:tc>
        <w:tc>
          <w:tcPr>
            <w:tcW w:w="658" w:type="pct"/>
            <w:shd w:val="clear" w:color="auto" w:fill="auto"/>
            <w:hideMark/>
          </w:tcPr>
          <w:p w14:paraId="4E69135D"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explores multisectoral leaders' understanding of the social, environmental, and economic conditions that produce and sustain health inequity </w:t>
            </w:r>
          </w:p>
        </w:tc>
        <w:tc>
          <w:tcPr>
            <w:tcW w:w="522" w:type="pct"/>
            <w:shd w:val="clear" w:color="auto" w:fill="auto"/>
            <w:hideMark/>
          </w:tcPr>
          <w:p w14:paraId="3018B772"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Mixed methods </w:t>
            </w:r>
          </w:p>
        </w:tc>
        <w:tc>
          <w:tcPr>
            <w:tcW w:w="709" w:type="pct"/>
            <w:shd w:val="clear" w:color="auto" w:fill="auto"/>
            <w:hideMark/>
          </w:tcPr>
          <w:p w14:paraId="3F425007"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root causes of inequities, most leaders described </w:t>
            </w:r>
            <w:proofErr w:type="spellStart"/>
            <w:r w:rsidRPr="00D24F48">
              <w:rPr>
                <w:rFonts w:ascii="Times New Roman" w:eastAsia="Times New Roman" w:hAnsi="Times New Roman" w:cs="Times New Roman"/>
                <w:color w:val="000000"/>
                <w:sz w:val="20"/>
                <w:szCs w:val="20"/>
                <w:lang w:val="en-AU" w:eastAsia="en-AU"/>
              </w:rPr>
              <w:t>SDoH</w:t>
            </w:r>
            <w:proofErr w:type="spellEnd"/>
            <w:r w:rsidRPr="00D24F48">
              <w:rPr>
                <w:rFonts w:ascii="Times New Roman" w:eastAsia="Times New Roman" w:hAnsi="Times New Roman" w:cs="Times New Roman"/>
                <w:color w:val="000000"/>
                <w:sz w:val="20"/>
                <w:szCs w:val="20"/>
                <w:lang w:val="en-AU" w:eastAsia="en-AU"/>
              </w:rPr>
              <w:t xml:space="preserve">. </w:t>
            </w:r>
          </w:p>
          <w:p w14:paraId="6E04FE8C"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p>
        </w:tc>
        <w:tc>
          <w:tcPr>
            <w:tcW w:w="1848" w:type="pct"/>
            <w:shd w:val="clear" w:color="auto" w:fill="auto"/>
            <w:hideMark/>
          </w:tcPr>
          <w:p w14:paraId="50A6312D"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Root causes of health inequity, they articulated systemic factors affecting their communities, describing discrimination and unequal allocation of power and resources. Most leaders described the </w:t>
            </w:r>
            <w:proofErr w:type="spellStart"/>
            <w:r w:rsidRPr="00D24F48">
              <w:rPr>
                <w:rFonts w:ascii="Times New Roman" w:eastAsia="Times New Roman" w:hAnsi="Times New Roman" w:cs="Times New Roman"/>
                <w:color w:val="000000"/>
                <w:sz w:val="20"/>
                <w:szCs w:val="20"/>
                <w:lang w:val="en-AU" w:eastAsia="en-AU"/>
              </w:rPr>
              <w:t>SDoH</w:t>
            </w:r>
            <w:proofErr w:type="spellEnd"/>
            <w:r w:rsidRPr="00D24F48">
              <w:rPr>
                <w:rFonts w:ascii="Times New Roman" w:eastAsia="Times New Roman" w:hAnsi="Times New Roman" w:cs="Times New Roman"/>
                <w:color w:val="000000"/>
                <w:sz w:val="20"/>
                <w:szCs w:val="20"/>
                <w:lang w:val="en-AU" w:eastAsia="en-AU"/>
              </w:rPr>
              <w:t xml:space="preserve"> by discussing compounding factors of poverty, transportation, housing, and rurality among others, that together exacerbate inequity. </w:t>
            </w:r>
          </w:p>
          <w:p w14:paraId="12B96FFB" w14:textId="4796691D"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leaders also identified specific strategies to address </w:t>
            </w:r>
            <w:proofErr w:type="spellStart"/>
            <w:r w:rsidRPr="00D24F48">
              <w:rPr>
                <w:rFonts w:ascii="Times New Roman" w:eastAsia="Times New Roman" w:hAnsi="Times New Roman" w:cs="Times New Roman"/>
                <w:color w:val="000000"/>
                <w:sz w:val="20"/>
                <w:szCs w:val="20"/>
                <w:lang w:val="en-AU" w:eastAsia="en-AU"/>
              </w:rPr>
              <w:t>SDoH</w:t>
            </w:r>
            <w:proofErr w:type="spellEnd"/>
            <w:r w:rsidRPr="00D24F48">
              <w:rPr>
                <w:rFonts w:ascii="Times New Roman" w:eastAsia="Times New Roman" w:hAnsi="Times New Roman" w:cs="Times New Roman"/>
                <w:color w:val="000000"/>
                <w:sz w:val="20"/>
                <w:szCs w:val="20"/>
                <w:lang w:val="en-AU" w:eastAsia="en-AU"/>
              </w:rPr>
              <w:t xml:space="preserve"> and advance health equity in their communities, ranging from providing direct services to activating partnerships across organizations and sectors in advocacy for policy change. </w:t>
            </w:r>
          </w:p>
        </w:tc>
      </w:tr>
      <w:tr w:rsidR="002D39DC" w:rsidRPr="00D24F48" w14:paraId="4C1940E7" w14:textId="77777777" w:rsidTr="002D39DC">
        <w:trPr>
          <w:trHeight w:val="540"/>
        </w:trPr>
        <w:tc>
          <w:tcPr>
            <w:tcW w:w="443" w:type="pct"/>
            <w:shd w:val="clear" w:color="auto" w:fill="auto"/>
            <w:hideMark/>
          </w:tcPr>
          <w:p w14:paraId="5F84FFD1" w14:textId="0F4BDAAA"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Nash et al </w:t>
            </w:r>
          </w:p>
        </w:tc>
        <w:tc>
          <w:tcPr>
            <w:tcW w:w="362" w:type="pct"/>
          </w:tcPr>
          <w:p w14:paraId="4EEB1F9C" w14:textId="0F29EAD9" w:rsidR="002D39DC" w:rsidRPr="00D24F48" w:rsidRDefault="00C14750"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2022</w:t>
            </w:r>
          </w:p>
        </w:tc>
        <w:tc>
          <w:tcPr>
            <w:tcW w:w="458" w:type="pct"/>
            <w:shd w:val="clear" w:color="auto" w:fill="auto"/>
            <w:hideMark/>
          </w:tcPr>
          <w:p w14:paraId="0C56D2D0" w14:textId="2B6EA636"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Canada</w:t>
            </w:r>
          </w:p>
        </w:tc>
        <w:tc>
          <w:tcPr>
            <w:tcW w:w="658" w:type="pct"/>
            <w:shd w:val="clear" w:color="auto" w:fill="auto"/>
            <w:hideMark/>
          </w:tcPr>
          <w:p w14:paraId="79E23FE3"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provide guidance to the Alliance and to other similar </w:t>
            </w:r>
            <w:r w:rsidRPr="00D24F48">
              <w:rPr>
                <w:rFonts w:ascii="Times New Roman" w:eastAsia="Times New Roman" w:hAnsi="Times New Roman" w:cs="Times New Roman"/>
                <w:color w:val="000000"/>
                <w:sz w:val="20"/>
                <w:szCs w:val="20"/>
                <w:lang w:val="en-AU" w:eastAsia="en-AU"/>
              </w:rPr>
              <w:lastRenderedPageBreak/>
              <w:t>primary care organizations as they develop their own learning health systems.</w:t>
            </w:r>
          </w:p>
        </w:tc>
        <w:tc>
          <w:tcPr>
            <w:tcW w:w="522" w:type="pct"/>
            <w:shd w:val="clear" w:color="auto" w:fill="auto"/>
            <w:hideMark/>
          </w:tcPr>
          <w:p w14:paraId="77B9EEDB" w14:textId="40B982B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Qualitative</w:t>
            </w:r>
          </w:p>
        </w:tc>
        <w:tc>
          <w:tcPr>
            <w:tcW w:w="709" w:type="pct"/>
            <w:shd w:val="clear" w:color="auto" w:fill="auto"/>
            <w:hideMark/>
          </w:tcPr>
          <w:p w14:paraId="330D5074" w14:textId="77777777" w:rsidR="002D39DC" w:rsidRPr="00D24F48" w:rsidRDefault="002D39DC" w:rsidP="002118C7">
            <w:pPr>
              <w:pStyle w:val="ListParagraph"/>
              <w:numPr>
                <w:ilvl w:val="0"/>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Elements for successful learning health system in </w:t>
            </w:r>
            <w:r w:rsidRPr="00D24F48">
              <w:rPr>
                <w:rFonts w:ascii="Times New Roman" w:eastAsia="Times New Roman" w:hAnsi="Times New Roman" w:cs="Times New Roman"/>
                <w:color w:val="000000"/>
                <w:sz w:val="20"/>
                <w:szCs w:val="20"/>
                <w:lang w:val="en-AU" w:eastAsia="en-AU"/>
              </w:rPr>
              <w:lastRenderedPageBreak/>
              <w:t>primary care: shared organizational goals and culture, data quality and resources.</w:t>
            </w:r>
          </w:p>
        </w:tc>
        <w:tc>
          <w:tcPr>
            <w:tcW w:w="1848" w:type="pct"/>
            <w:shd w:val="clear" w:color="auto" w:fill="auto"/>
            <w:hideMark/>
          </w:tcPr>
          <w:p w14:paraId="20D44696"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People are needed to drive the learning health system on their level of engagement. </w:t>
            </w:r>
          </w:p>
          <w:p w14:paraId="0AA4B72C"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Staff’s engagement with the learning health system included drive to help improve patient care, focusing on </w:t>
            </w:r>
            <w:r w:rsidRPr="00D24F48">
              <w:rPr>
                <w:rFonts w:ascii="Times New Roman" w:eastAsia="Times New Roman" w:hAnsi="Times New Roman" w:cs="Times New Roman"/>
                <w:color w:val="000000"/>
                <w:sz w:val="20"/>
                <w:szCs w:val="20"/>
                <w:lang w:val="en-AU" w:eastAsia="en-AU"/>
              </w:rPr>
              <w:lastRenderedPageBreak/>
              <w:t xml:space="preserve">initiatives of personal interest and understanding the purpose of different initiatives. </w:t>
            </w:r>
          </w:p>
          <w:p w14:paraId="6C13BBD1" w14:textId="13BCA86F"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the ability to extract and use data to inform changes in real‐time, better engagement and protected time for providers to do improvement work, and more staff dedicated to data extraction and analysis. </w:t>
            </w:r>
          </w:p>
        </w:tc>
      </w:tr>
      <w:tr w:rsidR="002D39DC" w:rsidRPr="00D24F48" w14:paraId="6EEEA332" w14:textId="77777777" w:rsidTr="002D39DC">
        <w:trPr>
          <w:trHeight w:val="540"/>
        </w:trPr>
        <w:tc>
          <w:tcPr>
            <w:tcW w:w="443" w:type="pct"/>
            <w:shd w:val="clear" w:color="auto" w:fill="auto"/>
            <w:hideMark/>
          </w:tcPr>
          <w:p w14:paraId="7FDBC10B" w14:textId="6C10616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lastRenderedPageBreak/>
              <w:t xml:space="preserve">Willington et al </w:t>
            </w:r>
          </w:p>
        </w:tc>
        <w:tc>
          <w:tcPr>
            <w:tcW w:w="362" w:type="pct"/>
          </w:tcPr>
          <w:p w14:paraId="08C7F535" w14:textId="5623313E" w:rsidR="002D39DC" w:rsidRPr="00D24F48" w:rsidRDefault="00C14750"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2022</w:t>
            </w:r>
          </w:p>
        </w:tc>
        <w:tc>
          <w:tcPr>
            <w:tcW w:w="458" w:type="pct"/>
            <w:shd w:val="clear" w:color="auto" w:fill="auto"/>
            <w:hideMark/>
          </w:tcPr>
          <w:p w14:paraId="2C89CF1D" w14:textId="2D289424"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not specified </w:t>
            </w:r>
          </w:p>
        </w:tc>
        <w:tc>
          <w:tcPr>
            <w:tcW w:w="658" w:type="pct"/>
            <w:shd w:val="clear" w:color="auto" w:fill="auto"/>
            <w:hideMark/>
          </w:tcPr>
          <w:p w14:paraId="3DDB58C9" w14:textId="77777777"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to provide guidance to the Alliance and to other similar primary care organizations as they develop their own learning health systems. </w:t>
            </w:r>
          </w:p>
        </w:tc>
        <w:tc>
          <w:tcPr>
            <w:tcW w:w="522" w:type="pct"/>
            <w:shd w:val="clear" w:color="auto" w:fill="auto"/>
            <w:hideMark/>
          </w:tcPr>
          <w:p w14:paraId="22E9FB47" w14:textId="42C6414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Review </w:t>
            </w:r>
          </w:p>
        </w:tc>
        <w:tc>
          <w:tcPr>
            <w:tcW w:w="709" w:type="pct"/>
            <w:shd w:val="clear" w:color="auto" w:fill="auto"/>
            <w:hideMark/>
          </w:tcPr>
          <w:p w14:paraId="0559879F" w14:textId="77777777" w:rsidR="002D39DC" w:rsidRPr="00D24F48" w:rsidRDefault="002D39DC" w:rsidP="002118C7">
            <w:pPr>
              <w:pStyle w:val="ListParagraph"/>
              <w:numPr>
                <w:ilvl w:val="1"/>
                <w:numId w:val="2"/>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Overview regarding communicating with communities</w:t>
            </w:r>
            <w:r w:rsidRPr="00D24F48" w:rsidDel="009D270C">
              <w:rPr>
                <w:rFonts w:ascii="Times New Roman" w:eastAsia="Times New Roman" w:hAnsi="Times New Roman" w:cs="Times New Roman"/>
                <w:color w:val="000000"/>
                <w:sz w:val="20"/>
                <w:szCs w:val="20"/>
                <w:lang w:val="en-AU" w:eastAsia="en-AU"/>
              </w:rPr>
              <w:t xml:space="preserve"> </w:t>
            </w:r>
          </w:p>
        </w:tc>
        <w:tc>
          <w:tcPr>
            <w:tcW w:w="1848" w:type="pct"/>
            <w:shd w:val="clear" w:color="auto" w:fill="auto"/>
            <w:hideMark/>
          </w:tcPr>
          <w:p w14:paraId="56B49469"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Effective communications must be specific to the needs, language, context, and priorities of the community. </w:t>
            </w:r>
          </w:p>
          <w:p w14:paraId="68AE5C14"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Build equitable partnerships: Trust is earned with sustained, reciprocal relationships, and partnerships that are not equitable lose trust. Valuing and honouring partnerships is crucial to success.</w:t>
            </w:r>
          </w:p>
          <w:p w14:paraId="040F669A" w14:textId="77777777"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Contribute to the community: The intervention should give back to the community in a way that is meaningful to the recipients, capacity building, information sharing, or material/logistical benefits. </w:t>
            </w:r>
          </w:p>
          <w:p w14:paraId="5DDFD4AC" w14:textId="6E5D1482" w:rsidR="002D39DC" w:rsidRPr="00D24F48" w:rsidRDefault="002D39DC" w:rsidP="002118C7">
            <w:pPr>
              <w:pStyle w:val="ListParagraph"/>
              <w:numPr>
                <w:ilvl w:val="0"/>
                <w:numId w:val="1"/>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Speak the same language: Use the same language the community does in communications. Demonstrate having heard and respected what the community shared. </w:t>
            </w:r>
          </w:p>
        </w:tc>
      </w:tr>
      <w:tr w:rsidR="002D39DC" w:rsidRPr="00D24F48" w14:paraId="69BEC104" w14:textId="77777777" w:rsidTr="002D39DC">
        <w:trPr>
          <w:trHeight w:val="540"/>
        </w:trPr>
        <w:tc>
          <w:tcPr>
            <w:tcW w:w="443" w:type="pct"/>
            <w:shd w:val="clear" w:color="auto" w:fill="auto"/>
          </w:tcPr>
          <w:p w14:paraId="135CF15B" w14:textId="2194DFA1"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Perry et al </w:t>
            </w:r>
          </w:p>
        </w:tc>
        <w:tc>
          <w:tcPr>
            <w:tcW w:w="362" w:type="pct"/>
          </w:tcPr>
          <w:p w14:paraId="5505A465" w14:textId="22E883FD" w:rsidR="002D39DC" w:rsidRPr="00D24F48" w:rsidRDefault="00F661B3"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1998</w:t>
            </w:r>
          </w:p>
        </w:tc>
        <w:tc>
          <w:tcPr>
            <w:tcW w:w="458" w:type="pct"/>
            <w:shd w:val="clear" w:color="auto" w:fill="auto"/>
          </w:tcPr>
          <w:p w14:paraId="6FA3E6D4" w14:textId="7A16BAB5"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Bolivia </w:t>
            </w:r>
          </w:p>
        </w:tc>
        <w:tc>
          <w:tcPr>
            <w:tcW w:w="658" w:type="pct"/>
            <w:shd w:val="clear" w:color="auto" w:fill="auto"/>
          </w:tcPr>
          <w:p w14:paraId="7DDB4ABF" w14:textId="4B9B9E88"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To describes the effectiveness for child health of a primary health care approach developed in Bolivia by Andean Rural Health Care and its colleagues, the census-based, impact-oriented (CBIO) approach.</w:t>
            </w:r>
          </w:p>
        </w:tc>
        <w:tc>
          <w:tcPr>
            <w:tcW w:w="522" w:type="pct"/>
            <w:shd w:val="clear" w:color="auto" w:fill="auto"/>
          </w:tcPr>
          <w:p w14:paraId="60CF8BC7" w14:textId="5CA16562" w:rsidR="002D39DC" w:rsidRPr="00D24F48" w:rsidRDefault="002D39DC" w:rsidP="002118C7">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Qualitative </w:t>
            </w:r>
          </w:p>
        </w:tc>
        <w:tc>
          <w:tcPr>
            <w:tcW w:w="709" w:type="pct"/>
            <w:shd w:val="clear" w:color="auto" w:fill="auto"/>
          </w:tcPr>
          <w:p w14:paraId="15323E04" w14:textId="2226507D" w:rsidR="002D39DC" w:rsidRPr="00D24F48" w:rsidRDefault="002D39DC" w:rsidP="000B4F29">
            <w:p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 xml:space="preserve">Cost saving of due to CHP program </w:t>
            </w:r>
          </w:p>
        </w:tc>
        <w:tc>
          <w:tcPr>
            <w:tcW w:w="1848" w:type="pct"/>
            <w:shd w:val="clear" w:color="auto" w:fill="auto"/>
          </w:tcPr>
          <w:p w14:paraId="134094B2" w14:textId="374342EA" w:rsidR="002D39DC" w:rsidRPr="00D24F48" w:rsidRDefault="008B5B90" w:rsidP="00D740FE">
            <w:pPr>
              <w:pStyle w:val="ListParagraph"/>
              <w:numPr>
                <w:ilvl w:val="0"/>
                <w:numId w:val="4"/>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The cost</w:t>
            </w:r>
            <w:r w:rsidR="002D39DC" w:rsidRPr="00D24F48">
              <w:rPr>
                <w:rFonts w:ascii="Times New Roman" w:eastAsia="Times New Roman" w:hAnsi="Times New Roman" w:cs="Times New Roman"/>
                <w:color w:val="000000"/>
                <w:sz w:val="20"/>
                <w:szCs w:val="20"/>
                <w:lang w:val="en-AU" w:eastAsia="en-AU"/>
              </w:rPr>
              <w:t xml:space="preserve"> is well within the affordable range for many, if not most, developing countries. Manpower costs for field staff in Bolivia are relatively high, so in countries with lower salary scales, the overall recurring cost could be substantially less.</w:t>
            </w:r>
          </w:p>
          <w:p w14:paraId="4381E86F" w14:textId="4BDA5D78" w:rsidR="002D39DC" w:rsidRPr="00D24F48" w:rsidRDefault="002D39DC" w:rsidP="00D740FE">
            <w:pPr>
              <w:pStyle w:val="ListParagraph"/>
              <w:numPr>
                <w:ilvl w:val="0"/>
                <w:numId w:val="4"/>
              </w:numPr>
              <w:spacing w:after="0" w:line="240" w:lineRule="auto"/>
              <w:rPr>
                <w:rFonts w:ascii="Times New Roman" w:eastAsia="Times New Roman" w:hAnsi="Times New Roman" w:cs="Times New Roman"/>
                <w:color w:val="000000"/>
                <w:sz w:val="20"/>
                <w:szCs w:val="20"/>
                <w:lang w:val="en-AU" w:eastAsia="en-AU"/>
              </w:rPr>
            </w:pPr>
            <w:r w:rsidRPr="00D24F48">
              <w:rPr>
                <w:rFonts w:ascii="Times New Roman" w:eastAsia="Times New Roman" w:hAnsi="Times New Roman" w:cs="Times New Roman"/>
                <w:color w:val="000000"/>
                <w:sz w:val="20"/>
                <w:szCs w:val="20"/>
                <w:lang w:val="en-AU" w:eastAsia="en-AU"/>
              </w:rPr>
              <w:t>stronger community involvement and greater reliance on volunteer or minimally paid staff could be attained to merit implementation and evaluation in other sites, including sites beyond Bolivia.</w:t>
            </w:r>
          </w:p>
        </w:tc>
      </w:tr>
      <w:tr w:rsidR="002D39DC" w:rsidRPr="00D24F48" w14:paraId="68377C8F" w14:textId="77777777" w:rsidTr="002D39DC">
        <w:trPr>
          <w:trHeight w:val="540"/>
        </w:trPr>
        <w:tc>
          <w:tcPr>
            <w:tcW w:w="443" w:type="pct"/>
            <w:shd w:val="clear" w:color="auto" w:fill="auto"/>
          </w:tcPr>
          <w:p w14:paraId="638CDC27" w14:textId="39C65906"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Perry et al</w:t>
            </w:r>
          </w:p>
        </w:tc>
        <w:tc>
          <w:tcPr>
            <w:tcW w:w="362" w:type="pct"/>
          </w:tcPr>
          <w:p w14:paraId="62B708C4" w14:textId="5BB503B0" w:rsidR="002D39DC" w:rsidRPr="00D24F48" w:rsidRDefault="00F661B3" w:rsidP="0067760C">
            <w:pPr>
              <w:rPr>
                <w:rFonts w:ascii="Times New Roman" w:hAnsi="Times New Roman" w:cs="Times New Roman"/>
                <w:sz w:val="20"/>
                <w:szCs w:val="20"/>
              </w:rPr>
            </w:pPr>
            <w:r w:rsidRPr="00D24F48">
              <w:rPr>
                <w:rFonts w:ascii="Times New Roman" w:hAnsi="Times New Roman" w:cs="Times New Roman"/>
                <w:sz w:val="20"/>
                <w:szCs w:val="20"/>
              </w:rPr>
              <w:t>2006</w:t>
            </w:r>
          </w:p>
        </w:tc>
        <w:tc>
          <w:tcPr>
            <w:tcW w:w="458" w:type="pct"/>
            <w:shd w:val="clear" w:color="auto" w:fill="auto"/>
          </w:tcPr>
          <w:p w14:paraId="2DE6BF34" w14:textId="54808D3C"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Haiti</w:t>
            </w:r>
          </w:p>
        </w:tc>
        <w:tc>
          <w:tcPr>
            <w:tcW w:w="658" w:type="pct"/>
            <w:shd w:val="clear" w:color="auto" w:fill="auto"/>
          </w:tcPr>
          <w:p w14:paraId="0841EB1C" w14:textId="30E464CF"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 xml:space="preserve">To compares the under-five mortality in the </w:t>
            </w:r>
            <w:proofErr w:type="spellStart"/>
            <w:r w:rsidRPr="00D24F48">
              <w:rPr>
                <w:rFonts w:ascii="Times New Roman" w:hAnsi="Times New Roman" w:cs="Times New Roman"/>
                <w:sz w:val="20"/>
                <w:szCs w:val="20"/>
              </w:rPr>
              <w:t>Hôpital</w:t>
            </w:r>
            <w:proofErr w:type="spellEnd"/>
            <w:r w:rsidRPr="00D24F48">
              <w:rPr>
                <w:rFonts w:ascii="Times New Roman" w:hAnsi="Times New Roman" w:cs="Times New Roman"/>
                <w:sz w:val="20"/>
                <w:szCs w:val="20"/>
              </w:rPr>
              <w:t xml:space="preserve"> Albert Schweitzer </w:t>
            </w:r>
            <w:r w:rsidRPr="00D24F48">
              <w:rPr>
                <w:rFonts w:ascii="Times New Roman" w:hAnsi="Times New Roman" w:cs="Times New Roman"/>
                <w:sz w:val="20"/>
                <w:szCs w:val="20"/>
              </w:rPr>
              <w:lastRenderedPageBreak/>
              <w:t>(HAS) Primary Health Care Service Area</w:t>
            </w:r>
          </w:p>
        </w:tc>
        <w:tc>
          <w:tcPr>
            <w:tcW w:w="522" w:type="pct"/>
            <w:shd w:val="clear" w:color="auto" w:fill="auto"/>
          </w:tcPr>
          <w:p w14:paraId="63E55402" w14:textId="7925A102"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lastRenderedPageBreak/>
              <w:t xml:space="preserve">Quantitative </w:t>
            </w:r>
          </w:p>
        </w:tc>
        <w:tc>
          <w:tcPr>
            <w:tcW w:w="709" w:type="pct"/>
            <w:shd w:val="clear" w:color="auto" w:fill="auto"/>
          </w:tcPr>
          <w:p w14:paraId="6FD4AB76" w14:textId="6AAED034"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Impacts on child health through CHPs</w:t>
            </w:r>
          </w:p>
        </w:tc>
        <w:tc>
          <w:tcPr>
            <w:tcW w:w="1848" w:type="pct"/>
            <w:shd w:val="clear" w:color="auto" w:fill="auto"/>
          </w:tcPr>
          <w:p w14:paraId="4CC2CCCC" w14:textId="456DBA11"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 xml:space="preserve">well-developed system of primary health care, with outreach services to the household level, integrated with hospital referral care and community development programmes, can </w:t>
            </w:r>
            <w:r w:rsidRPr="00D24F48">
              <w:rPr>
                <w:rFonts w:ascii="Times New Roman" w:hAnsi="Times New Roman" w:cs="Times New Roman"/>
                <w:sz w:val="20"/>
                <w:szCs w:val="20"/>
              </w:rPr>
              <w:lastRenderedPageBreak/>
              <w:t>make a strong contribution to reducing infant and child mortality in severely impoverished settings</w:t>
            </w:r>
          </w:p>
        </w:tc>
      </w:tr>
      <w:tr w:rsidR="002D39DC" w:rsidRPr="00D24F48" w14:paraId="653DDE50" w14:textId="77777777" w:rsidTr="002D39DC">
        <w:trPr>
          <w:trHeight w:val="540"/>
        </w:trPr>
        <w:tc>
          <w:tcPr>
            <w:tcW w:w="443" w:type="pct"/>
            <w:shd w:val="clear" w:color="auto" w:fill="auto"/>
          </w:tcPr>
          <w:p w14:paraId="5CA3A507" w14:textId="75BC71FF"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lastRenderedPageBreak/>
              <w:t>Perry et al</w:t>
            </w:r>
          </w:p>
        </w:tc>
        <w:tc>
          <w:tcPr>
            <w:tcW w:w="362" w:type="pct"/>
          </w:tcPr>
          <w:p w14:paraId="5C948555" w14:textId="357A8EFE" w:rsidR="002D39DC" w:rsidRPr="00D24F48" w:rsidRDefault="00AE6D3C" w:rsidP="0067760C">
            <w:pPr>
              <w:rPr>
                <w:rFonts w:ascii="Times New Roman" w:hAnsi="Times New Roman" w:cs="Times New Roman"/>
                <w:sz w:val="20"/>
                <w:szCs w:val="20"/>
              </w:rPr>
            </w:pPr>
            <w:r w:rsidRPr="00D24F48">
              <w:rPr>
                <w:rFonts w:ascii="Times New Roman" w:hAnsi="Times New Roman" w:cs="Times New Roman"/>
                <w:sz w:val="20"/>
                <w:szCs w:val="20"/>
              </w:rPr>
              <w:t>2007</w:t>
            </w:r>
          </w:p>
        </w:tc>
        <w:tc>
          <w:tcPr>
            <w:tcW w:w="458" w:type="pct"/>
            <w:shd w:val="clear" w:color="auto" w:fill="auto"/>
          </w:tcPr>
          <w:p w14:paraId="0CFEDAFB" w14:textId="22D83C78"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Haiti</w:t>
            </w:r>
          </w:p>
        </w:tc>
        <w:tc>
          <w:tcPr>
            <w:tcW w:w="658" w:type="pct"/>
            <w:shd w:val="clear" w:color="auto" w:fill="auto"/>
          </w:tcPr>
          <w:p w14:paraId="28239611" w14:textId="2CA2F947"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 xml:space="preserve">To describe a comprehensive equity assessment carried out by the </w:t>
            </w:r>
            <w:proofErr w:type="spellStart"/>
            <w:r w:rsidRPr="00D24F48">
              <w:rPr>
                <w:rFonts w:ascii="Times New Roman" w:hAnsi="Times New Roman" w:cs="Times New Roman"/>
                <w:sz w:val="20"/>
                <w:szCs w:val="20"/>
              </w:rPr>
              <w:t>Hôpital</w:t>
            </w:r>
            <w:proofErr w:type="spellEnd"/>
            <w:r w:rsidRPr="00D24F48">
              <w:rPr>
                <w:rFonts w:ascii="Times New Roman" w:hAnsi="Times New Roman" w:cs="Times New Roman"/>
                <w:sz w:val="20"/>
                <w:szCs w:val="20"/>
              </w:rPr>
              <w:t xml:space="preserve"> Albert Schweitzer-Haiti (HAS)</w:t>
            </w:r>
          </w:p>
        </w:tc>
        <w:tc>
          <w:tcPr>
            <w:tcW w:w="522" w:type="pct"/>
            <w:shd w:val="clear" w:color="auto" w:fill="auto"/>
          </w:tcPr>
          <w:p w14:paraId="7840DD91" w14:textId="3CF7FFF0"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6B810A3F" w14:textId="55C0DF7A"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 xml:space="preserve">Coverage of health services in rural areas </w:t>
            </w:r>
          </w:p>
        </w:tc>
        <w:tc>
          <w:tcPr>
            <w:tcW w:w="1848" w:type="pct"/>
            <w:shd w:val="clear" w:color="auto" w:fill="auto"/>
          </w:tcPr>
          <w:p w14:paraId="5072F56B" w14:textId="311B42B1"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local health programs need to give attention to monitoring the health status as well as the quality and coverage of basic services among marginalized groups within the program service area</w:t>
            </w:r>
          </w:p>
        </w:tc>
      </w:tr>
      <w:tr w:rsidR="002D39DC" w:rsidRPr="00D24F48" w14:paraId="09DBC1D3" w14:textId="77777777" w:rsidTr="002D39DC">
        <w:trPr>
          <w:trHeight w:val="540"/>
        </w:trPr>
        <w:tc>
          <w:tcPr>
            <w:tcW w:w="443" w:type="pct"/>
            <w:shd w:val="clear" w:color="auto" w:fill="auto"/>
          </w:tcPr>
          <w:p w14:paraId="51D13C1E" w14:textId="4515E33E"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Perry et al</w:t>
            </w:r>
          </w:p>
        </w:tc>
        <w:tc>
          <w:tcPr>
            <w:tcW w:w="362" w:type="pct"/>
          </w:tcPr>
          <w:p w14:paraId="55622307" w14:textId="511B2F94" w:rsidR="002D39DC" w:rsidRPr="00D24F48" w:rsidRDefault="00AE6D3C" w:rsidP="0067760C">
            <w:pPr>
              <w:rPr>
                <w:rFonts w:ascii="Times New Roman" w:hAnsi="Times New Roman" w:cs="Times New Roman"/>
                <w:sz w:val="20"/>
                <w:szCs w:val="20"/>
              </w:rPr>
            </w:pPr>
            <w:r w:rsidRPr="00D24F48">
              <w:rPr>
                <w:rFonts w:ascii="Times New Roman" w:hAnsi="Times New Roman" w:cs="Times New Roman"/>
                <w:sz w:val="20"/>
                <w:szCs w:val="20"/>
              </w:rPr>
              <w:t>2021</w:t>
            </w:r>
          </w:p>
        </w:tc>
        <w:tc>
          <w:tcPr>
            <w:tcW w:w="458" w:type="pct"/>
            <w:shd w:val="clear" w:color="auto" w:fill="auto"/>
          </w:tcPr>
          <w:p w14:paraId="62FC2CAE" w14:textId="48CC017E"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NS</w:t>
            </w:r>
          </w:p>
        </w:tc>
        <w:tc>
          <w:tcPr>
            <w:tcW w:w="658" w:type="pct"/>
            <w:shd w:val="clear" w:color="auto" w:fill="auto"/>
          </w:tcPr>
          <w:p w14:paraId="7F4AEA9F" w14:textId="736D396C" w:rsidR="002D39DC" w:rsidRPr="00D24F48" w:rsidRDefault="00D24F48" w:rsidP="0067760C">
            <w:pPr>
              <w:rPr>
                <w:rFonts w:ascii="Times New Roman" w:hAnsi="Times New Roman" w:cs="Times New Roman"/>
                <w:sz w:val="20"/>
                <w:szCs w:val="20"/>
              </w:rPr>
            </w:pPr>
            <w:r w:rsidRPr="00D24F48">
              <w:rPr>
                <w:rFonts w:ascii="Times New Roman" w:hAnsi="Times New Roman" w:cs="Times New Roman"/>
                <w:sz w:val="20"/>
                <w:szCs w:val="20"/>
              </w:rPr>
              <w:t xml:space="preserve">To </w:t>
            </w:r>
            <w:r w:rsidR="002D39DC" w:rsidRPr="00D24F48">
              <w:rPr>
                <w:rFonts w:ascii="Times New Roman" w:hAnsi="Times New Roman" w:cs="Times New Roman"/>
                <w:sz w:val="20"/>
                <w:szCs w:val="20"/>
              </w:rPr>
              <w:t>summarize the available evidence on the effectiveness of the Care Group approach, drawing on articles published in the peer-reviewed literature</w:t>
            </w:r>
          </w:p>
        </w:tc>
        <w:tc>
          <w:tcPr>
            <w:tcW w:w="522" w:type="pct"/>
            <w:shd w:val="clear" w:color="auto" w:fill="auto"/>
          </w:tcPr>
          <w:p w14:paraId="7817C6AD" w14:textId="2C4054E7"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 xml:space="preserve">Quantitative </w:t>
            </w:r>
          </w:p>
        </w:tc>
        <w:tc>
          <w:tcPr>
            <w:tcW w:w="709" w:type="pct"/>
            <w:shd w:val="clear" w:color="auto" w:fill="auto"/>
          </w:tcPr>
          <w:p w14:paraId="432DD0DC" w14:textId="7C9BBA2C"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Care Group approach</w:t>
            </w:r>
          </w:p>
        </w:tc>
        <w:tc>
          <w:tcPr>
            <w:tcW w:w="1848" w:type="pct"/>
            <w:shd w:val="clear" w:color="auto" w:fill="auto"/>
          </w:tcPr>
          <w:p w14:paraId="4FB2650F" w14:textId="2F8F0903" w:rsidR="002D39DC" w:rsidRPr="00D24F48" w:rsidRDefault="002D39DC" w:rsidP="0067760C">
            <w:pPr>
              <w:rPr>
                <w:rFonts w:ascii="Times New Roman" w:hAnsi="Times New Roman" w:cs="Times New Roman"/>
                <w:sz w:val="20"/>
                <w:szCs w:val="20"/>
              </w:rPr>
            </w:pPr>
            <w:r w:rsidRPr="00D24F48">
              <w:rPr>
                <w:rFonts w:ascii="Times New Roman" w:hAnsi="Times New Roman" w:cs="Times New Roman"/>
                <w:sz w:val="20"/>
                <w:szCs w:val="20"/>
              </w:rPr>
              <w:t>Care Groups represent an important and promising innovative, low-cost approach to increasing the coverage of key child survival interventions in high-mortality, resource-constrained settings</w:t>
            </w:r>
          </w:p>
        </w:tc>
      </w:tr>
      <w:tr w:rsidR="002D39DC" w:rsidRPr="00D24F48" w14:paraId="71137A87" w14:textId="77777777" w:rsidTr="002D39DC">
        <w:trPr>
          <w:trHeight w:val="540"/>
        </w:trPr>
        <w:tc>
          <w:tcPr>
            <w:tcW w:w="443" w:type="pct"/>
            <w:shd w:val="clear" w:color="auto" w:fill="auto"/>
          </w:tcPr>
          <w:p w14:paraId="36061AF3" w14:textId="60206257"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Schleiff et al </w:t>
            </w:r>
          </w:p>
        </w:tc>
        <w:tc>
          <w:tcPr>
            <w:tcW w:w="362" w:type="pct"/>
          </w:tcPr>
          <w:p w14:paraId="1A6447F3" w14:textId="0E3F5498" w:rsidR="002D39DC" w:rsidRPr="00D24F48" w:rsidRDefault="00AE6D3C" w:rsidP="00466C6A">
            <w:pPr>
              <w:rPr>
                <w:rFonts w:ascii="Times New Roman" w:hAnsi="Times New Roman" w:cs="Times New Roman"/>
                <w:sz w:val="20"/>
                <w:szCs w:val="20"/>
              </w:rPr>
            </w:pPr>
            <w:r w:rsidRPr="00D24F48">
              <w:rPr>
                <w:rFonts w:ascii="Times New Roman" w:hAnsi="Times New Roman" w:cs="Times New Roman"/>
                <w:sz w:val="20"/>
                <w:szCs w:val="20"/>
              </w:rPr>
              <w:t>2017</w:t>
            </w:r>
          </w:p>
        </w:tc>
        <w:tc>
          <w:tcPr>
            <w:tcW w:w="458" w:type="pct"/>
            <w:shd w:val="clear" w:color="auto" w:fill="auto"/>
          </w:tcPr>
          <w:p w14:paraId="23449E4B" w14:textId="30E69EB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Africa and Asia </w:t>
            </w:r>
          </w:p>
        </w:tc>
        <w:tc>
          <w:tcPr>
            <w:tcW w:w="658" w:type="pct"/>
            <w:shd w:val="clear" w:color="auto" w:fill="auto"/>
          </w:tcPr>
          <w:p w14:paraId="1A7957B3" w14:textId="0DECE1BF"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community–based primary health care (CBPHC) can or </w:t>
            </w:r>
            <w:r w:rsidR="008B5B90" w:rsidRPr="00D24F48">
              <w:rPr>
                <w:rFonts w:ascii="Times New Roman" w:hAnsi="Times New Roman" w:cs="Times New Roman"/>
                <w:sz w:val="20"/>
                <w:szCs w:val="20"/>
              </w:rPr>
              <w:t>does</w:t>
            </w:r>
            <w:r w:rsidRPr="00D24F48">
              <w:rPr>
                <w:rFonts w:ascii="Times New Roman" w:hAnsi="Times New Roman" w:cs="Times New Roman"/>
                <w:sz w:val="20"/>
                <w:szCs w:val="20"/>
              </w:rPr>
              <w:t xml:space="preserve"> improve utilization of health services and the health status of the most disadvantaged children in a population </w:t>
            </w:r>
          </w:p>
        </w:tc>
        <w:tc>
          <w:tcPr>
            <w:tcW w:w="522" w:type="pct"/>
            <w:shd w:val="clear" w:color="auto" w:fill="auto"/>
          </w:tcPr>
          <w:p w14:paraId="3C262733" w14:textId="119F5DAF"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1EBA99B5" w14:textId="647E1841"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effectiveness of community-based primary health care (CBPHC)</w:t>
            </w:r>
          </w:p>
        </w:tc>
        <w:tc>
          <w:tcPr>
            <w:tcW w:w="1848" w:type="pct"/>
            <w:shd w:val="clear" w:color="auto" w:fill="auto"/>
          </w:tcPr>
          <w:p w14:paraId="05393E9F" w14:textId="77777777" w:rsidR="002D39DC" w:rsidRPr="00D24F48" w:rsidRDefault="002D39DC" w:rsidP="00466C6A">
            <w:pPr>
              <w:rPr>
                <w:rFonts w:ascii="Times New Roman" w:hAnsi="Times New Roman" w:cs="Times New Roman"/>
                <w:sz w:val="20"/>
                <w:szCs w:val="20"/>
              </w:rPr>
            </w:pPr>
          </w:p>
          <w:p w14:paraId="77A787D9" w14:textId="1DD12DE8"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Based on the observation that CBPHC projects commonly provide services that are readily accessible to the entire project population and that even often reach down to all households, such projects are inherently likely to be more equitable than projects that strengthen services only at facilities, where utilization diminishes greatly with one’s distance away. major causes of child mortality in resource-constrained settings can be addressed at the community level largely by engaging communities and supporting community-level workers through nutritional interventions; control of pneumonia, diarrheal </w:t>
            </w:r>
            <w:r w:rsidR="008B5B90" w:rsidRPr="00D24F48">
              <w:rPr>
                <w:rFonts w:ascii="Times New Roman" w:hAnsi="Times New Roman" w:cs="Times New Roman"/>
                <w:sz w:val="20"/>
                <w:szCs w:val="20"/>
              </w:rPr>
              <w:t>disease,</w:t>
            </w:r>
            <w:r w:rsidRPr="00D24F48">
              <w:rPr>
                <w:rFonts w:ascii="Times New Roman" w:hAnsi="Times New Roman" w:cs="Times New Roman"/>
                <w:sz w:val="20"/>
                <w:szCs w:val="20"/>
              </w:rPr>
              <w:t xml:space="preserve"> and malaria; HIV prevention </w:t>
            </w:r>
            <w:r w:rsidRPr="00D24F48">
              <w:rPr>
                <w:rFonts w:ascii="Times New Roman" w:hAnsi="Times New Roman" w:cs="Times New Roman"/>
                <w:sz w:val="20"/>
                <w:szCs w:val="20"/>
              </w:rPr>
              <w:lastRenderedPageBreak/>
              <w:t xml:space="preserve">and treatment; immunizations; integrated management of childhood diseases; and comprehensive primary health care) </w:t>
            </w:r>
          </w:p>
        </w:tc>
      </w:tr>
      <w:tr w:rsidR="002D39DC" w:rsidRPr="00D24F48" w14:paraId="3A693FE2" w14:textId="77777777" w:rsidTr="002D39DC">
        <w:trPr>
          <w:trHeight w:val="540"/>
        </w:trPr>
        <w:tc>
          <w:tcPr>
            <w:tcW w:w="443" w:type="pct"/>
            <w:shd w:val="clear" w:color="auto" w:fill="auto"/>
          </w:tcPr>
          <w:p w14:paraId="41512B32" w14:textId="2BFEE07F"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lastRenderedPageBreak/>
              <w:t xml:space="preserve">Awale et al </w:t>
            </w:r>
          </w:p>
        </w:tc>
        <w:tc>
          <w:tcPr>
            <w:tcW w:w="362" w:type="pct"/>
          </w:tcPr>
          <w:p w14:paraId="00C6822B" w14:textId="19060B96" w:rsidR="002D39DC" w:rsidRPr="00D24F48" w:rsidRDefault="00AE6D3C" w:rsidP="00466C6A">
            <w:pPr>
              <w:rPr>
                <w:rFonts w:ascii="Times New Roman" w:hAnsi="Times New Roman" w:cs="Times New Roman"/>
                <w:sz w:val="20"/>
                <w:szCs w:val="20"/>
              </w:rPr>
            </w:pPr>
            <w:r w:rsidRPr="00D24F48">
              <w:rPr>
                <w:rFonts w:ascii="Times New Roman" w:hAnsi="Times New Roman" w:cs="Times New Roman"/>
                <w:sz w:val="20"/>
                <w:szCs w:val="20"/>
              </w:rPr>
              <w:t>2019</w:t>
            </w:r>
          </w:p>
        </w:tc>
        <w:tc>
          <w:tcPr>
            <w:tcW w:w="458" w:type="pct"/>
            <w:shd w:val="clear" w:color="auto" w:fill="auto"/>
          </w:tcPr>
          <w:p w14:paraId="61F2F222" w14:textId="1428EAD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India </w:t>
            </w:r>
          </w:p>
        </w:tc>
        <w:tc>
          <w:tcPr>
            <w:tcW w:w="658" w:type="pct"/>
            <w:shd w:val="clear" w:color="auto" w:fill="auto"/>
          </w:tcPr>
          <w:p w14:paraId="403FDB71" w14:textId="67DF33BD"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To contribute </w:t>
            </w:r>
            <w:r w:rsidR="008B5B90" w:rsidRPr="00D24F48">
              <w:rPr>
                <w:rFonts w:ascii="Times New Roman" w:hAnsi="Times New Roman" w:cs="Times New Roman"/>
                <w:sz w:val="20"/>
                <w:szCs w:val="20"/>
              </w:rPr>
              <w:t>to the</w:t>
            </w:r>
            <w:r w:rsidRPr="00D24F48">
              <w:rPr>
                <w:rFonts w:ascii="Times New Roman" w:hAnsi="Times New Roman" w:cs="Times New Roman"/>
                <w:sz w:val="20"/>
                <w:szCs w:val="20"/>
              </w:rPr>
              <w:t xml:space="preserve"> successful elimination of polio from India, </w:t>
            </w:r>
            <w:r w:rsidR="008B5B90" w:rsidRPr="00D24F48">
              <w:rPr>
                <w:rFonts w:ascii="Times New Roman" w:hAnsi="Times New Roman" w:cs="Times New Roman"/>
                <w:sz w:val="20"/>
                <w:szCs w:val="20"/>
              </w:rPr>
              <w:t>partnership,</w:t>
            </w:r>
            <w:r w:rsidRPr="00D24F48">
              <w:rPr>
                <w:rFonts w:ascii="Times New Roman" w:hAnsi="Times New Roman" w:cs="Times New Roman"/>
                <w:sz w:val="20"/>
                <w:szCs w:val="20"/>
              </w:rPr>
              <w:t xml:space="preserve"> and coordination mechanisms at multiple levels</w:t>
            </w:r>
          </w:p>
        </w:tc>
        <w:tc>
          <w:tcPr>
            <w:tcW w:w="522" w:type="pct"/>
            <w:shd w:val="clear" w:color="auto" w:fill="auto"/>
          </w:tcPr>
          <w:p w14:paraId="6CD256C3" w14:textId="57C9B2A4"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5C577970" w14:textId="6EE4F76E"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partnership and coordination mechanisms among various stakeholders involved in service delivery, surveillance, community mobilization</w:t>
            </w:r>
          </w:p>
        </w:tc>
        <w:tc>
          <w:tcPr>
            <w:tcW w:w="1848" w:type="pct"/>
            <w:shd w:val="clear" w:color="auto" w:fill="auto"/>
          </w:tcPr>
          <w:p w14:paraId="22DAAE9B" w14:textId="09CF5EC2"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the learnings and expertise of the CGPP in developing, managing, and nurturing partnerships can be adapted and replicated for elimination or controlling other diseases (especially those that are vaccine-preventable as well as tuberculosis and vector-borne diseases) and for ending preventable child and maternal deaths.</w:t>
            </w:r>
          </w:p>
        </w:tc>
      </w:tr>
      <w:tr w:rsidR="002D39DC" w:rsidRPr="00D24F48" w14:paraId="38A54B24" w14:textId="77777777" w:rsidTr="002D39DC">
        <w:trPr>
          <w:trHeight w:val="540"/>
        </w:trPr>
        <w:tc>
          <w:tcPr>
            <w:tcW w:w="443" w:type="pct"/>
            <w:shd w:val="clear" w:color="auto" w:fill="auto"/>
          </w:tcPr>
          <w:p w14:paraId="235DC243" w14:textId="0BC366A8"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A. </w:t>
            </w:r>
            <w:proofErr w:type="spellStart"/>
            <w:r w:rsidRPr="00D24F48">
              <w:rPr>
                <w:rFonts w:ascii="Times New Roman" w:hAnsi="Times New Roman" w:cs="Times New Roman"/>
                <w:sz w:val="20"/>
                <w:szCs w:val="20"/>
              </w:rPr>
              <w:t>Chimpololo</w:t>
            </w:r>
            <w:proofErr w:type="spellEnd"/>
            <w:r w:rsidRPr="00D24F48">
              <w:rPr>
                <w:rFonts w:ascii="Times New Roman" w:hAnsi="Times New Roman" w:cs="Times New Roman"/>
                <w:sz w:val="20"/>
                <w:szCs w:val="20"/>
              </w:rPr>
              <w:t xml:space="preserve"> and V. Burrowes</w:t>
            </w:r>
          </w:p>
        </w:tc>
        <w:tc>
          <w:tcPr>
            <w:tcW w:w="362" w:type="pct"/>
          </w:tcPr>
          <w:p w14:paraId="703C550C" w14:textId="4C6F759B" w:rsidR="002D39DC" w:rsidRPr="00D24F48" w:rsidRDefault="002E4F81" w:rsidP="00466C6A">
            <w:pPr>
              <w:rPr>
                <w:rFonts w:ascii="Times New Roman" w:hAnsi="Times New Roman" w:cs="Times New Roman"/>
                <w:sz w:val="20"/>
                <w:szCs w:val="20"/>
              </w:rPr>
            </w:pPr>
            <w:r w:rsidRPr="00D24F48">
              <w:rPr>
                <w:rFonts w:ascii="Times New Roman" w:hAnsi="Times New Roman" w:cs="Times New Roman"/>
                <w:sz w:val="20"/>
                <w:szCs w:val="20"/>
              </w:rPr>
              <w:t>2019</w:t>
            </w:r>
          </w:p>
        </w:tc>
        <w:tc>
          <w:tcPr>
            <w:tcW w:w="458" w:type="pct"/>
            <w:shd w:val="clear" w:color="auto" w:fill="auto"/>
          </w:tcPr>
          <w:p w14:paraId="5EF25363" w14:textId="5A7C5E59"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Malawi </w:t>
            </w:r>
          </w:p>
        </w:tc>
        <w:tc>
          <w:tcPr>
            <w:tcW w:w="658" w:type="pct"/>
            <w:shd w:val="clear" w:color="auto" w:fill="auto"/>
          </w:tcPr>
          <w:p w14:paraId="1175EF02" w14:textId="1D0CD709"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To </w:t>
            </w:r>
            <w:r w:rsidR="008B5B90" w:rsidRPr="00D24F48">
              <w:rPr>
                <w:rFonts w:ascii="Times New Roman" w:hAnsi="Times New Roman" w:cs="Times New Roman"/>
                <w:sz w:val="20"/>
                <w:szCs w:val="20"/>
              </w:rPr>
              <w:t>examine the</w:t>
            </w:r>
            <w:r w:rsidRPr="00D24F48">
              <w:rPr>
                <w:rFonts w:ascii="Times New Roman" w:hAnsi="Times New Roman" w:cs="Times New Roman"/>
                <w:sz w:val="20"/>
                <w:szCs w:val="20"/>
              </w:rPr>
              <w:t xml:space="preserve"> extent to which NGHOs are promoting the use of social mobilization (SM) and community mobilizers (CMs) for sharing health information related to the eradication of polio, the importance of routine immunization, and the control of measles and neonatal tetanus</w:t>
            </w:r>
          </w:p>
        </w:tc>
        <w:tc>
          <w:tcPr>
            <w:tcW w:w="522" w:type="pct"/>
            <w:shd w:val="clear" w:color="auto" w:fill="auto"/>
          </w:tcPr>
          <w:p w14:paraId="745EE4BC" w14:textId="648E4612"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7779E54C" w14:textId="147EB7DF"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Roles of non-governmental health organizations (NGHOs) and communities</w:t>
            </w:r>
          </w:p>
        </w:tc>
        <w:tc>
          <w:tcPr>
            <w:tcW w:w="1848" w:type="pct"/>
            <w:shd w:val="clear" w:color="auto" w:fill="auto"/>
          </w:tcPr>
          <w:p w14:paraId="1A5E8F1F" w14:textId="10BA0A1E"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Non-governmental health organizations use a variety of approaches for SM, including mass media campaigns (radio and printed booklets), local skits and dramas, and home visits. Most NGHOs use training workshops and opinion leaders to impart knowledge and skills to CMs on immunization to eradicate polio and to control measles and neonatal tetanus. Major challenges faced by the NGHOs include negative attitudes toward campaigns and demotivation of CMs due to lack of financial incentives. The article concludes with a discussion of approaches to strengthen SM and the role of CMs by NGHOs.</w:t>
            </w:r>
          </w:p>
        </w:tc>
      </w:tr>
      <w:tr w:rsidR="002D39DC" w:rsidRPr="00D24F48" w14:paraId="7F9BC3C9" w14:textId="77777777" w:rsidTr="002D39DC">
        <w:trPr>
          <w:trHeight w:val="540"/>
        </w:trPr>
        <w:tc>
          <w:tcPr>
            <w:tcW w:w="443" w:type="pct"/>
            <w:shd w:val="clear" w:color="auto" w:fill="auto"/>
          </w:tcPr>
          <w:p w14:paraId="4CE14F86" w14:textId="7EC6FB82"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Duru et al </w:t>
            </w:r>
          </w:p>
        </w:tc>
        <w:tc>
          <w:tcPr>
            <w:tcW w:w="362" w:type="pct"/>
          </w:tcPr>
          <w:p w14:paraId="333E4946" w14:textId="049CA001" w:rsidR="002D39DC" w:rsidRPr="00D24F48" w:rsidRDefault="002E4F81" w:rsidP="00466C6A">
            <w:pPr>
              <w:rPr>
                <w:rFonts w:ascii="Times New Roman" w:hAnsi="Times New Roman" w:cs="Times New Roman"/>
                <w:sz w:val="20"/>
                <w:szCs w:val="20"/>
              </w:rPr>
            </w:pPr>
            <w:r w:rsidRPr="00D24F48">
              <w:rPr>
                <w:rFonts w:ascii="Times New Roman" w:hAnsi="Times New Roman" w:cs="Times New Roman"/>
                <w:sz w:val="20"/>
                <w:szCs w:val="20"/>
              </w:rPr>
              <w:t>2019</w:t>
            </w:r>
          </w:p>
        </w:tc>
        <w:tc>
          <w:tcPr>
            <w:tcW w:w="458" w:type="pct"/>
            <w:shd w:val="clear" w:color="auto" w:fill="auto"/>
          </w:tcPr>
          <w:p w14:paraId="7AB4AFE7" w14:textId="5597950F"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Nigeria </w:t>
            </w:r>
          </w:p>
        </w:tc>
        <w:tc>
          <w:tcPr>
            <w:tcW w:w="658" w:type="pct"/>
            <w:shd w:val="clear" w:color="auto" w:fill="auto"/>
          </w:tcPr>
          <w:p w14:paraId="00CD2429" w14:textId="393F5B7A"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To raise immunization coverage, </w:t>
            </w:r>
            <w:r w:rsidRPr="00D24F48">
              <w:rPr>
                <w:rFonts w:ascii="Times New Roman" w:hAnsi="Times New Roman" w:cs="Times New Roman"/>
                <w:sz w:val="20"/>
                <w:szCs w:val="20"/>
              </w:rPr>
              <w:lastRenderedPageBreak/>
              <w:t>particularly of polio, the Polio Eradication Initiative (PEI) in Nigeria</w:t>
            </w:r>
          </w:p>
        </w:tc>
        <w:tc>
          <w:tcPr>
            <w:tcW w:w="522" w:type="pct"/>
            <w:shd w:val="clear" w:color="auto" w:fill="auto"/>
          </w:tcPr>
          <w:p w14:paraId="58F0FA75" w14:textId="1353CF36"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lastRenderedPageBreak/>
              <w:t xml:space="preserve">Qualitative </w:t>
            </w:r>
          </w:p>
        </w:tc>
        <w:tc>
          <w:tcPr>
            <w:tcW w:w="709" w:type="pct"/>
            <w:shd w:val="clear" w:color="auto" w:fill="auto"/>
          </w:tcPr>
          <w:p w14:paraId="2FC531DF" w14:textId="0F22717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use of nongovernmental organizations and </w:t>
            </w:r>
            <w:r w:rsidRPr="00D24F48">
              <w:rPr>
                <w:rFonts w:ascii="Times New Roman" w:hAnsi="Times New Roman" w:cs="Times New Roman"/>
                <w:sz w:val="20"/>
                <w:szCs w:val="20"/>
              </w:rPr>
              <w:lastRenderedPageBreak/>
              <w:t>volunteer community mobilizers (VCMs)</w:t>
            </w:r>
          </w:p>
        </w:tc>
        <w:tc>
          <w:tcPr>
            <w:tcW w:w="1848" w:type="pct"/>
            <w:shd w:val="clear" w:color="auto" w:fill="auto"/>
          </w:tcPr>
          <w:p w14:paraId="3B17155F" w14:textId="76BD880A"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lastRenderedPageBreak/>
              <w:t xml:space="preserve">The comprehensive training on the importance of the PEI, routine immunization, Acute Flaccid Paralysis (AFP) surveillance, social </w:t>
            </w:r>
            <w:r w:rsidR="008B5B90" w:rsidRPr="00D24F48">
              <w:rPr>
                <w:rFonts w:ascii="Times New Roman" w:hAnsi="Times New Roman" w:cs="Times New Roman"/>
                <w:sz w:val="20"/>
                <w:szCs w:val="20"/>
              </w:rPr>
              <w:t>mobilization,</w:t>
            </w:r>
            <w:r w:rsidRPr="00D24F48">
              <w:rPr>
                <w:rFonts w:ascii="Times New Roman" w:hAnsi="Times New Roman" w:cs="Times New Roman"/>
                <w:sz w:val="20"/>
                <w:szCs w:val="20"/>
              </w:rPr>
              <w:t xml:space="preserve"> and community </w:t>
            </w:r>
            <w:r w:rsidRPr="00D24F48">
              <w:rPr>
                <w:rFonts w:ascii="Times New Roman" w:hAnsi="Times New Roman" w:cs="Times New Roman"/>
                <w:sz w:val="20"/>
                <w:szCs w:val="20"/>
              </w:rPr>
              <w:lastRenderedPageBreak/>
              <w:t xml:space="preserve">engagement, use of </w:t>
            </w:r>
            <w:proofErr w:type="spellStart"/>
            <w:r w:rsidRPr="00D24F48">
              <w:rPr>
                <w:rFonts w:ascii="Times New Roman" w:hAnsi="Times New Roman" w:cs="Times New Roman"/>
                <w:sz w:val="20"/>
                <w:szCs w:val="20"/>
              </w:rPr>
              <w:t>behavior</w:t>
            </w:r>
            <w:proofErr w:type="spellEnd"/>
            <w:r w:rsidRPr="00D24F48">
              <w:rPr>
                <w:rFonts w:ascii="Times New Roman" w:hAnsi="Times New Roman" w:cs="Times New Roman"/>
                <w:sz w:val="20"/>
                <w:szCs w:val="20"/>
              </w:rPr>
              <w:t xml:space="preserve"> change communication tools, and interpersonal communication skills. According to the data collected, the VCMs used the following innovative strategies to ensure high vaccination coverage: house-to-house mobilization, community dialogues, compound meetings, community health camps, and tracking of non-compliant families, missed children, and dropouts.</w:t>
            </w:r>
          </w:p>
        </w:tc>
      </w:tr>
      <w:tr w:rsidR="002D39DC" w:rsidRPr="00D24F48" w14:paraId="75A1678A" w14:textId="77777777" w:rsidTr="002D39DC">
        <w:trPr>
          <w:trHeight w:val="540"/>
        </w:trPr>
        <w:tc>
          <w:tcPr>
            <w:tcW w:w="443" w:type="pct"/>
            <w:shd w:val="clear" w:color="auto" w:fill="auto"/>
          </w:tcPr>
          <w:p w14:paraId="04B945BC" w14:textId="5A136FA2"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lastRenderedPageBreak/>
              <w:t>R. Solomon</w:t>
            </w:r>
          </w:p>
        </w:tc>
        <w:tc>
          <w:tcPr>
            <w:tcW w:w="362" w:type="pct"/>
          </w:tcPr>
          <w:p w14:paraId="18F1AD1C" w14:textId="426AD4BE" w:rsidR="002D39DC" w:rsidRPr="00D24F48" w:rsidRDefault="002E4F81" w:rsidP="00466C6A">
            <w:pPr>
              <w:rPr>
                <w:rFonts w:ascii="Times New Roman" w:hAnsi="Times New Roman" w:cs="Times New Roman"/>
                <w:sz w:val="20"/>
                <w:szCs w:val="20"/>
              </w:rPr>
            </w:pPr>
            <w:r w:rsidRPr="00D24F48">
              <w:rPr>
                <w:rFonts w:ascii="Times New Roman" w:hAnsi="Times New Roman" w:cs="Times New Roman"/>
                <w:sz w:val="20"/>
                <w:szCs w:val="20"/>
              </w:rPr>
              <w:t>2019</w:t>
            </w:r>
          </w:p>
        </w:tc>
        <w:tc>
          <w:tcPr>
            <w:tcW w:w="458" w:type="pct"/>
            <w:shd w:val="clear" w:color="auto" w:fill="auto"/>
          </w:tcPr>
          <w:p w14:paraId="52B4E023" w14:textId="778DE0B0"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India </w:t>
            </w:r>
          </w:p>
        </w:tc>
        <w:tc>
          <w:tcPr>
            <w:tcW w:w="658" w:type="pct"/>
            <w:shd w:val="clear" w:color="auto" w:fill="auto"/>
          </w:tcPr>
          <w:p w14:paraId="00078A51" w14:textId="38DED0C6"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To describe the immense people-driven challenges to the polio program and the need for tailor-made and novel responses.</w:t>
            </w:r>
          </w:p>
        </w:tc>
        <w:tc>
          <w:tcPr>
            <w:tcW w:w="522" w:type="pct"/>
            <w:shd w:val="clear" w:color="auto" w:fill="auto"/>
          </w:tcPr>
          <w:p w14:paraId="3C51F29C" w14:textId="56F271C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2ED51275" w14:textId="63B70E69"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international non-governmental organizations (NGOs) and local NGOs, </w:t>
            </w:r>
          </w:p>
        </w:tc>
        <w:tc>
          <w:tcPr>
            <w:tcW w:w="1848" w:type="pct"/>
            <w:shd w:val="clear" w:color="auto" w:fill="auto"/>
          </w:tcPr>
          <w:p w14:paraId="3F31D411" w14:textId="55D47E4C"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consortium of CORE Group member international non-governmental organizations (NGOs) and local NGOs, formed a bridge between communities and the government program. This article describes how CGPP/India listened to the families and communities who refused to participate in the polio eradication program and then strategically addressed their concerns. These lessons from India can benefit other public health priorities that require civil society involvement, as most public health efforts do.</w:t>
            </w:r>
          </w:p>
        </w:tc>
      </w:tr>
      <w:tr w:rsidR="002D39DC" w:rsidRPr="00D24F48" w14:paraId="6A06527F" w14:textId="77777777" w:rsidTr="002D39DC">
        <w:trPr>
          <w:trHeight w:val="540"/>
        </w:trPr>
        <w:tc>
          <w:tcPr>
            <w:tcW w:w="443" w:type="pct"/>
            <w:shd w:val="clear" w:color="auto" w:fill="auto"/>
          </w:tcPr>
          <w:p w14:paraId="1146142E" w14:textId="4F921B34"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Tessema et al </w:t>
            </w:r>
          </w:p>
        </w:tc>
        <w:tc>
          <w:tcPr>
            <w:tcW w:w="362" w:type="pct"/>
          </w:tcPr>
          <w:p w14:paraId="0B80CCC9" w14:textId="13B4EE45" w:rsidR="002D39DC" w:rsidRPr="00D24F48" w:rsidRDefault="002E4F81" w:rsidP="00466C6A">
            <w:pPr>
              <w:rPr>
                <w:rFonts w:ascii="Times New Roman" w:hAnsi="Times New Roman" w:cs="Times New Roman"/>
                <w:sz w:val="20"/>
                <w:szCs w:val="20"/>
              </w:rPr>
            </w:pPr>
            <w:r w:rsidRPr="00D24F48">
              <w:rPr>
                <w:rFonts w:ascii="Times New Roman" w:hAnsi="Times New Roman" w:cs="Times New Roman"/>
                <w:sz w:val="20"/>
                <w:szCs w:val="20"/>
              </w:rPr>
              <w:t>2019</w:t>
            </w:r>
          </w:p>
        </w:tc>
        <w:tc>
          <w:tcPr>
            <w:tcW w:w="458" w:type="pct"/>
            <w:shd w:val="clear" w:color="auto" w:fill="auto"/>
          </w:tcPr>
          <w:p w14:paraId="4880F1C4" w14:textId="0A8AD7AD"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Ethiopia </w:t>
            </w:r>
          </w:p>
        </w:tc>
        <w:tc>
          <w:tcPr>
            <w:tcW w:w="658" w:type="pct"/>
            <w:shd w:val="clear" w:color="auto" w:fill="auto"/>
          </w:tcPr>
          <w:p w14:paraId="15C7C9DE" w14:textId="7245285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To assess levels of oral polio vaccination coverage and challenges in pastoral and semi-pastoral regions in Ethiopia</w:t>
            </w:r>
          </w:p>
        </w:tc>
        <w:tc>
          <w:tcPr>
            <w:tcW w:w="522" w:type="pct"/>
            <w:shd w:val="clear" w:color="auto" w:fill="auto"/>
          </w:tcPr>
          <w:p w14:paraId="2C97FF13" w14:textId="70D77AD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5E2142EF" w14:textId="52C6B86C"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CORE Group Polio Project (CGPP)- improving immunization coverage in hard-to-reach areas. </w:t>
            </w:r>
          </w:p>
        </w:tc>
        <w:tc>
          <w:tcPr>
            <w:tcW w:w="1848" w:type="pct"/>
            <w:shd w:val="clear" w:color="auto" w:fill="auto"/>
          </w:tcPr>
          <w:p w14:paraId="3D11AC28" w14:textId="1CBA5856"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the CGPP was able to achieve increasing levels of coverage in the hardest-to-reach areas of these states and that the levels were higher than those achieved in the </w:t>
            </w:r>
            <w:r w:rsidR="008B5B90" w:rsidRPr="00D24F48">
              <w:rPr>
                <w:rFonts w:ascii="Times New Roman" w:hAnsi="Times New Roman" w:cs="Times New Roman"/>
                <w:sz w:val="20"/>
                <w:szCs w:val="20"/>
              </w:rPr>
              <w:t>states</w:t>
            </w:r>
            <w:r w:rsidRPr="00D24F48">
              <w:rPr>
                <w:rFonts w:ascii="Times New Roman" w:hAnsi="Times New Roman" w:cs="Times New Roman"/>
                <w:sz w:val="20"/>
                <w:szCs w:val="20"/>
              </w:rPr>
              <w:t>. The strategies used by the CGPP/Ethiopia to increase coverage appear to have been effective.</w:t>
            </w:r>
          </w:p>
        </w:tc>
      </w:tr>
      <w:tr w:rsidR="002D39DC" w:rsidRPr="00D24F48" w14:paraId="3FD2D2AC" w14:textId="77777777" w:rsidTr="002D39DC">
        <w:trPr>
          <w:trHeight w:val="540"/>
        </w:trPr>
        <w:tc>
          <w:tcPr>
            <w:tcW w:w="443" w:type="pct"/>
            <w:shd w:val="clear" w:color="auto" w:fill="auto"/>
          </w:tcPr>
          <w:p w14:paraId="12768720" w14:textId="56709F1D"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Usman et al </w:t>
            </w:r>
          </w:p>
        </w:tc>
        <w:tc>
          <w:tcPr>
            <w:tcW w:w="362" w:type="pct"/>
          </w:tcPr>
          <w:p w14:paraId="28374891" w14:textId="1DA4EC3C" w:rsidR="002D39DC" w:rsidRPr="00D24F48" w:rsidRDefault="002E4F81" w:rsidP="00466C6A">
            <w:pPr>
              <w:rPr>
                <w:rFonts w:ascii="Times New Roman" w:hAnsi="Times New Roman" w:cs="Times New Roman"/>
                <w:sz w:val="20"/>
                <w:szCs w:val="20"/>
              </w:rPr>
            </w:pPr>
            <w:r w:rsidRPr="00D24F48">
              <w:rPr>
                <w:rFonts w:ascii="Times New Roman" w:hAnsi="Times New Roman" w:cs="Times New Roman"/>
                <w:sz w:val="20"/>
                <w:szCs w:val="20"/>
              </w:rPr>
              <w:t>2019</w:t>
            </w:r>
          </w:p>
        </w:tc>
        <w:tc>
          <w:tcPr>
            <w:tcW w:w="458" w:type="pct"/>
            <w:shd w:val="clear" w:color="auto" w:fill="auto"/>
          </w:tcPr>
          <w:p w14:paraId="682A8B39" w14:textId="673CF2B0"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Nigeria </w:t>
            </w:r>
          </w:p>
        </w:tc>
        <w:tc>
          <w:tcPr>
            <w:tcW w:w="658" w:type="pct"/>
            <w:shd w:val="clear" w:color="auto" w:fill="auto"/>
          </w:tcPr>
          <w:p w14:paraId="432BF72D" w14:textId="218F5BBF"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To examine the extent to which NGHOs are promoting the use of social mobilization (SM) and community mobilizers (CMs) </w:t>
            </w:r>
            <w:r w:rsidRPr="00D24F48">
              <w:rPr>
                <w:rFonts w:ascii="Times New Roman" w:hAnsi="Times New Roman" w:cs="Times New Roman"/>
                <w:sz w:val="20"/>
                <w:szCs w:val="20"/>
              </w:rPr>
              <w:lastRenderedPageBreak/>
              <w:t>for sharing health information related to the eradication of polio</w:t>
            </w:r>
          </w:p>
        </w:tc>
        <w:tc>
          <w:tcPr>
            <w:tcW w:w="522" w:type="pct"/>
            <w:shd w:val="clear" w:color="auto" w:fill="auto"/>
          </w:tcPr>
          <w:p w14:paraId="08B661A7" w14:textId="28BD0D4A"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lastRenderedPageBreak/>
              <w:t xml:space="preserve">Qualitative </w:t>
            </w:r>
          </w:p>
        </w:tc>
        <w:tc>
          <w:tcPr>
            <w:tcW w:w="709" w:type="pct"/>
            <w:shd w:val="clear" w:color="auto" w:fill="auto"/>
          </w:tcPr>
          <w:p w14:paraId="57CCF126" w14:textId="23842675"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CORE Group Partners Project (CGPP) - Nigeria </w:t>
            </w:r>
          </w:p>
        </w:tc>
        <w:tc>
          <w:tcPr>
            <w:tcW w:w="1848" w:type="pct"/>
            <w:shd w:val="clear" w:color="auto" w:fill="auto"/>
          </w:tcPr>
          <w:p w14:paraId="6C4C2275" w14:textId="236C9BFF"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various strategies used to address noncompliance and provides examples of community engagement in Yobe state, which is one of the project's largest implementation areas.</w:t>
            </w:r>
          </w:p>
        </w:tc>
      </w:tr>
      <w:tr w:rsidR="002D39DC" w:rsidRPr="00D24F48" w14:paraId="74D403D3" w14:textId="77777777" w:rsidTr="002D39DC">
        <w:trPr>
          <w:trHeight w:val="540"/>
        </w:trPr>
        <w:tc>
          <w:tcPr>
            <w:tcW w:w="443" w:type="pct"/>
            <w:shd w:val="clear" w:color="auto" w:fill="auto"/>
          </w:tcPr>
          <w:p w14:paraId="2812B74C" w14:textId="2912835D"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WHO </w:t>
            </w:r>
          </w:p>
        </w:tc>
        <w:tc>
          <w:tcPr>
            <w:tcW w:w="362" w:type="pct"/>
          </w:tcPr>
          <w:p w14:paraId="340FA770" w14:textId="4376644A" w:rsidR="002D39DC" w:rsidRPr="00D24F48" w:rsidRDefault="00537515" w:rsidP="00466C6A">
            <w:pPr>
              <w:rPr>
                <w:rFonts w:ascii="Times New Roman" w:hAnsi="Times New Roman" w:cs="Times New Roman"/>
                <w:sz w:val="20"/>
                <w:szCs w:val="20"/>
              </w:rPr>
            </w:pPr>
            <w:r w:rsidRPr="00D24F48">
              <w:rPr>
                <w:rFonts w:ascii="Times New Roman" w:hAnsi="Times New Roman" w:cs="Times New Roman"/>
                <w:sz w:val="20"/>
                <w:szCs w:val="20"/>
              </w:rPr>
              <w:t>2021</w:t>
            </w:r>
          </w:p>
        </w:tc>
        <w:tc>
          <w:tcPr>
            <w:tcW w:w="458" w:type="pct"/>
            <w:shd w:val="clear" w:color="auto" w:fill="auto"/>
          </w:tcPr>
          <w:p w14:paraId="710E99BA" w14:textId="6BE7BB77"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Ns</w:t>
            </w:r>
          </w:p>
        </w:tc>
        <w:tc>
          <w:tcPr>
            <w:tcW w:w="658" w:type="pct"/>
            <w:shd w:val="clear" w:color="auto" w:fill="auto"/>
          </w:tcPr>
          <w:p w14:paraId="582C5A79" w14:textId="32C92E0D"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To inform policymakers, researchers and advocates considering health system integration</w:t>
            </w:r>
          </w:p>
        </w:tc>
        <w:tc>
          <w:tcPr>
            <w:tcW w:w="522" w:type="pct"/>
            <w:shd w:val="clear" w:color="auto" w:fill="auto"/>
          </w:tcPr>
          <w:p w14:paraId="3897AEFF" w14:textId="0639F979"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Systematic </w:t>
            </w:r>
          </w:p>
        </w:tc>
        <w:tc>
          <w:tcPr>
            <w:tcW w:w="709" w:type="pct"/>
            <w:shd w:val="clear" w:color="auto" w:fill="auto"/>
          </w:tcPr>
          <w:p w14:paraId="2E213AB7" w14:textId="144B9AF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Community health workers (CHWs)</w:t>
            </w:r>
          </w:p>
        </w:tc>
        <w:tc>
          <w:tcPr>
            <w:tcW w:w="1848" w:type="pct"/>
            <w:shd w:val="clear" w:color="auto" w:fill="auto"/>
          </w:tcPr>
          <w:p w14:paraId="46386B33" w14:textId="44869456"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Community health workers (CHWs) are health care providers who live in the community they serve and receive lower levels of formal education and training than professional health care workers such as nurses and doctors with enormous potential to extend health care services to vulnerable populations, such as communities living in remote areas and historically marginalized people, to meet unmet health needs in a culturally appropriate manner, improve access to services, address inequities in health status and improve health system performance and efficiency. </w:t>
            </w:r>
          </w:p>
          <w:p w14:paraId="4BD63C4C" w14:textId="30037FC4"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integrating these programmes into the national health system can extend the benefits of CHWs to large populations, far beyond what can be achieved by smaller scale programmes run by nongovernmental organizations. Additionally, integrating CHW programmes into the national health system affords CHWs wider and more sustainable financial, </w:t>
            </w:r>
            <w:r w:rsidR="008B5B90" w:rsidRPr="00D24F48">
              <w:rPr>
                <w:rFonts w:ascii="Times New Roman" w:hAnsi="Times New Roman" w:cs="Times New Roman"/>
                <w:sz w:val="20"/>
                <w:szCs w:val="20"/>
              </w:rPr>
              <w:t>administrative,</w:t>
            </w:r>
            <w:r w:rsidRPr="00D24F48">
              <w:rPr>
                <w:rFonts w:ascii="Times New Roman" w:hAnsi="Times New Roman" w:cs="Times New Roman"/>
                <w:sz w:val="20"/>
                <w:szCs w:val="20"/>
              </w:rPr>
              <w:t xml:space="preserve"> and regulatory support through being woven into the fabric of public health programming.</w:t>
            </w:r>
          </w:p>
        </w:tc>
      </w:tr>
      <w:tr w:rsidR="002D39DC" w:rsidRPr="00D24F48" w14:paraId="30F61F9C" w14:textId="77777777" w:rsidTr="002D39DC">
        <w:trPr>
          <w:trHeight w:val="540"/>
        </w:trPr>
        <w:tc>
          <w:tcPr>
            <w:tcW w:w="443" w:type="pct"/>
            <w:shd w:val="clear" w:color="auto" w:fill="auto"/>
          </w:tcPr>
          <w:p w14:paraId="3BD75446" w14:textId="5E93D8EE"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Perry et al </w:t>
            </w:r>
          </w:p>
        </w:tc>
        <w:tc>
          <w:tcPr>
            <w:tcW w:w="362" w:type="pct"/>
          </w:tcPr>
          <w:p w14:paraId="5F9AA757" w14:textId="2A2D1583" w:rsidR="002D39DC" w:rsidRPr="00D24F48" w:rsidRDefault="0010381E" w:rsidP="00466C6A">
            <w:pPr>
              <w:rPr>
                <w:rFonts w:ascii="Times New Roman" w:hAnsi="Times New Roman" w:cs="Times New Roman"/>
                <w:sz w:val="20"/>
                <w:szCs w:val="20"/>
              </w:rPr>
            </w:pPr>
            <w:r w:rsidRPr="00D24F48">
              <w:rPr>
                <w:rFonts w:ascii="Times New Roman" w:hAnsi="Times New Roman" w:cs="Times New Roman"/>
                <w:sz w:val="20"/>
                <w:szCs w:val="20"/>
              </w:rPr>
              <w:t>2015</w:t>
            </w:r>
          </w:p>
        </w:tc>
        <w:tc>
          <w:tcPr>
            <w:tcW w:w="458" w:type="pct"/>
            <w:shd w:val="clear" w:color="auto" w:fill="auto"/>
          </w:tcPr>
          <w:p w14:paraId="4EC8E529" w14:textId="57973A0B"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NS </w:t>
            </w:r>
          </w:p>
        </w:tc>
        <w:tc>
          <w:tcPr>
            <w:tcW w:w="658" w:type="pct"/>
            <w:shd w:val="clear" w:color="auto" w:fill="auto"/>
          </w:tcPr>
          <w:p w14:paraId="0C0C26AC" w14:textId="3D1A855E"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To identify the most pressing challenges facing CHW programmes and approaches for strengthening CHW programmes</w:t>
            </w:r>
          </w:p>
        </w:tc>
        <w:tc>
          <w:tcPr>
            <w:tcW w:w="522" w:type="pct"/>
            <w:shd w:val="clear" w:color="auto" w:fill="auto"/>
          </w:tcPr>
          <w:p w14:paraId="4934409E" w14:textId="3A674538"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749FC6B6" w14:textId="198BF427"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Community health workers at the dawn of a new era”.</w:t>
            </w:r>
          </w:p>
        </w:tc>
        <w:tc>
          <w:tcPr>
            <w:tcW w:w="1848" w:type="pct"/>
            <w:shd w:val="clear" w:color="auto" w:fill="auto"/>
          </w:tcPr>
          <w:p w14:paraId="309721BD" w14:textId="1C1D090E"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A marked increase in sustainable funding for CHW programmes is needed, and this will require increased domestic political support for prioritizing CHW programmes as economies grow and additional health-related funding becomes available</w:t>
            </w:r>
          </w:p>
        </w:tc>
      </w:tr>
      <w:tr w:rsidR="002D39DC" w:rsidRPr="00D24F48" w14:paraId="7455160A" w14:textId="77777777" w:rsidTr="002D39DC">
        <w:trPr>
          <w:trHeight w:val="540"/>
        </w:trPr>
        <w:tc>
          <w:tcPr>
            <w:tcW w:w="443" w:type="pct"/>
            <w:shd w:val="clear" w:color="auto" w:fill="auto"/>
          </w:tcPr>
          <w:p w14:paraId="61EB5F81" w14:textId="58ED537C"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lastRenderedPageBreak/>
              <w:t xml:space="preserve">Perry et al </w:t>
            </w:r>
          </w:p>
        </w:tc>
        <w:tc>
          <w:tcPr>
            <w:tcW w:w="362" w:type="pct"/>
          </w:tcPr>
          <w:p w14:paraId="2176C285" w14:textId="6980C72B" w:rsidR="002D39DC" w:rsidRPr="00D24F48" w:rsidRDefault="0010381E" w:rsidP="00466C6A">
            <w:pPr>
              <w:rPr>
                <w:rFonts w:ascii="Times New Roman" w:hAnsi="Times New Roman" w:cs="Times New Roman"/>
                <w:sz w:val="20"/>
                <w:szCs w:val="20"/>
              </w:rPr>
            </w:pPr>
            <w:r w:rsidRPr="00D24F48">
              <w:rPr>
                <w:rFonts w:ascii="Times New Roman" w:hAnsi="Times New Roman" w:cs="Times New Roman"/>
                <w:sz w:val="20"/>
                <w:szCs w:val="20"/>
              </w:rPr>
              <w:t>2020</w:t>
            </w:r>
          </w:p>
        </w:tc>
        <w:tc>
          <w:tcPr>
            <w:tcW w:w="458" w:type="pct"/>
            <w:shd w:val="clear" w:color="auto" w:fill="auto"/>
          </w:tcPr>
          <w:p w14:paraId="1DBBD239" w14:textId="4B128B4C"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Zimbabwe Afghanistan </w:t>
            </w:r>
          </w:p>
        </w:tc>
        <w:tc>
          <w:tcPr>
            <w:tcW w:w="658" w:type="pct"/>
            <w:shd w:val="clear" w:color="auto" w:fill="auto"/>
          </w:tcPr>
          <w:p w14:paraId="497C9FEF" w14:textId="6DF2F33E"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To review of country summary </w:t>
            </w:r>
          </w:p>
        </w:tc>
        <w:tc>
          <w:tcPr>
            <w:tcW w:w="522" w:type="pct"/>
            <w:shd w:val="clear" w:color="auto" w:fill="auto"/>
          </w:tcPr>
          <w:p w14:paraId="4D107BC0" w14:textId="31472ED2"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0C684C1F" w14:textId="49B54056"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CHWs</w:t>
            </w:r>
          </w:p>
        </w:tc>
        <w:tc>
          <w:tcPr>
            <w:tcW w:w="1848" w:type="pct"/>
            <w:shd w:val="clear" w:color="auto" w:fill="auto"/>
          </w:tcPr>
          <w:p w14:paraId="183CECCC" w14:textId="6E7B21A2"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CHWs provide a major portion of primary health care services in Afghanistan. As such, they are widely recognized as important contributors to Afghanistan’s marked improvement in health status during the past 15 years</w:t>
            </w:r>
          </w:p>
        </w:tc>
      </w:tr>
      <w:tr w:rsidR="002D39DC" w:rsidRPr="00D24F48" w14:paraId="7548DC09" w14:textId="77777777" w:rsidTr="002D39DC">
        <w:trPr>
          <w:trHeight w:val="540"/>
        </w:trPr>
        <w:tc>
          <w:tcPr>
            <w:tcW w:w="443" w:type="pct"/>
            <w:shd w:val="clear" w:color="auto" w:fill="auto"/>
          </w:tcPr>
          <w:p w14:paraId="3CA7E43D" w14:textId="5E8146F5"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Blanco et al </w:t>
            </w:r>
          </w:p>
        </w:tc>
        <w:tc>
          <w:tcPr>
            <w:tcW w:w="362" w:type="pct"/>
          </w:tcPr>
          <w:p w14:paraId="0243EB51" w14:textId="1789FD65" w:rsidR="002D39DC" w:rsidRPr="00D24F48" w:rsidRDefault="00861452" w:rsidP="00466C6A">
            <w:pPr>
              <w:rPr>
                <w:rFonts w:ascii="Times New Roman" w:hAnsi="Times New Roman" w:cs="Times New Roman"/>
                <w:sz w:val="20"/>
                <w:szCs w:val="20"/>
              </w:rPr>
            </w:pPr>
            <w:r w:rsidRPr="00D24F48">
              <w:rPr>
                <w:rFonts w:ascii="Times New Roman" w:hAnsi="Times New Roman" w:cs="Times New Roman"/>
                <w:sz w:val="20"/>
                <w:szCs w:val="20"/>
              </w:rPr>
              <w:t>2023</w:t>
            </w:r>
          </w:p>
        </w:tc>
        <w:tc>
          <w:tcPr>
            <w:tcW w:w="458" w:type="pct"/>
            <w:shd w:val="clear" w:color="auto" w:fill="auto"/>
          </w:tcPr>
          <w:p w14:paraId="0FEBD393" w14:textId="64112EF9"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Guatemala</w:t>
            </w:r>
          </w:p>
        </w:tc>
        <w:tc>
          <w:tcPr>
            <w:tcW w:w="658" w:type="pct"/>
            <w:shd w:val="clear" w:color="auto" w:fill="auto"/>
          </w:tcPr>
          <w:p w14:paraId="652078F4" w14:textId="609A0B0D"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To provide health education to </w:t>
            </w:r>
            <w:proofErr w:type="spellStart"/>
            <w:r w:rsidRPr="00D24F48">
              <w:rPr>
                <w:rFonts w:ascii="Times New Roman" w:hAnsi="Times New Roman" w:cs="Times New Roman"/>
                <w:sz w:val="20"/>
                <w:szCs w:val="20"/>
              </w:rPr>
              <w:t>neighboring</w:t>
            </w:r>
            <w:proofErr w:type="spellEnd"/>
            <w:r w:rsidRPr="00D24F48">
              <w:rPr>
                <w:rFonts w:ascii="Times New Roman" w:hAnsi="Times New Roman" w:cs="Times New Roman"/>
                <w:sz w:val="20"/>
                <w:szCs w:val="20"/>
              </w:rPr>
              <w:t xml:space="preserve"> households. Messages focused on the promotion of maternal and newborn health, nutrition, prevention and treatment of </w:t>
            </w:r>
            <w:r w:rsidR="00F208DE" w:rsidRPr="00D24F48">
              <w:rPr>
                <w:rFonts w:ascii="Times New Roman" w:hAnsi="Times New Roman" w:cs="Times New Roman"/>
                <w:sz w:val="20"/>
                <w:szCs w:val="20"/>
              </w:rPr>
              <w:t>ARI</w:t>
            </w:r>
            <w:r w:rsidRPr="00D24F48">
              <w:rPr>
                <w:rFonts w:ascii="Times New Roman" w:hAnsi="Times New Roman" w:cs="Times New Roman"/>
                <w:sz w:val="20"/>
                <w:szCs w:val="20"/>
              </w:rPr>
              <w:t xml:space="preserve"> and diarrhoea in children, and immunizations.</w:t>
            </w:r>
          </w:p>
        </w:tc>
        <w:tc>
          <w:tcPr>
            <w:tcW w:w="522" w:type="pct"/>
            <w:shd w:val="clear" w:color="auto" w:fill="auto"/>
          </w:tcPr>
          <w:p w14:paraId="29CD1E94" w14:textId="77A7E3F5"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Qualitative </w:t>
            </w:r>
          </w:p>
        </w:tc>
        <w:tc>
          <w:tcPr>
            <w:tcW w:w="709" w:type="pct"/>
            <w:shd w:val="clear" w:color="auto" w:fill="auto"/>
          </w:tcPr>
          <w:p w14:paraId="3D1AE9DC" w14:textId="168A42FC"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 xml:space="preserve">Care Group Approach and the Community Birthing </w:t>
            </w:r>
            <w:proofErr w:type="spellStart"/>
            <w:r w:rsidRPr="00D24F48">
              <w:rPr>
                <w:rFonts w:ascii="Times New Roman" w:hAnsi="Times New Roman" w:cs="Times New Roman"/>
                <w:sz w:val="20"/>
                <w:szCs w:val="20"/>
              </w:rPr>
              <w:t>Center</w:t>
            </w:r>
            <w:proofErr w:type="spellEnd"/>
            <w:r w:rsidRPr="00D24F48">
              <w:rPr>
                <w:rFonts w:ascii="Times New Roman" w:hAnsi="Times New Roman" w:cs="Times New Roman"/>
                <w:sz w:val="20"/>
                <w:szCs w:val="20"/>
              </w:rPr>
              <w:t xml:space="preserve"> (Casa Materna Rural) Approach</w:t>
            </w:r>
          </w:p>
        </w:tc>
        <w:tc>
          <w:tcPr>
            <w:tcW w:w="1848" w:type="pct"/>
            <w:shd w:val="clear" w:color="auto" w:fill="auto"/>
          </w:tcPr>
          <w:p w14:paraId="4C8A6B72" w14:textId="7DE10C09" w:rsidR="002D39DC" w:rsidRPr="00D24F48" w:rsidRDefault="002D39DC" w:rsidP="00466C6A">
            <w:pPr>
              <w:rPr>
                <w:rFonts w:ascii="Times New Roman" w:hAnsi="Times New Roman" w:cs="Times New Roman"/>
                <w:sz w:val="20"/>
                <w:szCs w:val="20"/>
              </w:rPr>
            </w:pPr>
            <w:r w:rsidRPr="00D24F48">
              <w:rPr>
                <w:rFonts w:ascii="Times New Roman" w:hAnsi="Times New Roman" w:cs="Times New Roman"/>
                <w:sz w:val="20"/>
                <w:szCs w:val="20"/>
              </w:rPr>
              <w:t>community-based Project has been effective in quickly achieving marked improvements in indicators for interventions that are important for the health of mothers and children.</w:t>
            </w:r>
          </w:p>
        </w:tc>
      </w:tr>
    </w:tbl>
    <w:p w14:paraId="4D441F48" w14:textId="77777777" w:rsidR="00D53467" w:rsidRPr="00D24F48" w:rsidRDefault="00D53467" w:rsidP="00466C6A">
      <w:pPr>
        <w:rPr>
          <w:rFonts w:ascii="Times New Roman" w:hAnsi="Times New Roman" w:cs="Times New Roman"/>
          <w:sz w:val="20"/>
          <w:szCs w:val="20"/>
        </w:rPr>
      </w:pPr>
    </w:p>
    <w:p w14:paraId="53F7B7C3" w14:textId="49DFF1E2" w:rsidR="007A6C1A" w:rsidRPr="00D24F48" w:rsidRDefault="00D53467" w:rsidP="0067760C">
      <w:pPr>
        <w:rPr>
          <w:rFonts w:ascii="Times New Roman" w:hAnsi="Times New Roman" w:cs="Times New Roman"/>
          <w:sz w:val="20"/>
          <w:szCs w:val="20"/>
        </w:rPr>
      </w:pPr>
      <w:r w:rsidRPr="00D24F48">
        <w:rPr>
          <w:rFonts w:ascii="Times New Roman" w:hAnsi="Times New Roman" w:cs="Times New Roman"/>
          <w:sz w:val="20"/>
          <w:szCs w:val="20"/>
        </w:rPr>
        <w:fldChar w:fldCharType="begin"/>
      </w:r>
      <w:r w:rsidRPr="00D24F48">
        <w:rPr>
          <w:rFonts w:ascii="Times New Roman" w:hAnsi="Times New Roman" w:cs="Times New Roman"/>
          <w:sz w:val="20"/>
          <w:szCs w:val="20"/>
        </w:rPr>
        <w:instrText xml:space="preserve"> ADDIN EN.REFLIST </w:instrText>
      </w:r>
      <w:r w:rsidR="00000000">
        <w:rPr>
          <w:rFonts w:ascii="Times New Roman" w:hAnsi="Times New Roman" w:cs="Times New Roman"/>
          <w:sz w:val="20"/>
          <w:szCs w:val="20"/>
        </w:rPr>
        <w:fldChar w:fldCharType="separate"/>
      </w:r>
      <w:r w:rsidRPr="00D24F48">
        <w:rPr>
          <w:rFonts w:ascii="Times New Roman" w:hAnsi="Times New Roman" w:cs="Times New Roman"/>
          <w:sz w:val="20"/>
          <w:szCs w:val="20"/>
        </w:rPr>
        <w:fldChar w:fldCharType="end"/>
      </w:r>
    </w:p>
    <w:sectPr w:rsidR="007A6C1A" w:rsidRPr="00D24F48" w:rsidSect="000232DE">
      <w:headerReference w:type="default" r:id="rId8"/>
      <w:footerReference w:type="default" r:id="rId9"/>
      <w:pgSz w:w="16838" w:h="11906" w:orient="landscape"/>
      <w:pgMar w:top="1411" w:right="1411"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CEC7D" w14:textId="77777777" w:rsidR="0099734D" w:rsidRDefault="0099734D" w:rsidP="00A722EB">
      <w:pPr>
        <w:spacing w:after="0" w:line="240" w:lineRule="auto"/>
      </w:pPr>
      <w:r>
        <w:separator/>
      </w:r>
    </w:p>
  </w:endnote>
  <w:endnote w:type="continuationSeparator" w:id="0">
    <w:p w14:paraId="4ECACBA2" w14:textId="77777777" w:rsidR="0099734D" w:rsidRDefault="0099734D" w:rsidP="00A72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9110270"/>
      <w:docPartObj>
        <w:docPartGallery w:val="Page Numbers (Bottom of Page)"/>
        <w:docPartUnique/>
      </w:docPartObj>
    </w:sdtPr>
    <w:sdtEndPr>
      <w:rPr>
        <w:noProof/>
      </w:rPr>
    </w:sdtEndPr>
    <w:sdtContent>
      <w:p w14:paraId="7CA4CF4E" w14:textId="182B1A31" w:rsidR="004064B0" w:rsidRDefault="004064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D78611" w14:textId="77777777" w:rsidR="004064B0" w:rsidRDefault="00406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464DF9" w14:textId="77777777" w:rsidR="0099734D" w:rsidRDefault="0099734D" w:rsidP="00A722EB">
      <w:pPr>
        <w:spacing w:after="0" w:line="240" w:lineRule="auto"/>
      </w:pPr>
      <w:r>
        <w:separator/>
      </w:r>
    </w:p>
  </w:footnote>
  <w:footnote w:type="continuationSeparator" w:id="0">
    <w:p w14:paraId="761254E3" w14:textId="77777777" w:rsidR="0099734D" w:rsidRDefault="0099734D" w:rsidP="00A72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9243084"/>
      <w:docPartObj>
        <w:docPartGallery w:val="Page Numbers (Top of Page)"/>
        <w:docPartUnique/>
      </w:docPartObj>
    </w:sdtPr>
    <w:sdtEndPr>
      <w:rPr>
        <w:noProof/>
      </w:rPr>
    </w:sdtEndPr>
    <w:sdtContent>
      <w:p w14:paraId="0EC2B23E" w14:textId="57BB1D08" w:rsidR="00A872BB" w:rsidRDefault="00A872B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4CE154" w14:textId="77777777" w:rsidR="00A722EB" w:rsidRDefault="00A72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9E5F19"/>
    <w:multiLevelType w:val="hybridMultilevel"/>
    <w:tmpl w:val="21668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69022A"/>
    <w:multiLevelType w:val="hybridMultilevel"/>
    <w:tmpl w:val="58DC8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A772D7C"/>
    <w:multiLevelType w:val="hybridMultilevel"/>
    <w:tmpl w:val="64DE37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8B540D5"/>
    <w:multiLevelType w:val="hybridMultilevel"/>
    <w:tmpl w:val="F05460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9335669">
    <w:abstractNumId w:val="3"/>
  </w:num>
  <w:num w:numId="2" w16cid:durableId="194734892">
    <w:abstractNumId w:val="2"/>
  </w:num>
  <w:num w:numId="3" w16cid:durableId="1218660974">
    <w:abstractNumId w:val="1"/>
  </w:num>
  <w:num w:numId="4" w16cid:durableId="323051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1MLA0sTCzNDcxMbdU0lEKTi0uzszPAykwrgUA9M2emCwAAAA="/>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xvs2026re9r6e0szpv2rvwddps59f50dsd&quot;&gt;final_fulltext_review_CHP&lt;record-ids&gt;&lt;item&gt;134&lt;/item&gt;&lt;/record-ids&gt;&lt;/item&gt;&lt;/Libraries&gt;"/>
  </w:docVars>
  <w:rsids>
    <w:rsidRoot w:val="00A90A64"/>
    <w:rsid w:val="00003557"/>
    <w:rsid w:val="00015877"/>
    <w:rsid w:val="000232DE"/>
    <w:rsid w:val="00056953"/>
    <w:rsid w:val="00057808"/>
    <w:rsid w:val="00065A65"/>
    <w:rsid w:val="000756BA"/>
    <w:rsid w:val="000803CD"/>
    <w:rsid w:val="0009532F"/>
    <w:rsid w:val="00095663"/>
    <w:rsid w:val="000B32F9"/>
    <w:rsid w:val="000B4F29"/>
    <w:rsid w:val="000B53E5"/>
    <w:rsid w:val="000B620E"/>
    <w:rsid w:val="000C05E5"/>
    <w:rsid w:val="000C6FB9"/>
    <w:rsid w:val="000D02DB"/>
    <w:rsid w:val="000D079A"/>
    <w:rsid w:val="000D33C9"/>
    <w:rsid w:val="000D423A"/>
    <w:rsid w:val="000E46C0"/>
    <w:rsid w:val="0010381E"/>
    <w:rsid w:val="00113219"/>
    <w:rsid w:val="001135B6"/>
    <w:rsid w:val="00127C3A"/>
    <w:rsid w:val="00131C88"/>
    <w:rsid w:val="0014233C"/>
    <w:rsid w:val="00145E1C"/>
    <w:rsid w:val="00150B24"/>
    <w:rsid w:val="0015202F"/>
    <w:rsid w:val="00154ECE"/>
    <w:rsid w:val="0015762B"/>
    <w:rsid w:val="00166394"/>
    <w:rsid w:val="00173A01"/>
    <w:rsid w:val="00173FDD"/>
    <w:rsid w:val="00176FE7"/>
    <w:rsid w:val="00180923"/>
    <w:rsid w:val="00191F28"/>
    <w:rsid w:val="00193BA9"/>
    <w:rsid w:val="001B3520"/>
    <w:rsid w:val="001B6D98"/>
    <w:rsid w:val="001C3B48"/>
    <w:rsid w:val="001D28F8"/>
    <w:rsid w:val="001D409C"/>
    <w:rsid w:val="001E2490"/>
    <w:rsid w:val="001E3049"/>
    <w:rsid w:val="001E4636"/>
    <w:rsid w:val="001E5756"/>
    <w:rsid w:val="002050D4"/>
    <w:rsid w:val="00207EC8"/>
    <w:rsid w:val="002118C7"/>
    <w:rsid w:val="002119BB"/>
    <w:rsid w:val="00221C1E"/>
    <w:rsid w:val="00223C0C"/>
    <w:rsid w:val="00224007"/>
    <w:rsid w:val="00226C8E"/>
    <w:rsid w:val="002449E3"/>
    <w:rsid w:val="00262BE6"/>
    <w:rsid w:val="002711C2"/>
    <w:rsid w:val="002722AE"/>
    <w:rsid w:val="002907D5"/>
    <w:rsid w:val="00292022"/>
    <w:rsid w:val="002A145D"/>
    <w:rsid w:val="002A7307"/>
    <w:rsid w:val="002B29BF"/>
    <w:rsid w:val="002D39DC"/>
    <w:rsid w:val="002E0FA6"/>
    <w:rsid w:val="002E4F81"/>
    <w:rsid w:val="002E768B"/>
    <w:rsid w:val="002E7FC9"/>
    <w:rsid w:val="00307F2B"/>
    <w:rsid w:val="0031738A"/>
    <w:rsid w:val="0032084B"/>
    <w:rsid w:val="00325D7F"/>
    <w:rsid w:val="00326388"/>
    <w:rsid w:val="0032683F"/>
    <w:rsid w:val="00330C89"/>
    <w:rsid w:val="00350645"/>
    <w:rsid w:val="003575A1"/>
    <w:rsid w:val="00363DA7"/>
    <w:rsid w:val="0036631E"/>
    <w:rsid w:val="003746BD"/>
    <w:rsid w:val="00382526"/>
    <w:rsid w:val="003A0C25"/>
    <w:rsid w:val="003A114E"/>
    <w:rsid w:val="003A7FDA"/>
    <w:rsid w:val="003B0082"/>
    <w:rsid w:val="003B2105"/>
    <w:rsid w:val="003C29C6"/>
    <w:rsid w:val="003C7833"/>
    <w:rsid w:val="003D0136"/>
    <w:rsid w:val="003D2319"/>
    <w:rsid w:val="003D3890"/>
    <w:rsid w:val="003E0351"/>
    <w:rsid w:val="003F05CA"/>
    <w:rsid w:val="003F244C"/>
    <w:rsid w:val="00404995"/>
    <w:rsid w:val="004064B0"/>
    <w:rsid w:val="00415CEA"/>
    <w:rsid w:val="00433824"/>
    <w:rsid w:val="00447E92"/>
    <w:rsid w:val="00455AFF"/>
    <w:rsid w:val="004605D2"/>
    <w:rsid w:val="00465257"/>
    <w:rsid w:val="004663FD"/>
    <w:rsid w:val="00466C6A"/>
    <w:rsid w:val="00467B4C"/>
    <w:rsid w:val="00483217"/>
    <w:rsid w:val="00487318"/>
    <w:rsid w:val="004929BF"/>
    <w:rsid w:val="004A00E7"/>
    <w:rsid w:val="004A1EFD"/>
    <w:rsid w:val="004B27F8"/>
    <w:rsid w:val="004B6BB1"/>
    <w:rsid w:val="004C76FE"/>
    <w:rsid w:val="004D0ADE"/>
    <w:rsid w:val="004D3F05"/>
    <w:rsid w:val="004D5A94"/>
    <w:rsid w:val="004D73B9"/>
    <w:rsid w:val="004E39C6"/>
    <w:rsid w:val="004E4C23"/>
    <w:rsid w:val="004F5BA4"/>
    <w:rsid w:val="0050146E"/>
    <w:rsid w:val="00502E15"/>
    <w:rsid w:val="00503567"/>
    <w:rsid w:val="0050581E"/>
    <w:rsid w:val="005265D0"/>
    <w:rsid w:val="005305B6"/>
    <w:rsid w:val="00536240"/>
    <w:rsid w:val="00537515"/>
    <w:rsid w:val="00545DBE"/>
    <w:rsid w:val="0055288C"/>
    <w:rsid w:val="00554084"/>
    <w:rsid w:val="00554BA3"/>
    <w:rsid w:val="00556325"/>
    <w:rsid w:val="00572BBA"/>
    <w:rsid w:val="00576481"/>
    <w:rsid w:val="00580A81"/>
    <w:rsid w:val="005810E9"/>
    <w:rsid w:val="0058327F"/>
    <w:rsid w:val="0058691A"/>
    <w:rsid w:val="00587872"/>
    <w:rsid w:val="00590AF8"/>
    <w:rsid w:val="00591904"/>
    <w:rsid w:val="00596806"/>
    <w:rsid w:val="005B4324"/>
    <w:rsid w:val="005C5B88"/>
    <w:rsid w:val="005C78EC"/>
    <w:rsid w:val="005D39D2"/>
    <w:rsid w:val="005E440F"/>
    <w:rsid w:val="005E6EFD"/>
    <w:rsid w:val="005F6D90"/>
    <w:rsid w:val="00600F19"/>
    <w:rsid w:val="006051BE"/>
    <w:rsid w:val="0060779E"/>
    <w:rsid w:val="00612F01"/>
    <w:rsid w:val="006133E4"/>
    <w:rsid w:val="00621C41"/>
    <w:rsid w:val="006221A8"/>
    <w:rsid w:val="00627A58"/>
    <w:rsid w:val="00636292"/>
    <w:rsid w:val="006372C7"/>
    <w:rsid w:val="00644BC9"/>
    <w:rsid w:val="0064797E"/>
    <w:rsid w:val="006634AB"/>
    <w:rsid w:val="00664723"/>
    <w:rsid w:val="00664F9A"/>
    <w:rsid w:val="0067760C"/>
    <w:rsid w:val="006879CA"/>
    <w:rsid w:val="00690FA2"/>
    <w:rsid w:val="00695C86"/>
    <w:rsid w:val="006A36FE"/>
    <w:rsid w:val="006A6FCE"/>
    <w:rsid w:val="006C2D53"/>
    <w:rsid w:val="006C554C"/>
    <w:rsid w:val="006E23B2"/>
    <w:rsid w:val="006E6B69"/>
    <w:rsid w:val="006F536D"/>
    <w:rsid w:val="0070459A"/>
    <w:rsid w:val="007127DF"/>
    <w:rsid w:val="0072187F"/>
    <w:rsid w:val="00721AA9"/>
    <w:rsid w:val="0073287B"/>
    <w:rsid w:val="00753AEA"/>
    <w:rsid w:val="00754F57"/>
    <w:rsid w:val="00762391"/>
    <w:rsid w:val="0076444E"/>
    <w:rsid w:val="00771D68"/>
    <w:rsid w:val="0078198D"/>
    <w:rsid w:val="0078528E"/>
    <w:rsid w:val="00791F17"/>
    <w:rsid w:val="007A6C1A"/>
    <w:rsid w:val="007B4771"/>
    <w:rsid w:val="007C5A19"/>
    <w:rsid w:val="007C6105"/>
    <w:rsid w:val="007F5477"/>
    <w:rsid w:val="007F616B"/>
    <w:rsid w:val="00806541"/>
    <w:rsid w:val="0080675D"/>
    <w:rsid w:val="0081055A"/>
    <w:rsid w:val="00812733"/>
    <w:rsid w:val="00826B90"/>
    <w:rsid w:val="008352E0"/>
    <w:rsid w:val="00847F91"/>
    <w:rsid w:val="00850760"/>
    <w:rsid w:val="008530A0"/>
    <w:rsid w:val="00861452"/>
    <w:rsid w:val="008722A7"/>
    <w:rsid w:val="0087343F"/>
    <w:rsid w:val="00881E52"/>
    <w:rsid w:val="008A0631"/>
    <w:rsid w:val="008A1911"/>
    <w:rsid w:val="008A4752"/>
    <w:rsid w:val="008B5B90"/>
    <w:rsid w:val="008C3E3C"/>
    <w:rsid w:val="008D259F"/>
    <w:rsid w:val="008D3B5B"/>
    <w:rsid w:val="008E0C37"/>
    <w:rsid w:val="008E306E"/>
    <w:rsid w:val="008F319D"/>
    <w:rsid w:val="008F568E"/>
    <w:rsid w:val="008F6F50"/>
    <w:rsid w:val="00902E8A"/>
    <w:rsid w:val="00903700"/>
    <w:rsid w:val="0091692F"/>
    <w:rsid w:val="00920C95"/>
    <w:rsid w:val="0092590B"/>
    <w:rsid w:val="009527C6"/>
    <w:rsid w:val="00967143"/>
    <w:rsid w:val="00972BFC"/>
    <w:rsid w:val="00973769"/>
    <w:rsid w:val="009746AB"/>
    <w:rsid w:val="00996966"/>
    <w:rsid w:val="0099734D"/>
    <w:rsid w:val="009B0717"/>
    <w:rsid w:val="009B5E46"/>
    <w:rsid w:val="009B6744"/>
    <w:rsid w:val="009C0910"/>
    <w:rsid w:val="009D037A"/>
    <w:rsid w:val="009F0444"/>
    <w:rsid w:val="009F16A0"/>
    <w:rsid w:val="009F3DDF"/>
    <w:rsid w:val="009F408C"/>
    <w:rsid w:val="00A05A64"/>
    <w:rsid w:val="00A10D3E"/>
    <w:rsid w:val="00A16B4C"/>
    <w:rsid w:val="00A20AF3"/>
    <w:rsid w:val="00A362D4"/>
    <w:rsid w:val="00A45FC7"/>
    <w:rsid w:val="00A5136D"/>
    <w:rsid w:val="00A579A9"/>
    <w:rsid w:val="00A722EB"/>
    <w:rsid w:val="00A725B6"/>
    <w:rsid w:val="00A76641"/>
    <w:rsid w:val="00A77045"/>
    <w:rsid w:val="00A8049B"/>
    <w:rsid w:val="00A8161F"/>
    <w:rsid w:val="00A8307B"/>
    <w:rsid w:val="00A851E5"/>
    <w:rsid w:val="00A872BB"/>
    <w:rsid w:val="00A90A64"/>
    <w:rsid w:val="00A9106F"/>
    <w:rsid w:val="00AA1647"/>
    <w:rsid w:val="00AA4A47"/>
    <w:rsid w:val="00AA67BF"/>
    <w:rsid w:val="00AD1140"/>
    <w:rsid w:val="00AD50D5"/>
    <w:rsid w:val="00AD6171"/>
    <w:rsid w:val="00AE05E2"/>
    <w:rsid w:val="00AE609D"/>
    <w:rsid w:val="00AE6D3C"/>
    <w:rsid w:val="00AE747C"/>
    <w:rsid w:val="00AF527F"/>
    <w:rsid w:val="00AF7956"/>
    <w:rsid w:val="00B048FD"/>
    <w:rsid w:val="00B13A9C"/>
    <w:rsid w:val="00B24C4C"/>
    <w:rsid w:val="00B25430"/>
    <w:rsid w:val="00B27F85"/>
    <w:rsid w:val="00B3418F"/>
    <w:rsid w:val="00B37619"/>
    <w:rsid w:val="00B37736"/>
    <w:rsid w:val="00B43A92"/>
    <w:rsid w:val="00B4401A"/>
    <w:rsid w:val="00B47214"/>
    <w:rsid w:val="00B5354A"/>
    <w:rsid w:val="00B553E7"/>
    <w:rsid w:val="00B6136A"/>
    <w:rsid w:val="00B643AB"/>
    <w:rsid w:val="00B649FC"/>
    <w:rsid w:val="00B66499"/>
    <w:rsid w:val="00B66542"/>
    <w:rsid w:val="00B80C34"/>
    <w:rsid w:val="00B93B56"/>
    <w:rsid w:val="00B94ED7"/>
    <w:rsid w:val="00BA3F14"/>
    <w:rsid w:val="00BA4B93"/>
    <w:rsid w:val="00BB1A43"/>
    <w:rsid w:val="00BB6539"/>
    <w:rsid w:val="00BD108B"/>
    <w:rsid w:val="00BD2DE5"/>
    <w:rsid w:val="00BE446F"/>
    <w:rsid w:val="00BF0706"/>
    <w:rsid w:val="00BF0AEB"/>
    <w:rsid w:val="00C05150"/>
    <w:rsid w:val="00C10A91"/>
    <w:rsid w:val="00C11651"/>
    <w:rsid w:val="00C12185"/>
    <w:rsid w:val="00C14750"/>
    <w:rsid w:val="00C2154C"/>
    <w:rsid w:val="00C22799"/>
    <w:rsid w:val="00C25D5F"/>
    <w:rsid w:val="00C26082"/>
    <w:rsid w:val="00C260C9"/>
    <w:rsid w:val="00C32FB6"/>
    <w:rsid w:val="00C364BE"/>
    <w:rsid w:val="00C40153"/>
    <w:rsid w:val="00C40509"/>
    <w:rsid w:val="00C452B3"/>
    <w:rsid w:val="00C522A1"/>
    <w:rsid w:val="00C70B44"/>
    <w:rsid w:val="00C77529"/>
    <w:rsid w:val="00C818FC"/>
    <w:rsid w:val="00C84114"/>
    <w:rsid w:val="00C8674A"/>
    <w:rsid w:val="00CB125C"/>
    <w:rsid w:val="00CB3637"/>
    <w:rsid w:val="00CB3F07"/>
    <w:rsid w:val="00CB490F"/>
    <w:rsid w:val="00CC23FA"/>
    <w:rsid w:val="00CC25FC"/>
    <w:rsid w:val="00CC3D50"/>
    <w:rsid w:val="00CD203B"/>
    <w:rsid w:val="00CD53B3"/>
    <w:rsid w:val="00CE1E03"/>
    <w:rsid w:val="00CE508E"/>
    <w:rsid w:val="00D056E4"/>
    <w:rsid w:val="00D06428"/>
    <w:rsid w:val="00D245B3"/>
    <w:rsid w:val="00D24F48"/>
    <w:rsid w:val="00D27E19"/>
    <w:rsid w:val="00D3288D"/>
    <w:rsid w:val="00D35E56"/>
    <w:rsid w:val="00D44CC7"/>
    <w:rsid w:val="00D53467"/>
    <w:rsid w:val="00D55CA0"/>
    <w:rsid w:val="00D5747B"/>
    <w:rsid w:val="00D617B0"/>
    <w:rsid w:val="00D647D8"/>
    <w:rsid w:val="00D740FE"/>
    <w:rsid w:val="00D76A47"/>
    <w:rsid w:val="00D826BA"/>
    <w:rsid w:val="00D82E64"/>
    <w:rsid w:val="00D84B76"/>
    <w:rsid w:val="00D85D72"/>
    <w:rsid w:val="00D87806"/>
    <w:rsid w:val="00D90143"/>
    <w:rsid w:val="00D93228"/>
    <w:rsid w:val="00D94AD6"/>
    <w:rsid w:val="00DA29E5"/>
    <w:rsid w:val="00DB6F48"/>
    <w:rsid w:val="00DC575F"/>
    <w:rsid w:val="00DC6794"/>
    <w:rsid w:val="00DE04AF"/>
    <w:rsid w:val="00DF0047"/>
    <w:rsid w:val="00DF744A"/>
    <w:rsid w:val="00E06007"/>
    <w:rsid w:val="00E1060B"/>
    <w:rsid w:val="00E1413E"/>
    <w:rsid w:val="00E17249"/>
    <w:rsid w:val="00E205A3"/>
    <w:rsid w:val="00E24C84"/>
    <w:rsid w:val="00E27FF1"/>
    <w:rsid w:val="00E44244"/>
    <w:rsid w:val="00E44F72"/>
    <w:rsid w:val="00E45026"/>
    <w:rsid w:val="00E45A69"/>
    <w:rsid w:val="00E52C04"/>
    <w:rsid w:val="00E560D7"/>
    <w:rsid w:val="00E640B0"/>
    <w:rsid w:val="00E660CA"/>
    <w:rsid w:val="00E7260F"/>
    <w:rsid w:val="00E86389"/>
    <w:rsid w:val="00E93285"/>
    <w:rsid w:val="00EB0254"/>
    <w:rsid w:val="00EB4FFF"/>
    <w:rsid w:val="00ED3A6E"/>
    <w:rsid w:val="00ED7AC2"/>
    <w:rsid w:val="00EE136E"/>
    <w:rsid w:val="00EE4931"/>
    <w:rsid w:val="00EE5D36"/>
    <w:rsid w:val="00F00347"/>
    <w:rsid w:val="00F05A62"/>
    <w:rsid w:val="00F12D6A"/>
    <w:rsid w:val="00F15945"/>
    <w:rsid w:val="00F208DE"/>
    <w:rsid w:val="00F30F12"/>
    <w:rsid w:val="00F41A0A"/>
    <w:rsid w:val="00F45C69"/>
    <w:rsid w:val="00F54212"/>
    <w:rsid w:val="00F544B1"/>
    <w:rsid w:val="00F54D9C"/>
    <w:rsid w:val="00F557BE"/>
    <w:rsid w:val="00F55AAF"/>
    <w:rsid w:val="00F56723"/>
    <w:rsid w:val="00F5696C"/>
    <w:rsid w:val="00F62BC0"/>
    <w:rsid w:val="00F661B3"/>
    <w:rsid w:val="00F749E7"/>
    <w:rsid w:val="00F74F9F"/>
    <w:rsid w:val="00F8537F"/>
    <w:rsid w:val="00F87405"/>
    <w:rsid w:val="00F95117"/>
    <w:rsid w:val="00FE46F4"/>
    <w:rsid w:val="00FE5361"/>
    <w:rsid w:val="00FF4A85"/>
    <w:rsid w:val="00FF63A8"/>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7B84D8"/>
  <w15:chartTrackingRefBased/>
  <w15:docId w15:val="{446282F8-2E63-41AC-BFDE-1950B04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A6C1A"/>
    <w:pPr>
      <w:keepNext/>
      <w:spacing w:before="240" w:after="60" w:line="240" w:lineRule="auto"/>
      <w:ind w:left="720" w:hanging="720"/>
      <w:jc w:val="both"/>
      <w:outlineLvl w:val="0"/>
    </w:pPr>
    <w:rPr>
      <w:rFonts w:ascii="Cambria" w:eastAsia="Times New Roman" w:hAnsi="Cambria" w:cs="Mangal"/>
      <w:b/>
      <w:bCs/>
      <w:kern w:val="32"/>
      <w:sz w:val="32"/>
      <w:szCs w:val="32"/>
      <w:lang w:val="en-US"/>
    </w:rPr>
  </w:style>
  <w:style w:type="paragraph" w:styleId="Heading2">
    <w:name w:val="heading 2"/>
    <w:basedOn w:val="Normal"/>
    <w:next w:val="Normal"/>
    <w:link w:val="Heading2Char"/>
    <w:uiPriority w:val="9"/>
    <w:unhideWhenUsed/>
    <w:qFormat/>
    <w:rsid w:val="00F87405"/>
    <w:pPr>
      <w:keepNext/>
      <w:keepLines/>
      <w:spacing w:before="40" w:after="0"/>
      <w:outlineLvl w:val="1"/>
    </w:pPr>
    <w:rPr>
      <w:rFonts w:ascii="Arial" w:eastAsiaTheme="majorEastAsia" w:hAnsi="Arial" w:cstheme="majorBidi"/>
      <w:b/>
      <w:sz w:val="24"/>
      <w:szCs w:val="26"/>
      <w:lang w:val="am-ET"/>
    </w:rPr>
  </w:style>
  <w:style w:type="paragraph" w:styleId="Heading4">
    <w:name w:val="heading 4"/>
    <w:basedOn w:val="Normal"/>
    <w:link w:val="Heading4Char"/>
    <w:uiPriority w:val="9"/>
    <w:unhideWhenUsed/>
    <w:qFormat/>
    <w:rsid w:val="00487318"/>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07EC8"/>
    <w:pPr>
      <w:spacing w:after="0" w:line="240" w:lineRule="auto"/>
    </w:pPr>
    <w:rPr>
      <w:rFonts w:ascii="Calibri" w:eastAsia="Calibri" w:hAnsi="Calibri" w:cs="Times New Roman"/>
      <w:lang w:val="en-US"/>
    </w:rPr>
  </w:style>
  <w:style w:type="paragraph" w:styleId="Caption">
    <w:name w:val="caption"/>
    <w:basedOn w:val="Normal"/>
    <w:next w:val="Normal"/>
    <w:uiPriority w:val="35"/>
    <w:unhideWhenUsed/>
    <w:qFormat/>
    <w:rsid w:val="006879CA"/>
    <w:pPr>
      <w:spacing w:after="200" w:line="240" w:lineRule="auto"/>
    </w:pPr>
    <w:rPr>
      <w:i/>
      <w:iCs/>
      <w:color w:val="44546A" w:themeColor="text2"/>
      <w:sz w:val="18"/>
      <w:szCs w:val="18"/>
    </w:rPr>
  </w:style>
  <w:style w:type="character" w:customStyle="1" w:styleId="Heading4Char">
    <w:name w:val="Heading 4 Char"/>
    <w:basedOn w:val="DefaultParagraphFont"/>
    <w:link w:val="Heading4"/>
    <w:uiPriority w:val="9"/>
    <w:rsid w:val="00487318"/>
    <w:rPr>
      <w:rFonts w:ascii="Times New Roman" w:eastAsia="Times New Roman" w:hAnsi="Times New Roman" w:cs="Times New Roman"/>
      <w:b/>
      <w:bCs/>
      <w:sz w:val="24"/>
      <w:szCs w:val="24"/>
      <w:lang w:val="en-GB" w:eastAsia="nl-NL"/>
    </w:rPr>
  </w:style>
  <w:style w:type="paragraph" w:styleId="Header">
    <w:name w:val="header"/>
    <w:basedOn w:val="Normal"/>
    <w:link w:val="HeaderChar"/>
    <w:uiPriority w:val="99"/>
    <w:unhideWhenUsed/>
    <w:rsid w:val="00A722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2EB"/>
    <w:rPr>
      <w:lang w:val="en-GB"/>
    </w:rPr>
  </w:style>
  <w:style w:type="paragraph" w:styleId="Footer">
    <w:name w:val="footer"/>
    <w:basedOn w:val="Normal"/>
    <w:link w:val="FooterChar"/>
    <w:uiPriority w:val="99"/>
    <w:unhideWhenUsed/>
    <w:rsid w:val="00A722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2EB"/>
    <w:rPr>
      <w:lang w:val="en-GB"/>
    </w:rPr>
  </w:style>
  <w:style w:type="table" w:styleId="TableGrid">
    <w:name w:val="Table Grid"/>
    <w:basedOn w:val="TableNormal"/>
    <w:uiPriority w:val="39"/>
    <w:rsid w:val="00065A65"/>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A6C1A"/>
    <w:rPr>
      <w:rFonts w:ascii="Cambria" w:eastAsia="Times New Roman" w:hAnsi="Cambria" w:cs="Mangal"/>
      <w:b/>
      <w:bCs/>
      <w:kern w:val="32"/>
      <w:sz w:val="32"/>
      <w:szCs w:val="32"/>
      <w:lang w:val="en-US"/>
    </w:rPr>
  </w:style>
  <w:style w:type="character" w:customStyle="1" w:styleId="Heading2Char">
    <w:name w:val="Heading 2 Char"/>
    <w:basedOn w:val="DefaultParagraphFont"/>
    <w:link w:val="Heading2"/>
    <w:uiPriority w:val="9"/>
    <w:rsid w:val="00F87405"/>
    <w:rPr>
      <w:rFonts w:ascii="Arial" w:eastAsiaTheme="majorEastAsia" w:hAnsi="Arial" w:cstheme="majorBidi"/>
      <w:b/>
      <w:sz w:val="24"/>
      <w:szCs w:val="26"/>
      <w:lang w:val="am-ET"/>
    </w:rPr>
  </w:style>
  <w:style w:type="paragraph" w:styleId="ListParagraph">
    <w:name w:val="List Paragraph"/>
    <w:basedOn w:val="Normal"/>
    <w:uiPriority w:val="34"/>
    <w:qFormat/>
    <w:rsid w:val="007A6C1A"/>
    <w:pPr>
      <w:ind w:left="720"/>
      <w:contextualSpacing/>
    </w:pPr>
    <w:rPr>
      <w:lang w:val="am-ET"/>
    </w:rPr>
  </w:style>
  <w:style w:type="character" w:customStyle="1" w:styleId="NoSpacingChar">
    <w:name w:val="No Spacing Char"/>
    <w:basedOn w:val="DefaultParagraphFont"/>
    <w:link w:val="NoSpacing"/>
    <w:uiPriority w:val="1"/>
    <w:rsid w:val="007A6C1A"/>
    <w:rPr>
      <w:rFonts w:ascii="Calibri" w:eastAsia="Calibri" w:hAnsi="Calibri" w:cs="Times New Roman"/>
      <w:lang w:val="en-US"/>
    </w:rPr>
  </w:style>
  <w:style w:type="character" w:styleId="Hyperlink">
    <w:name w:val="Hyperlink"/>
    <w:uiPriority w:val="99"/>
    <w:unhideWhenUsed/>
    <w:rsid w:val="007A6C1A"/>
    <w:rPr>
      <w:color w:val="0000FF"/>
      <w:u w:val="single"/>
    </w:rPr>
  </w:style>
  <w:style w:type="paragraph" w:styleId="CommentText">
    <w:name w:val="annotation text"/>
    <w:basedOn w:val="Normal"/>
    <w:link w:val="CommentTextChar"/>
    <w:uiPriority w:val="99"/>
    <w:unhideWhenUsed/>
    <w:rsid w:val="007A6C1A"/>
    <w:pPr>
      <w:spacing w:line="240" w:lineRule="auto"/>
    </w:pPr>
    <w:rPr>
      <w:sz w:val="20"/>
      <w:szCs w:val="20"/>
      <w:lang w:val="en-AU"/>
    </w:rPr>
  </w:style>
  <w:style w:type="character" w:customStyle="1" w:styleId="CommentTextChar">
    <w:name w:val="Comment Text Char"/>
    <w:basedOn w:val="DefaultParagraphFont"/>
    <w:link w:val="CommentText"/>
    <w:uiPriority w:val="99"/>
    <w:rsid w:val="007A6C1A"/>
    <w:rPr>
      <w:sz w:val="20"/>
      <w:szCs w:val="20"/>
      <w:lang w:val="en-AU"/>
    </w:rPr>
  </w:style>
  <w:style w:type="character" w:styleId="CommentReference">
    <w:name w:val="annotation reference"/>
    <w:basedOn w:val="DefaultParagraphFont"/>
    <w:uiPriority w:val="99"/>
    <w:semiHidden/>
    <w:unhideWhenUsed/>
    <w:rsid w:val="007A6C1A"/>
    <w:rPr>
      <w:sz w:val="16"/>
      <w:szCs w:val="16"/>
    </w:rPr>
  </w:style>
  <w:style w:type="character" w:customStyle="1" w:styleId="xref-sep">
    <w:name w:val="xref-sep"/>
    <w:basedOn w:val="DefaultParagraphFont"/>
    <w:rsid w:val="007A6C1A"/>
  </w:style>
  <w:style w:type="paragraph" w:styleId="CommentSubject">
    <w:name w:val="annotation subject"/>
    <w:basedOn w:val="CommentText"/>
    <w:next w:val="CommentText"/>
    <w:link w:val="CommentSubjectChar"/>
    <w:uiPriority w:val="99"/>
    <w:semiHidden/>
    <w:unhideWhenUsed/>
    <w:rsid w:val="007A6C1A"/>
    <w:rPr>
      <w:b/>
      <w:bCs/>
      <w:lang w:val="am-ET"/>
    </w:rPr>
  </w:style>
  <w:style w:type="character" w:customStyle="1" w:styleId="CommentSubjectChar">
    <w:name w:val="Comment Subject Char"/>
    <w:basedOn w:val="CommentTextChar"/>
    <w:link w:val="CommentSubject"/>
    <w:uiPriority w:val="99"/>
    <w:semiHidden/>
    <w:rsid w:val="007A6C1A"/>
    <w:rPr>
      <w:b/>
      <w:bCs/>
      <w:sz w:val="20"/>
      <w:szCs w:val="20"/>
      <w:lang w:val="am-ET"/>
    </w:rPr>
  </w:style>
  <w:style w:type="paragraph" w:styleId="NormalWeb">
    <w:name w:val="Normal (Web)"/>
    <w:basedOn w:val="Normal"/>
    <w:uiPriority w:val="99"/>
    <w:semiHidden/>
    <w:unhideWhenUsed/>
    <w:rsid w:val="007A6C1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EndNoteBibliography">
    <w:name w:val="EndNote Bibliography"/>
    <w:basedOn w:val="Normal"/>
    <w:link w:val="EndNoteBibliographyChar"/>
    <w:rsid w:val="007A6C1A"/>
    <w:pPr>
      <w:spacing w:after="0" w:line="240" w:lineRule="auto"/>
      <w:ind w:left="720" w:hanging="720"/>
    </w:pPr>
    <w:rPr>
      <w:rFonts w:ascii="Calibri" w:eastAsia="Calibri" w:hAnsi="Calibri" w:cs="Calibri"/>
      <w:noProof/>
      <w:lang w:val="en-US"/>
    </w:rPr>
  </w:style>
  <w:style w:type="character" w:customStyle="1" w:styleId="EndNoteBibliographyChar">
    <w:name w:val="EndNote Bibliography Char"/>
    <w:link w:val="EndNoteBibliography"/>
    <w:rsid w:val="007A6C1A"/>
    <w:rPr>
      <w:rFonts w:ascii="Calibri" w:eastAsia="Calibri" w:hAnsi="Calibri" w:cs="Calibri"/>
      <w:noProof/>
      <w:lang w:val="en-US"/>
    </w:rPr>
  </w:style>
  <w:style w:type="table" w:styleId="PlainTable1">
    <w:name w:val="Plain Table 1"/>
    <w:basedOn w:val="TableNormal"/>
    <w:uiPriority w:val="41"/>
    <w:rsid w:val="007A6C1A"/>
    <w:pPr>
      <w:spacing w:after="0" w:line="240" w:lineRule="auto"/>
    </w:pPr>
    <w:rPr>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1">
    <w:name w:val="Grid Table 2 Accent 1"/>
    <w:basedOn w:val="TableNormal"/>
    <w:uiPriority w:val="47"/>
    <w:rsid w:val="007A6C1A"/>
    <w:pPr>
      <w:spacing w:after="0" w:line="240" w:lineRule="auto"/>
    </w:pPr>
    <w:rPr>
      <w:lang w:val="en-A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3">
    <w:name w:val="Grid Table 2 Accent 3"/>
    <w:basedOn w:val="TableNormal"/>
    <w:uiPriority w:val="47"/>
    <w:rsid w:val="007A6C1A"/>
    <w:pPr>
      <w:spacing w:after="0" w:line="240" w:lineRule="auto"/>
    </w:pPr>
    <w:rPr>
      <w:lang w:val="en-A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7A6C1A"/>
    <w:rPr>
      <w:color w:val="605E5C"/>
      <w:shd w:val="clear" w:color="auto" w:fill="E1DFDD"/>
    </w:rPr>
  </w:style>
  <w:style w:type="character" w:customStyle="1" w:styleId="cit-auth">
    <w:name w:val="cit-auth"/>
    <w:basedOn w:val="DefaultParagraphFont"/>
    <w:rsid w:val="007A6C1A"/>
  </w:style>
  <w:style w:type="character" w:customStyle="1" w:styleId="cit-name-surname">
    <w:name w:val="cit-name-surname"/>
    <w:basedOn w:val="DefaultParagraphFont"/>
    <w:rsid w:val="007A6C1A"/>
  </w:style>
  <w:style w:type="character" w:customStyle="1" w:styleId="cit-name-given-names">
    <w:name w:val="cit-name-given-names"/>
    <w:basedOn w:val="DefaultParagraphFont"/>
    <w:rsid w:val="007A6C1A"/>
  </w:style>
  <w:style w:type="character" w:styleId="HTMLCite">
    <w:name w:val="HTML Cite"/>
    <w:basedOn w:val="DefaultParagraphFont"/>
    <w:uiPriority w:val="99"/>
    <w:semiHidden/>
    <w:unhideWhenUsed/>
    <w:rsid w:val="007A6C1A"/>
    <w:rPr>
      <w:i/>
      <w:iCs/>
    </w:rPr>
  </w:style>
  <w:style w:type="character" w:customStyle="1" w:styleId="cit-article-title">
    <w:name w:val="cit-article-title"/>
    <w:basedOn w:val="DefaultParagraphFont"/>
    <w:rsid w:val="007A6C1A"/>
  </w:style>
  <w:style w:type="character" w:customStyle="1" w:styleId="cit-pub-date">
    <w:name w:val="cit-pub-date"/>
    <w:basedOn w:val="DefaultParagraphFont"/>
    <w:rsid w:val="007A6C1A"/>
  </w:style>
  <w:style w:type="character" w:customStyle="1" w:styleId="cit-vol">
    <w:name w:val="cit-vol"/>
    <w:basedOn w:val="DefaultParagraphFont"/>
    <w:rsid w:val="007A6C1A"/>
  </w:style>
  <w:style w:type="character" w:customStyle="1" w:styleId="cit-fpage">
    <w:name w:val="cit-fpage"/>
    <w:basedOn w:val="DefaultParagraphFont"/>
    <w:rsid w:val="007A6C1A"/>
  </w:style>
  <w:style w:type="character" w:customStyle="1" w:styleId="cit-lpage">
    <w:name w:val="cit-lpage"/>
    <w:basedOn w:val="DefaultParagraphFont"/>
    <w:rsid w:val="007A6C1A"/>
  </w:style>
  <w:style w:type="paragraph" w:customStyle="1" w:styleId="EndNoteBibliographyTitle">
    <w:name w:val="EndNote Bibliography Title"/>
    <w:basedOn w:val="Normal"/>
    <w:link w:val="EndNoteBibliographyTitleChar"/>
    <w:rsid w:val="007A6C1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A6C1A"/>
    <w:rPr>
      <w:rFonts w:ascii="Calibri" w:hAnsi="Calibri" w:cs="Calibri"/>
      <w:noProof/>
      <w:lang w:val="en-US"/>
    </w:rPr>
  </w:style>
  <w:style w:type="character" w:styleId="Strong">
    <w:name w:val="Strong"/>
    <w:basedOn w:val="DefaultParagraphFont"/>
    <w:uiPriority w:val="22"/>
    <w:qFormat/>
    <w:rsid w:val="007A6C1A"/>
    <w:rPr>
      <w:b/>
      <w:bCs/>
    </w:rPr>
  </w:style>
  <w:style w:type="table" w:customStyle="1" w:styleId="TableGridLight1">
    <w:name w:val="Table Grid Light1"/>
    <w:basedOn w:val="TableNormal"/>
    <w:uiPriority w:val="40"/>
    <w:rsid w:val="002B29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174574">
      <w:bodyDiv w:val="1"/>
      <w:marLeft w:val="0"/>
      <w:marRight w:val="0"/>
      <w:marTop w:val="0"/>
      <w:marBottom w:val="0"/>
      <w:divBdr>
        <w:top w:val="none" w:sz="0" w:space="0" w:color="auto"/>
        <w:left w:val="none" w:sz="0" w:space="0" w:color="auto"/>
        <w:bottom w:val="none" w:sz="0" w:space="0" w:color="auto"/>
        <w:right w:val="none" w:sz="0" w:space="0" w:color="auto"/>
      </w:divBdr>
    </w:div>
    <w:div w:id="1433818217">
      <w:bodyDiv w:val="1"/>
      <w:marLeft w:val="0"/>
      <w:marRight w:val="0"/>
      <w:marTop w:val="0"/>
      <w:marBottom w:val="0"/>
      <w:divBdr>
        <w:top w:val="none" w:sz="0" w:space="0" w:color="auto"/>
        <w:left w:val="none" w:sz="0" w:space="0" w:color="auto"/>
        <w:bottom w:val="none" w:sz="0" w:space="0" w:color="auto"/>
        <w:right w:val="none" w:sz="0" w:space="0" w:color="auto"/>
      </w:divBdr>
    </w:div>
    <w:div w:id="163487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12C4F7F68D84656A8E208E61361C22D"/>
        <w:category>
          <w:name w:val="General"/>
          <w:gallery w:val="placeholder"/>
        </w:category>
        <w:types>
          <w:type w:val="bbPlcHdr"/>
        </w:types>
        <w:behaviors>
          <w:behavior w:val="content"/>
        </w:behaviors>
        <w:guid w:val="{FE292154-3B74-4184-B740-FA2F61747EB0}"/>
      </w:docPartPr>
      <w:docPartBody>
        <w:p w:rsidR="00D646EF" w:rsidRDefault="00A7492E" w:rsidP="00A7492E">
          <w:pPr>
            <w:pStyle w:val="812C4F7F68D84656A8E208E61361C22D"/>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92E"/>
    <w:rsid w:val="000A6F5A"/>
    <w:rsid w:val="002B19FF"/>
    <w:rsid w:val="002C7BCC"/>
    <w:rsid w:val="005E5F95"/>
    <w:rsid w:val="0060141C"/>
    <w:rsid w:val="006303C8"/>
    <w:rsid w:val="00670577"/>
    <w:rsid w:val="00744775"/>
    <w:rsid w:val="008B1BE9"/>
    <w:rsid w:val="00937AD1"/>
    <w:rsid w:val="00974DDE"/>
    <w:rsid w:val="009F76FF"/>
    <w:rsid w:val="00A7492E"/>
    <w:rsid w:val="00AD50D5"/>
    <w:rsid w:val="00B01C33"/>
    <w:rsid w:val="00C01DDB"/>
    <w:rsid w:val="00C05608"/>
    <w:rsid w:val="00D646EF"/>
    <w:rsid w:val="00DB752B"/>
    <w:rsid w:val="00E04AAE"/>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lang w:val="en-GB" w:eastAsia="en-GB"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492E"/>
    <w:rPr>
      <w:color w:val="808080"/>
    </w:rPr>
  </w:style>
  <w:style w:type="paragraph" w:customStyle="1" w:styleId="812C4F7F68D84656A8E208E61361C22D">
    <w:name w:val="812C4F7F68D84656A8E208E61361C22D"/>
    <w:rsid w:val="00A7492E"/>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F22A-6BC5-4DB8-9F12-9E0DF36F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30</Pages>
  <Words>9640</Words>
  <Characters>58806</Characters>
  <Application>Microsoft Office Word</Application>
  <DocSecurity>0</DocSecurity>
  <Lines>2673</Lines>
  <Paragraphs>977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University of Groningen</Company>
  <LinksUpToDate>false</LinksUpToDate>
  <CharactersWithSpaces>67469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 Pardoel</dc:creator>
  <cp:keywords/>
  <dc:description/>
  <cp:lastModifiedBy>Resham Bahadur Khatri</cp:lastModifiedBy>
  <cp:revision>175</cp:revision>
  <dcterms:created xsi:type="dcterms:W3CDTF">2021-10-18T13:30:00Z</dcterms:created>
  <dcterms:modified xsi:type="dcterms:W3CDTF">2024-06-27T23:08:00Z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89ca041363b40c1ef42b4c3bcf7692ed6b60c29d1c6ec0de45a5f319cad54ad5</vt:lpwstr>
  </property>
</Properties>
</file>