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0D5F" w14:textId="214D7F97" w:rsidR="00AA2852" w:rsidRPr="006F41E6" w:rsidRDefault="00AA2852" w:rsidP="00370F8D">
      <w:pPr>
        <w:pStyle w:val="Heading1"/>
        <w:rPr>
          <w:lang w:val="en-US"/>
        </w:rPr>
      </w:pPr>
      <w:bookmarkStart w:id="0" w:name="_Toc131586588"/>
      <w:r>
        <w:rPr>
          <w:lang w:val="en-US"/>
        </w:rPr>
        <w:t xml:space="preserve">Supplement 5. </w:t>
      </w:r>
      <w:bookmarkEnd w:id="0"/>
      <w:r w:rsidR="00370F8D" w:rsidRPr="00370F8D">
        <w:rPr>
          <w:lang w:val="en-US"/>
        </w:rPr>
        <w:t>Multivariable regression analysis including patients without data in Statistics Netherlands data</w:t>
      </w:r>
      <w:r w:rsidR="00BC676E">
        <w:rPr>
          <w:lang w:val="en-US"/>
        </w:rPr>
        <w:t>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2149"/>
      </w:tblGrid>
      <w:tr w:rsidR="00336B15" w:rsidRPr="00546096" w14:paraId="75A91A29" w14:textId="79266DF5" w:rsidTr="00546096">
        <w:tc>
          <w:tcPr>
            <w:tcW w:w="5495" w:type="dxa"/>
            <w:shd w:val="clear" w:color="auto" w:fill="auto"/>
          </w:tcPr>
          <w:p w14:paraId="23C885BE" w14:textId="77777777" w:rsidR="00336B15" w:rsidRPr="00546096" w:rsidRDefault="00336B15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149" w:type="dxa"/>
          </w:tcPr>
          <w:p w14:paraId="52553A07" w14:textId="70F219AA" w:rsidR="00336B15" w:rsidRPr="00546096" w:rsidRDefault="00336B15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Model 4 OR (95% CI)</w:t>
            </w:r>
          </w:p>
        </w:tc>
      </w:tr>
      <w:tr w:rsidR="00336B15" w:rsidRPr="00546096" w14:paraId="1B77ABDD" w14:textId="2A9FF948" w:rsidTr="00546096">
        <w:tc>
          <w:tcPr>
            <w:tcW w:w="5495" w:type="dxa"/>
            <w:shd w:val="clear" w:color="auto" w:fill="auto"/>
          </w:tcPr>
          <w:p w14:paraId="735D7E4B" w14:textId="77777777" w:rsidR="00336B15" w:rsidRPr="00546096" w:rsidRDefault="00336B15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Sex (Female as reference)</w:t>
            </w:r>
          </w:p>
        </w:tc>
        <w:tc>
          <w:tcPr>
            <w:tcW w:w="2149" w:type="dxa"/>
            <w:shd w:val="clear" w:color="auto" w:fill="FFFFFF"/>
          </w:tcPr>
          <w:p w14:paraId="562B17B8" w14:textId="0164306A" w:rsidR="00336B15" w:rsidRPr="007813B6" w:rsidRDefault="00336B15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0.67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 xml:space="preserve"> (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0.65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-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0.68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)</w:t>
            </w:r>
          </w:p>
        </w:tc>
      </w:tr>
      <w:tr w:rsidR="00546096" w:rsidRPr="00546096" w14:paraId="64393F85" w14:textId="4E39E282" w:rsidTr="007813B6">
        <w:trPr>
          <w:trHeight w:val="1154"/>
        </w:trPr>
        <w:tc>
          <w:tcPr>
            <w:tcW w:w="5495" w:type="dxa"/>
            <w:shd w:val="clear" w:color="auto" w:fill="auto"/>
          </w:tcPr>
          <w:p w14:paraId="27219142" w14:textId="2B505DBD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Age groups</w:t>
            </w:r>
          </w:p>
          <w:p w14:paraId="6F94B881" w14:textId="3974F390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0 – 4 years (reference)</w:t>
            </w:r>
          </w:p>
          <w:p w14:paraId="3777263F" w14:textId="1CD4849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5-14 years</w:t>
            </w:r>
          </w:p>
          <w:p w14:paraId="7103229D" w14:textId="0A7B4B9C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15-44 tears</w:t>
            </w:r>
          </w:p>
          <w:p w14:paraId="2053D82C" w14:textId="38FB7FF3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45-64 years</w:t>
            </w:r>
          </w:p>
          <w:p w14:paraId="59090152" w14:textId="4F962234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65 years and older</w:t>
            </w:r>
          </w:p>
        </w:tc>
        <w:tc>
          <w:tcPr>
            <w:tcW w:w="2149" w:type="dxa"/>
            <w:shd w:val="clear" w:color="auto" w:fill="FFFFFF"/>
          </w:tcPr>
          <w:p w14:paraId="3BE08423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3B2D1CD5" w14:textId="17308810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  <w:p w14:paraId="4CB7FDA8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1.08 (1.03-1.14)</w:t>
            </w:r>
          </w:p>
          <w:p w14:paraId="498AED8C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1.10 (1.05 -1.15)</w:t>
            </w:r>
          </w:p>
          <w:p w14:paraId="71C7F3B1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1.37 (1.31-1.43)</w:t>
            </w:r>
          </w:p>
          <w:p w14:paraId="1DB367F3" w14:textId="1EDCB35B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1.46 (1.40-1.52)</w:t>
            </w:r>
          </w:p>
        </w:tc>
      </w:tr>
      <w:tr w:rsidR="00546096" w:rsidRPr="00546096" w14:paraId="5568C6B8" w14:textId="459AA6AF" w:rsidTr="00546096">
        <w:trPr>
          <w:trHeight w:val="1540"/>
        </w:trPr>
        <w:tc>
          <w:tcPr>
            <w:tcW w:w="5495" w:type="dxa"/>
            <w:shd w:val="clear" w:color="auto" w:fill="auto"/>
          </w:tcPr>
          <w:p w14:paraId="2E99A45A" w14:textId="1D1E4973" w:rsidR="00546096" w:rsidRPr="00546096" w:rsidRDefault="00171F92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Migration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 xml:space="preserve"> background</w:t>
            </w:r>
          </w:p>
          <w:p w14:paraId="7C4A3A3F" w14:textId="63898AAB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Dutch (reference)</w:t>
            </w:r>
          </w:p>
          <w:p w14:paraId="46A97F1E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Moroccan</w:t>
            </w:r>
          </w:p>
          <w:p w14:paraId="6F7E8207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Turkish</w:t>
            </w:r>
          </w:p>
          <w:p w14:paraId="634F4878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Surinamese</w:t>
            </w:r>
          </w:p>
          <w:p w14:paraId="739BFC3B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Dutch Caribbean</w:t>
            </w:r>
          </w:p>
          <w:p w14:paraId="42285F11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Global South</w:t>
            </w:r>
          </w:p>
          <w:p w14:paraId="7D352B06" w14:textId="21D3DDED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Global North</w:t>
            </w:r>
          </w:p>
        </w:tc>
        <w:tc>
          <w:tcPr>
            <w:tcW w:w="2149" w:type="dxa"/>
            <w:shd w:val="clear" w:color="auto" w:fill="FFFFFF"/>
          </w:tcPr>
          <w:p w14:paraId="75D71415" w14:textId="77777777" w:rsidR="00546096" w:rsidRPr="00370F8D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123903FB" w14:textId="5C564D0F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546096">
              <w:rPr>
                <w:rFonts w:cstheme="minorHAnsi"/>
                <w:sz w:val="16"/>
                <w:szCs w:val="16"/>
              </w:rPr>
              <w:t>1</w:t>
            </w:r>
          </w:p>
          <w:p w14:paraId="305A6650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0.89 (0.87-0.92)</w:t>
            </w:r>
          </w:p>
          <w:p w14:paraId="1713D266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1.16 (1.10-1.22)</w:t>
            </w:r>
          </w:p>
          <w:p w14:paraId="6E7B4388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1.27 (1.21-1.34)</w:t>
            </w:r>
          </w:p>
          <w:p w14:paraId="09DAA641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1.24 (1.18-1.2</w:t>
            </w:r>
            <w:r w:rsidRPr="007813B6">
              <w:rPr>
                <w:rFonts w:cstheme="minorHAnsi"/>
                <w:sz w:val="16"/>
                <w:szCs w:val="16"/>
              </w:rPr>
              <w:t>9)</w:t>
            </w:r>
          </w:p>
          <w:p w14:paraId="2428CA2E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546096">
              <w:rPr>
                <w:rFonts w:cstheme="minorHAnsi"/>
                <w:sz w:val="16"/>
                <w:szCs w:val="16"/>
              </w:rPr>
              <w:t>0.99 (0.92-1.06)</w:t>
            </w:r>
          </w:p>
          <w:p w14:paraId="58F95E1D" w14:textId="4BE113E3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1.16 (1.11-1.20)</w:t>
            </w:r>
          </w:p>
        </w:tc>
      </w:tr>
      <w:tr w:rsidR="00336B15" w:rsidRPr="00546096" w14:paraId="1A5A715B" w14:textId="77AFA6D5" w:rsidTr="00546096">
        <w:tc>
          <w:tcPr>
            <w:tcW w:w="5495" w:type="dxa"/>
            <w:shd w:val="clear" w:color="auto" w:fill="auto"/>
          </w:tcPr>
          <w:p w14:paraId="085B7785" w14:textId="42495EA9" w:rsidR="00336B15" w:rsidRPr="00546096" w:rsidRDefault="00336B15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 xml:space="preserve">Households with 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546096">
              <w:rPr>
                <w:rFonts w:cstheme="minorHAnsi"/>
                <w:sz w:val="16"/>
                <w:szCs w:val="16"/>
                <w:lang w:val="en-US"/>
              </w:rPr>
              <w:t xml:space="preserve"> parents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 xml:space="preserve"> (2</w:t>
            </w:r>
            <w:r w:rsidR="00297953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>parents reference)</w:t>
            </w:r>
          </w:p>
        </w:tc>
        <w:tc>
          <w:tcPr>
            <w:tcW w:w="2149" w:type="dxa"/>
          </w:tcPr>
          <w:p w14:paraId="28A023EE" w14:textId="1DCD8672" w:rsidR="00336B15" w:rsidRPr="007813B6" w:rsidRDefault="00336B15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1.0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8 (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1.0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5-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1)</w:t>
            </w:r>
          </w:p>
        </w:tc>
      </w:tr>
      <w:tr w:rsidR="00546096" w:rsidRPr="00546096" w14:paraId="13A4F259" w14:textId="228F2054" w:rsidTr="00546096">
        <w:trPr>
          <w:trHeight w:val="826"/>
        </w:trPr>
        <w:tc>
          <w:tcPr>
            <w:tcW w:w="5495" w:type="dxa"/>
            <w:shd w:val="clear" w:color="auto" w:fill="auto"/>
          </w:tcPr>
          <w:p w14:paraId="717C5866" w14:textId="39F191E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Household income</w:t>
            </w:r>
          </w:p>
          <w:p w14:paraId="1FC61E63" w14:textId="404EE113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Low (reference)</w:t>
            </w:r>
          </w:p>
          <w:p w14:paraId="0E8871D7" w14:textId="28EDD87B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Middle</w:t>
            </w:r>
          </w:p>
          <w:p w14:paraId="1ABB7286" w14:textId="5F12BD32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 xml:space="preserve">High </w:t>
            </w:r>
          </w:p>
        </w:tc>
        <w:tc>
          <w:tcPr>
            <w:tcW w:w="2149" w:type="dxa"/>
          </w:tcPr>
          <w:p w14:paraId="2E7D84B3" w14:textId="77777777" w:rsidR="00546096" w:rsidRPr="00370F8D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7C15495" w14:textId="7477AEE5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</w:rPr>
              <w:t>1</w:t>
            </w:r>
          </w:p>
          <w:p w14:paraId="4ED6D75B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</w:rPr>
            </w:pPr>
            <w:r w:rsidRPr="00546096">
              <w:rPr>
                <w:rFonts w:cstheme="minorHAnsi"/>
                <w:sz w:val="16"/>
                <w:szCs w:val="16"/>
              </w:rPr>
              <w:t>1.00 (0.951-1.06)</w:t>
            </w:r>
          </w:p>
          <w:p w14:paraId="67D7F933" w14:textId="2310A862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</w:rPr>
              <w:t>0.99 (0.93 -1.04)</w:t>
            </w:r>
          </w:p>
        </w:tc>
      </w:tr>
      <w:tr w:rsidR="00546096" w:rsidRPr="00546096" w14:paraId="581613B4" w14:textId="01D12B51" w:rsidTr="007813B6">
        <w:trPr>
          <w:trHeight w:val="898"/>
        </w:trPr>
        <w:tc>
          <w:tcPr>
            <w:tcW w:w="5495" w:type="dxa"/>
            <w:shd w:val="clear" w:color="auto" w:fill="auto"/>
          </w:tcPr>
          <w:p w14:paraId="7B277368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Number of comorbidities</w:t>
            </w:r>
          </w:p>
          <w:p w14:paraId="33836454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0 (reference)</w:t>
            </w:r>
          </w:p>
          <w:p w14:paraId="52ACB49E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 xml:space="preserve">1 </w:t>
            </w:r>
          </w:p>
          <w:p w14:paraId="469A03E4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 xml:space="preserve">2 </w:t>
            </w:r>
          </w:p>
          <w:p w14:paraId="0D1A36CB" w14:textId="1D940A49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3 or more</w:t>
            </w:r>
          </w:p>
        </w:tc>
        <w:tc>
          <w:tcPr>
            <w:tcW w:w="2149" w:type="dxa"/>
          </w:tcPr>
          <w:p w14:paraId="73508E80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5187121D" w14:textId="535B5ECC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  <w:p w14:paraId="45CEC092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1.28 (1.12-1.46)</w:t>
            </w:r>
          </w:p>
          <w:p w14:paraId="27BE794E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1.27 (1.11-1.45)</w:t>
            </w:r>
          </w:p>
          <w:p w14:paraId="50776125" w14:textId="51407E20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1.16 (1.01-1.36)</w:t>
            </w:r>
          </w:p>
        </w:tc>
      </w:tr>
      <w:tr w:rsidR="00546096" w:rsidRPr="00546096" w14:paraId="1DC5E9AA" w14:textId="5E4B4302" w:rsidTr="007813B6">
        <w:trPr>
          <w:trHeight w:val="785"/>
        </w:trPr>
        <w:tc>
          <w:tcPr>
            <w:tcW w:w="5495" w:type="dxa"/>
            <w:shd w:val="clear" w:color="auto" w:fill="auto"/>
          </w:tcPr>
          <w:p w14:paraId="7DDFDA33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 xml:space="preserve">Primary Care practice size </w:t>
            </w:r>
          </w:p>
          <w:p w14:paraId="0FC2D456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Small (reference)</w:t>
            </w:r>
          </w:p>
          <w:p w14:paraId="405899D2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Medium</w:t>
            </w:r>
          </w:p>
          <w:p w14:paraId="3F3265D7" w14:textId="2211D812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GB"/>
              </w:rPr>
              <w:t>Large</w:t>
            </w:r>
          </w:p>
        </w:tc>
        <w:tc>
          <w:tcPr>
            <w:tcW w:w="2149" w:type="dxa"/>
          </w:tcPr>
          <w:p w14:paraId="4EDC3EC3" w14:textId="77777777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80AC079" w14:textId="219AE8A8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  <w:p w14:paraId="4F86EC33" w14:textId="77777777" w:rsidR="00546096" w:rsidRPr="007813B6" w:rsidRDefault="00546096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1.11 (1.08-1.14)</w:t>
            </w:r>
          </w:p>
          <w:p w14:paraId="08567BFF" w14:textId="06203F51" w:rsidR="00546096" w:rsidRPr="00546096" w:rsidRDefault="00546096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1.03 (1.01-1.05)</w:t>
            </w:r>
          </w:p>
        </w:tc>
      </w:tr>
      <w:tr w:rsidR="00336B15" w:rsidRPr="00546096" w14:paraId="4871D3E8" w14:textId="52CF3335" w:rsidTr="00546096">
        <w:tc>
          <w:tcPr>
            <w:tcW w:w="5495" w:type="dxa"/>
            <w:shd w:val="clear" w:color="auto" w:fill="auto"/>
          </w:tcPr>
          <w:p w14:paraId="73881C9C" w14:textId="543D924B" w:rsidR="00336B15" w:rsidRPr="00546096" w:rsidRDefault="00336B15" w:rsidP="0054609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46096">
              <w:rPr>
                <w:rFonts w:cstheme="minorHAnsi"/>
                <w:sz w:val="16"/>
                <w:szCs w:val="16"/>
                <w:lang w:val="en-US"/>
              </w:rPr>
              <w:t>Weekday of prescription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 xml:space="preserve"> (</w:t>
            </w:r>
            <w:r w:rsidRPr="00546096">
              <w:rPr>
                <w:rFonts w:cstheme="minorHAnsi"/>
                <w:sz w:val="16"/>
                <w:szCs w:val="16"/>
                <w:lang w:val="en-US"/>
              </w:rPr>
              <w:t>Friday reference</w:t>
            </w:r>
            <w:r w:rsidR="00546096" w:rsidRPr="00546096">
              <w:rPr>
                <w:rFonts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149" w:type="dxa"/>
          </w:tcPr>
          <w:p w14:paraId="71EC5829" w14:textId="1A71B5C4" w:rsidR="00336B15" w:rsidRPr="007813B6" w:rsidRDefault="00336B15" w:rsidP="005460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813B6">
              <w:rPr>
                <w:rFonts w:cstheme="minorHAnsi"/>
                <w:b/>
                <w:bCs/>
                <w:sz w:val="16"/>
                <w:szCs w:val="16"/>
              </w:rPr>
              <w:t>0.9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6 (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0.9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4-</w:t>
            </w:r>
            <w:r w:rsidRPr="007813B6">
              <w:rPr>
                <w:rFonts w:cstheme="minorHAnsi"/>
                <w:b/>
                <w:bCs/>
                <w:sz w:val="16"/>
                <w:szCs w:val="16"/>
              </w:rPr>
              <w:t>0.9</w:t>
            </w:r>
            <w:r w:rsidR="00526280" w:rsidRPr="007813B6">
              <w:rPr>
                <w:rFonts w:cstheme="minorHAnsi"/>
                <w:b/>
                <w:bCs/>
                <w:sz w:val="16"/>
                <w:szCs w:val="16"/>
              </w:rPr>
              <w:t>8)</w:t>
            </w:r>
          </w:p>
        </w:tc>
      </w:tr>
    </w:tbl>
    <w:p w14:paraId="13ADC56C" w14:textId="5ACBCBA7" w:rsidR="0043682D" w:rsidRPr="00546096" w:rsidRDefault="00546096">
      <w:pPr>
        <w:rPr>
          <w:lang w:val="en-US"/>
        </w:rPr>
      </w:pPr>
      <w:r>
        <w:rPr>
          <w:lang w:val="en-US"/>
        </w:rPr>
        <w:t xml:space="preserve">OR; Odds Ratio. </w:t>
      </w:r>
      <w:r w:rsidRPr="00546096">
        <w:rPr>
          <w:lang w:val="en-US"/>
        </w:rPr>
        <w:t>C.I.</w:t>
      </w:r>
      <w:r>
        <w:rPr>
          <w:lang w:val="en-US"/>
        </w:rPr>
        <w:t>;</w:t>
      </w:r>
      <w:r w:rsidRPr="00546096">
        <w:rPr>
          <w:lang w:val="en-US"/>
        </w:rPr>
        <w:t xml:space="preserve"> Confidence Interval. </w:t>
      </w:r>
      <w:r w:rsidR="00FA1E67" w:rsidRPr="00546096">
        <w:rPr>
          <w:lang w:val="en-US"/>
        </w:rPr>
        <w:t>GP</w:t>
      </w:r>
      <w:r>
        <w:rPr>
          <w:lang w:val="en-US"/>
        </w:rPr>
        <w:t>;</w:t>
      </w:r>
      <w:r w:rsidR="00FA1E67" w:rsidRPr="00546096">
        <w:rPr>
          <w:lang w:val="en-US"/>
        </w:rPr>
        <w:t xml:space="preserve"> General practitioner</w:t>
      </w:r>
      <w:r>
        <w:rPr>
          <w:lang w:val="en-US"/>
        </w:rPr>
        <w:t>.</w:t>
      </w:r>
    </w:p>
    <w:sectPr w:rsidR="0043682D" w:rsidRPr="00546096" w:rsidSect="00A86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52"/>
    <w:rsid w:val="00153F2D"/>
    <w:rsid w:val="00171F92"/>
    <w:rsid w:val="00297953"/>
    <w:rsid w:val="00336B15"/>
    <w:rsid w:val="00370F8D"/>
    <w:rsid w:val="0043682D"/>
    <w:rsid w:val="00471725"/>
    <w:rsid w:val="004F2BFE"/>
    <w:rsid w:val="00526280"/>
    <w:rsid w:val="00546096"/>
    <w:rsid w:val="007813B6"/>
    <w:rsid w:val="00846E40"/>
    <w:rsid w:val="00A11760"/>
    <w:rsid w:val="00A86199"/>
    <w:rsid w:val="00AA2852"/>
    <w:rsid w:val="00BC676E"/>
    <w:rsid w:val="00D92488"/>
    <w:rsid w:val="00DB1DFF"/>
    <w:rsid w:val="00FA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BC96"/>
  <w15:chartTrackingRefBased/>
  <w15:docId w15:val="{0F6D1DAD-E3C6-4680-BE4C-AAADDA8C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52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F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28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table" w:styleId="TableGrid">
    <w:name w:val="Table Grid"/>
    <w:basedOn w:val="TableNormal"/>
    <w:uiPriority w:val="39"/>
    <w:rsid w:val="00AA285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70F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Sijbom</dc:creator>
  <cp:keywords/>
  <dc:description/>
  <cp:lastModifiedBy>Sijbom, M. (PHEG)</cp:lastModifiedBy>
  <cp:revision>9</cp:revision>
  <dcterms:created xsi:type="dcterms:W3CDTF">2023-04-20T07:14:00Z</dcterms:created>
  <dcterms:modified xsi:type="dcterms:W3CDTF">2023-10-28T13:06:00Z</dcterms:modified>
</cp:coreProperties>
</file>