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47E8" w14:textId="33C75239" w:rsidR="008B46DE" w:rsidRPr="00312DEE" w:rsidRDefault="008B46DE" w:rsidP="00935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</w:pPr>
      <w:r w:rsidRPr="00312DE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Supplementary Tables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974"/>
        <w:gridCol w:w="1170"/>
        <w:gridCol w:w="1035"/>
        <w:gridCol w:w="1035"/>
        <w:gridCol w:w="1060"/>
        <w:gridCol w:w="1060"/>
        <w:gridCol w:w="1779"/>
      </w:tblGrid>
      <w:tr w:rsidR="0093587E" w:rsidRPr="00312DEE" w14:paraId="2A973CFF" w14:textId="77777777" w:rsidTr="0093587E">
        <w:tc>
          <w:tcPr>
            <w:tcW w:w="9062" w:type="dxa"/>
            <w:gridSpan w:val="8"/>
            <w:vAlign w:val="center"/>
          </w:tcPr>
          <w:p w14:paraId="1E3D23E8" w14:textId="55E45615" w:rsidR="0093587E" w:rsidRPr="00312DEE" w:rsidRDefault="0093587E" w:rsidP="0093587E">
            <w:pPr>
              <w:pBdr>
                <w:bottom w:val="single" w:sz="4" w:space="1" w:color="auto"/>
              </w:pBd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hAnsi="Times New Roman" w:cs="Times New Roman"/>
                <w:sz w:val="22"/>
                <w:szCs w:val="22"/>
              </w:rPr>
              <w:t xml:space="preserve">Supplementary Table </w:t>
            </w: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S1.Population-based expected versus observed distribution of the study sample across meta-regions of Turkey (n = 351)</w:t>
            </w:r>
          </w:p>
        </w:tc>
      </w:tr>
      <w:tr w:rsidR="0093587E" w:rsidRPr="00312DEE" w14:paraId="51A5EFC3" w14:textId="77777777" w:rsidTr="0093587E">
        <w:tc>
          <w:tcPr>
            <w:tcW w:w="949" w:type="dxa"/>
            <w:vAlign w:val="center"/>
          </w:tcPr>
          <w:p w14:paraId="1EB1925E" w14:textId="7340EF98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Meta-region</w:t>
            </w:r>
          </w:p>
        </w:tc>
        <w:tc>
          <w:tcPr>
            <w:tcW w:w="974" w:type="dxa"/>
            <w:vAlign w:val="center"/>
          </w:tcPr>
          <w:p w14:paraId="1D48DF2A" w14:textId="1D349B66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NUTS-1 regions included</w:t>
            </w:r>
          </w:p>
        </w:tc>
        <w:tc>
          <w:tcPr>
            <w:tcW w:w="1170" w:type="dxa"/>
            <w:vAlign w:val="center"/>
          </w:tcPr>
          <w:p w14:paraId="602405FF" w14:textId="77777777" w:rsidR="0093587E" w:rsidRPr="00312DEE" w:rsidRDefault="0093587E" w:rsidP="0093587E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Population </w:t>
            </w:r>
          </w:p>
          <w:p w14:paraId="0FA61EE2" w14:textId="5D84202B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≈,million</w:t>
            </w:r>
          </w:p>
        </w:tc>
        <w:tc>
          <w:tcPr>
            <w:tcW w:w="1035" w:type="dxa"/>
            <w:vAlign w:val="center"/>
          </w:tcPr>
          <w:p w14:paraId="72FB88A8" w14:textId="064AE841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Expected n*</w:t>
            </w:r>
          </w:p>
        </w:tc>
        <w:tc>
          <w:tcPr>
            <w:tcW w:w="1035" w:type="dxa"/>
            <w:vAlign w:val="center"/>
          </w:tcPr>
          <w:p w14:paraId="36B69CF4" w14:textId="02BCB259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Expected %</w:t>
            </w:r>
          </w:p>
        </w:tc>
        <w:tc>
          <w:tcPr>
            <w:tcW w:w="1060" w:type="dxa"/>
            <w:vAlign w:val="center"/>
          </w:tcPr>
          <w:p w14:paraId="16B00327" w14:textId="1C12C4AB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Observed n</w:t>
            </w:r>
          </w:p>
        </w:tc>
        <w:tc>
          <w:tcPr>
            <w:tcW w:w="1060" w:type="dxa"/>
            <w:vAlign w:val="center"/>
          </w:tcPr>
          <w:p w14:paraId="79759FB8" w14:textId="170FA0C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Observed %</w:t>
            </w:r>
          </w:p>
        </w:tc>
        <w:tc>
          <w:tcPr>
            <w:tcW w:w="1779" w:type="dxa"/>
            <w:vAlign w:val="center"/>
          </w:tcPr>
          <w:p w14:paraId="307D4AA9" w14:textId="4D97B5CE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Relative difference†</w:t>
            </w:r>
          </w:p>
        </w:tc>
      </w:tr>
      <w:tr w:rsidR="0093587E" w:rsidRPr="00312DEE" w14:paraId="4137ED4D" w14:textId="77777777" w:rsidTr="0093587E">
        <w:tc>
          <w:tcPr>
            <w:tcW w:w="949" w:type="dxa"/>
            <w:vAlign w:val="center"/>
          </w:tcPr>
          <w:p w14:paraId="65EBF8C9" w14:textId="5895D6E5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Western Turkey</w:t>
            </w:r>
          </w:p>
        </w:tc>
        <w:tc>
          <w:tcPr>
            <w:tcW w:w="974" w:type="dxa"/>
            <w:vAlign w:val="center"/>
          </w:tcPr>
          <w:p w14:paraId="28B414E8" w14:textId="0761EF54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TR1, TR2, TR3, TR4</w:t>
            </w:r>
          </w:p>
        </w:tc>
        <w:tc>
          <w:tcPr>
            <w:tcW w:w="1170" w:type="dxa"/>
            <w:vAlign w:val="center"/>
          </w:tcPr>
          <w:p w14:paraId="1F92D29D" w14:textId="53271EB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39.10</w:t>
            </w:r>
          </w:p>
        </w:tc>
        <w:tc>
          <w:tcPr>
            <w:tcW w:w="1035" w:type="dxa"/>
            <w:vAlign w:val="center"/>
          </w:tcPr>
          <w:p w14:paraId="5EA68BB4" w14:textId="1ED22AF9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161</w:t>
            </w:r>
          </w:p>
        </w:tc>
        <w:tc>
          <w:tcPr>
            <w:tcW w:w="1035" w:type="dxa"/>
            <w:vAlign w:val="center"/>
          </w:tcPr>
          <w:p w14:paraId="364A5AD9" w14:textId="7FC759C9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45.9</w:t>
            </w:r>
          </w:p>
        </w:tc>
        <w:tc>
          <w:tcPr>
            <w:tcW w:w="1060" w:type="dxa"/>
            <w:vAlign w:val="center"/>
          </w:tcPr>
          <w:p w14:paraId="5D8C043B" w14:textId="1DCC713A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176</w:t>
            </w:r>
          </w:p>
        </w:tc>
        <w:tc>
          <w:tcPr>
            <w:tcW w:w="1060" w:type="dxa"/>
            <w:vAlign w:val="center"/>
          </w:tcPr>
          <w:p w14:paraId="5F8B3D9F" w14:textId="472085A0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50.1</w:t>
            </w:r>
          </w:p>
        </w:tc>
        <w:tc>
          <w:tcPr>
            <w:tcW w:w="1779" w:type="dxa"/>
            <w:vAlign w:val="center"/>
          </w:tcPr>
          <w:p w14:paraId="7BC7F611" w14:textId="7898D783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+9.2% overrepresented</w:t>
            </w:r>
          </w:p>
        </w:tc>
      </w:tr>
      <w:tr w:rsidR="0093587E" w:rsidRPr="00312DEE" w14:paraId="2748D4C9" w14:textId="77777777" w:rsidTr="0093587E">
        <w:tc>
          <w:tcPr>
            <w:tcW w:w="949" w:type="dxa"/>
            <w:vAlign w:val="center"/>
          </w:tcPr>
          <w:p w14:paraId="199777DE" w14:textId="523D9D36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Central Turkey</w:t>
            </w:r>
          </w:p>
        </w:tc>
        <w:tc>
          <w:tcPr>
            <w:tcW w:w="974" w:type="dxa"/>
            <w:vAlign w:val="center"/>
          </w:tcPr>
          <w:p w14:paraId="62DE51C5" w14:textId="20C4F211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TR5, TR6, TR7</w:t>
            </w:r>
          </w:p>
        </w:tc>
        <w:tc>
          <w:tcPr>
            <w:tcW w:w="1170" w:type="dxa"/>
            <w:vAlign w:val="center"/>
          </w:tcPr>
          <w:p w14:paraId="05F3CF68" w14:textId="3E873AA9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23.42</w:t>
            </w:r>
          </w:p>
        </w:tc>
        <w:tc>
          <w:tcPr>
            <w:tcW w:w="1035" w:type="dxa"/>
            <w:vAlign w:val="center"/>
          </w:tcPr>
          <w:p w14:paraId="75687E47" w14:textId="64E23FFB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96</w:t>
            </w:r>
          </w:p>
        </w:tc>
        <w:tc>
          <w:tcPr>
            <w:tcW w:w="1035" w:type="dxa"/>
            <w:vAlign w:val="center"/>
          </w:tcPr>
          <w:p w14:paraId="44C15E28" w14:textId="56BD712D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27.4</w:t>
            </w:r>
          </w:p>
        </w:tc>
        <w:tc>
          <w:tcPr>
            <w:tcW w:w="1060" w:type="dxa"/>
            <w:vAlign w:val="center"/>
          </w:tcPr>
          <w:p w14:paraId="494601D1" w14:textId="14AFF135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86 </w:t>
            </w:r>
          </w:p>
        </w:tc>
        <w:tc>
          <w:tcPr>
            <w:tcW w:w="1060" w:type="dxa"/>
            <w:vAlign w:val="center"/>
          </w:tcPr>
          <w:p w14:paraId="1DC08E3D" w14:textId="1F6E79CD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24.5</w:t>
            </w:r>
          </w:p>
        </w:tc>
        <w:tc>
          <w:tcPr>
            <w:tcW w:w="1779" w:type="dxa"/>
            <w:vAlign w:val="center"/>
          </w:tcPr>
          <w:p w14:paraId="7F1D6F6E" w14:textId="379B5F0D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−10.5% underrepresented</w:t>
            </w:r>
          </w:p>
        </w:tc>
      </w:tr>
      <w:tr w:rsidR="0093587E" w:rsidRPr="00312DEE" w14:paraId="395F53D7" w14:textId="77777777" w:rsidTr="0093587E">
        <w:tc>
          <w:tcPr>
            <w:tcW w:w="949" w:type="dxa"/>
            <w:vAlign w:val="center"/>
          </w:tcPr>
          <w:p w14:paraId="3017E63B" w14:textId="19479BFF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Eastern Turkey</w:t>
            </w:r>
          </w:p>
        </w:tc>
        <w:tc>
          <w:tcPr>
            <w:tcW w:w="974" w:type="dxa"/>
            <w:vAlign w:val="center"/>
          </w:tcPr>
          <w:p w14:paraId="1FE83CA7" w14:textId="6B384C38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TR8, TR9, TRA, TRB, TRC</w:t>
            </w:r>
          </w:p>
        </w:tc>
        <w:tc>
          <w:tcPr>
            <w:tcW w:w="1170" w:type="dxa"/>
            <w:vAlign w:val="center"/>
          </w:tcPr>
          <w:p w14:paraId="2B6B96A1" w14:textId="69D0DE3A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22.94</w:t>
            </w:r>
          </w:p>
        </w:tc>
        <w:tc>
          <w:tcPr>
            <w:tcW w:w="1035" w:type="dxa"/>
            <w:vAlign w:val="center"/>
          </w:tcPr>
          <w:p w14:paraId="597E6EA9" w14:textId="0CEA47D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94</w:t>
            </w:r>
          </w:p>
        </w:tc>
        <w:tc>
          <w:tcPr>
            <w:tcW w:w="1035" w:type="dxa"/>
            <w:vAlign w:val="center"/>
          </w:tcPr>
          <w:p w14:paraId="626830DE" w14:textId="12D2C4BF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26.8</w:t>
            </w:r>
          </w:p>
        </w:tc>
        <w:tc>
          <w:tcPr>
            <w:tcW w:w="1060" w:type="dxa"/>
            <w:vAlign w:val="center"/>
          </w:tcPr>
          <w:p w14:paraId="5227AEEE" w14:textId="6EF92578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89 </w:t>
            </w:r>
          </w:p>
        </w:tc>
        <w:tc>
          <w:tcPr>
            <w:tcW w:w="1060" w:type="dxa"/>
            <w:vAlign w:val="center"/>
          </w:tcPr>
          <w:p w14:paraId="576ECB15" w14:textId="3A391633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25.4</w:t>
            </w:r>
          </w:p>
        </w:tc>
        <w:tc>
          <w:tcPr>
            <w:tcW w:w="1779" w:type="dxa"/>
            <w:vAlign w:val="center"/>
          </w:tcPr>
          <w:p w14:paraId="5071D0AD" w14:textId="4E128594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−5.2% underrepresented</w:t>
            </w:r>
          </w:p>
        </w:tc>
      </w:tr>
      <w:tr w:rsidR="0093587E" w:rsidRPr="00312DEE" w14:paraId="6813CE8C" w14:textId="77777777" w:rsidTr="0093587E"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14:paraId="19203487" w14:textId="53AF95E4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Total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038BD538" w14:textId="7777777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67F8556" w14:textId="1216387A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85.46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052AEC5E" w14:textId="79816254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351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5ABA877F" w14:textId="73A631B0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100.0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40ECF990" w14:textId="7777777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5E2EEEC4" w14:textId="7777777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vAlign w:val="center"/>
          </w:tcPr>
          <w:p w14:paraId="498AACCB" w14:textId="77777777" w:rsidR="0093587E" w:rsidRPr="00312DEE" w:rsidRDefault="0093587E" w:rsidP="0093587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3587E" w:rsidRPr="00312DEE" w14:paraId="5E30192A" w14:textId="77777777" w:rsidTr="0093587E">
        <w:tc>
          <w:tcPr>
            <w:tcW w:w="9062" w:type="dxa"/>
            <w:gridSpan w:val="8"/>
            <w:tcBorders>
              <w:top w:val="single" w:sz="4" w:space="0" w:color="auto"/>
            </w:tcBorders>
          </w:tcPr>
          <w:p w14:paraId="7BBB5EC8" w14:textId="66E1BB8B" w:rsidR="0093587E" w:rsidRPr="00312DEE" w:rsidRDefault="0093587E" w:rsidP="0093587E">
            <w:pPr>
              <w:pStyle w:val="NormalWeb"/>
              <w:rPr>
                <w:rFonts w:eastAsiaTheme="majorEastAsia"/>
                <w:i/>
                <w:iCs/>
                <w:sz w:val="22"/>
                <w:szCs w:val="22"/>
              </w:rPr>
            </w:pPr>
            <w:r w:rsidRPr="00312DEE">
              <w:rPr>
                <w:sz w:val="22"/>
                <w:szCs w:val="22"/>
              </w:rPr>
              <w:t xml:space="preserve">* </w:t>
            </w:r>
            <w:r w:rsidRPr="00312DEE">
              <w:rPr>
                <w:rStyle w:val="Vurgu"/>
                <w:rFonts w:eastAsiaTheme="majorEastAsia"/>
                <w:sz w:val="22"/>
                <w:szCs w:val="22"/>
              </w:rPr>
              <w:t xml:space="preserve">Expected numbers were calculated by distributing the total sample size (n = 351) proportionally according to the population size of each meta-region. </w:t>
            </w:r>
            <w:r w:rsidRPr="00312DEE">
              <w:rPr>
                <w:sz w:val="22"/>
                <w:szCs w:val="22"/>
              </w:rPr>
              <w:t xml:space="preserve">† </w:t>
            </w:r>
            <w:r w:rsidRPr="00312DEE">
              <w:rPr>
                <w:rStyle w:val="Vurgu"/>
                <w:rFonts w:eastAsiaTheme="majorEastAsia"/>
                <w:sz w:val="22"/>
                <w:szCs w:val="22"/>
              </w:rPr>
              <w:t>Relative difference was calculated as: (Observed % − Expected %) / Expected % × 100.</w:t>
            </w:r>
          </w:p>
        </w:tc>
      </w:tr>
    </w:tbl>
    <w:p w14:paraId="326428AF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6B8CAC46" w14:textId="77777777" w:rsidR="00F40919" w:rsidRPr="00312DEE" w:rsidRDefault="00F40919">
      <w:pPr>
        <w:rPr>
          <w:rFonts w:ascii="Times New Roman" w:hAnsi="Times New Roman" w:cs="Times New Roman"/>
          <w:sz w:val="22"/>
          <w:szCs w:val="22"/>
        </w:rPr>
      </w:pPr>
    </w:p>
    <w:p w14:paraId="323B936E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6599FA5B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5C0F5AD4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5F451CFC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39ACCAC1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3B8297A9" w14:textId="77777777" w:rsidR="0093587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3D5CB8B8" w14:textId="77777777" w:rsidR="00F355BC" w:rsidRPr="00312DEE" w:rsidRDefault="00F355BC">
      <w:pPr>
        <w:rPr>
          <w:rFonts w:ascii="Times New Roman" w:hAnsi="Times New Roman" w:cs="Times New Roman"/>
          <w:sz w:val="22"/>
          <w:szCs w:val="22"/>
        </w:rPr>
      </w:pPr>
    </w:p>
    <w:p w14:paraId="6C3E9324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084A3975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49EF2077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7916A826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5C71AC55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1"/>
        <w:gridCol w:w="561"/>
        <w:gridCol w:w="445"/>
        <w:gridCol w:w="1509"/>
        <w:gridCol w:w="1446"/>
      </w:tblGrid>
      <w:tr w:rsidR="00A37CA6" w:rsidRPr="00312DEE" w14:paraId="571A7989" w14:textId="77777777" w:rsidTr="00A37CA6">
        <w:trPr>
          <w:tblHeader/>
          <w:tblCellSpacing w:w="15" w:type="dxa"/>
        </w:trPr>
        <w:tc>
          <w:tcPr>
            <w:tcW w:w="0" w:type="auto"/>
            <w:gridSpan w:val="5"/>
            <w:vAlign w:val="center"/>
          </w:tcPr>
          <w:p w14:paraId="72DB034C" w14:textId="783F61E6" w:rsidR="00A37CA6" w:rsidRPr="00312DEE" w:rsidRDefault="00A37CA6" w:rsidP="00A37C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Supplementary Table S</w:t>
            </w:r>
            <w:r w:rsidR="0093587E" w:rsidRPr="00312DE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12DEE">
              <w:rPr>
                <w:rFonts w:ascii="Times New Roman" w:hAnsi="Times New Roman" w:cs="Times New Roman"/>
                <w:sz w:val="22"/>
                <w:szCs w:val="22"/>
              </w:rPr>
              <w:t>. Internal consistency and item–total statistics of the Antibiotic Resistance Awareness Scale (n = 351)</w:t>
            </w:r>
          </w:p>
        </w:tc>
      </w:tr>
      <w:tr w:rsidR="00A37CA6" w:rsidRPr="00312DEE" w14:paraId="3B2ACFAC" w14:textId="77777777" w:rsidTr="00A37C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C52C8C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Item (original wording)</w:t>
            </w:r>
          </w:p>
        </w:tc>
        <w:tc>
          <w:tcPr>
            <w:tcW w:w="0" w:type="auto"/>
            <w:vAlign w:val="center"/>
            <w:hideMark/>
          </w:tcPr>
          <w:p w14:paraId="1C4B00F4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Mean</w:t>
            </w:r>
          </w:p>
        </w:tc>
        <w:tc>
          <w:tcPr>
            <w:tcW w:w="0" w:type="auto"/>
            <w:vAlign w:val="center"/>
            <w:hideMark/>
          </w:tcPr>
          <w:p w14:paraId="0470617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SD</w:t>
            </w:r>
          </w:p>
        </w:tc>
        <w:tc>
          <w:tcPr>
            <w:tcW w:w="0" w:type="auto"/>
            <w:vAlign w:val="center"/>
            <w:hideMark/>
          </w:tcPr>
          <w:p w14:paraId="6658D1D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Corrected Item–Total Correlation</w:t>
            </w:r>
          </w:p>
        </w:tc>
        <w:tc>
          <w:tcPr>
            <w:tcW w:w="0" w:type="auto"/>
            <w:vAlign w:val="center"/>
            <w:hideMark/>
          </w:tcPr>
          <w:p w14:paraId="78785391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Cronbach’s α if Item Deleted</w:t>
            </w:r>
          </w:p>
        </w:tc>
      </w:tr>
      <w:tr w:rsidR="00561DBC" w:rsidRPr="00312DEE" w14:paraId="1BBC81B0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DC5D5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is when a microorganism becomes resistant to antibiotics</w:t>
            </w:r>
          </w:p>
        </w:tc>
        <w:tc>
          <w:tcPr>
            <w:tcW w:w="0" w:type="auto"/>
            <w:vAlign w:val="center"/>
            <w:hideMark/>
          </w:tcPr>
          <w:p w14:paraId="324B801B" w14:textId="4F97F44D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1.50</w:t>
            </w:r>
          </w:p>
        </w:tc>
        <w:tc>
          <w:tcPr>
            <w:tcW w:w="0" w:type="auto"/>
            <w:vAlign w:val="center"/>
            <w:hideMark/>
          </w:tcPr>
          <w:p w14:paraId="157E4BBA" w14:textId="4C9F578D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0.51</w:t>
            </w:r>
          </w:p>
        </w:tc>
        <w:tc>
          <w:tcPr>
            <w:tcW w:w="0" w:type="auto"/>
            <w:vAlign w:val="center"/>
            <w:hideMark/>
          </w:tcPr>
          <w:p w14:paraId="292BCFBA" w14:textId="37C04CD2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0.61</w:t>
            </w:r>
          </w:p>
        </w:tc>
        <w:tc>
          <w:tcPr>
            <w:tcW w:w="0" w:type="auto"/>
            <w:vAlign w:val="center"/>
            <w:hideMark/>
          </w:tcPr>
          <w:p w14:paraId="10CCCC0B" w14:textId="4594C8F1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561DBC" w:rsidRPr="00312DEE" w14:paraId="41069421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7FF8D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Some microorganisms can mutate and therefore become resistant to antibiotics</w:t>
            </w:r>
          </w:p>
        </w:tc>
        <w:tc>
          <w:tcPr>
            <w:tcW w:w="0" w:type="auto"/>
            <w:vAlign w:val="center"/>
            <w:hideMark/>
          </w:tcPr>
          <w:p w14:paraId="78A38A0D" w14:textId="7D7028CA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1.57</w:t>
            </w:r>
          </w:p>
        </w:tc>
        <w:tc>
          <w:tcPr>
            <w:tcW w:w="0" w:type="auto"/>
            <w:vAlign w:val="center"/>
            <w:hideMark/>
          </w:tcPr>
          <w:p w14:paraId="34F42004" w14:textId="0899C647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0.52</w:t>
            </w:r>
          </w:p>
        </w:tc>
        <w:tc>
          <w:tcPr>
            <w:tcW w:w="0" w:type="auto"/>
            <w:vAlign w:val="center"/>
            <w:hideMark/>
          </w:tcPr>
          <w:p w14:paraId="147D06B5" w14:textId="6B9157CC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0.67</w:t>
            </w:r>
          </w:p>
        </w:tc>
        <w:tc>
          <w:tcPr>
            <w:tcW w:w="0" w:type="auto"/>
            <w:vAlign w:val="center"/>
            <w:hideMark/>
          </w:tcPr>
          <w:p w14:paraId="1B770BA6" w14:textId="2D463458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2617608F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D9200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Some microorganisms can transfer resistance by exchanging genetic material</w:t>
            </w:r>
          </w:p>
        </w:tc>
        <w:tc>
          <w:tcPr>
            <w:tcW w:w="0" w:type="auto"/>
            <w:vAlign w:val="center"/>
            <w:hideMark/>
          </w:tcPr>
          <w:p w14:paraId="6A86E5E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2.57</w:t>
            </w:r>
          </w:p>
        </w:tc>
        <w:tc>
          <w:tcPr>
            <w:tcW w:w="0" w:type="auto"/>
            <w:vAlign w:val="center"/>
            <w:hideMark/>
          </w:tcPr>
          <w:p w14:paraId="542FFD28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0.51</w:t>
            </w:r>
          </w:p>
        </w:tc>
        <w:tc>
          <w:tcPr>
            <w:tcW w:w="0" w:type="auto"/>
            <w:vAlign w:val="center"/>
            <w:hideMark/>
          </w:tcPr>
          <w:p w14:paraId="500FC09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0.71</w:t>
            </w:r>
          </w:p>
        </w:tc>
        <w:tc>
          <w:tcPr>
            <w:tcW w:w="0" w:type="auto"/>
            <w:vAlign w:val="center"/>
            <w:hideMark/>
          </w:tcPr>
          <w:p w14:paraId="075D6C7B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561DBC" w:rsidRPr="00312DEE" w14:paraId="5A818F31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0186D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given when they are not indicated, for example, when a person has a viral infection</w:t>
            </w:r>
          </w:p>
        </w:tc>
        <w:tc>
          <w:tcPr>
            <w:tcW w:w="0" w:type="auto"/>
            <w:vAlign w:val="center"/>
            <w:hideMark/>
          </w:tcPr>
          <w:p w14:paraId="5515FC91" w14:textId="7C275B77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1.57</w:t>
            </w:r>
          </w:p>
        </w:tc>
        <w:tc>
          <w:tcPr>
            <w:tcW w:w="0" w:type="auto"/>
            <w:vAlign w:val="center"/>
            <w:hideMark/>
          </w:tcPr>
          <w:p w14:paraId="478720E4" w14:textId="74F91F9B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0.56</w:t>
            </w:r>
          </w:p>
        </w:tc>
        <w:tc>
          <w:tcPr>
            <w:tcW w:w="0" w:type="auto"/>
            <w:vAlign w:val="center"/>
            <w:hideMark/>
          </w:tcPr>
          <w:p w14:paraId="260598FB" w14:textId="3AC6CEC2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0.64</w:t>
            </w:r>
          </w:p>
        </w:tc>
        <w:tc>
          <w:tcPr>
            <w:tcW w:w="0" w:type="auto"/>
            <w:vAlign w:val="center"/>
            <w:hideMark/>
          </w:tcPr>
          <w:p w14:paraId="3FCA99F8" w14:textId="7463A1E1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561DBC" w:rsidRPr="00312DEE" w14:paraId="36617361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F2B4F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courses of antibiotic treatment are interrupted, for example, stopping and starting again halfway through a prescribed course</w:t>
            </w:r>
          </w:p>
        </w:tc>
        <w:tc>
          <w:tcPr>
            <w:tcW w:w="0" w:type="auto"/>
            <w:vAlign w:val="center"/>
            <w:hideMark/>
          </w:tcPr>
          <w:p w14:paraId="590D4DBD" w14:textId="204FDB89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1.59</w:t>
            </w:r>
          </w:p>
        </w:tc>
        <w:tc>
          <w:tcPr>
            <w:tcW w:w="0" w:type="auto"/>
            <w:vAlign w:val="center"/>
            <w:hideMark/>
          </w:tcPr>
          <w:p w14:paraId="6E6C35E8" w14:textId="1DD69E5A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0.55</w:t>
            </w:r>
          </w:p>
        </w:tc>
        <w:tc>
          <w:tcPr>
            <w:tcW w:w="0" w:type="auto"/>
            <w:vAlign w:val="center"/>
            <w:hideMark/>
          </w:tcPr>
          <w:p w14:paraId="485CF4D9" w14:textId="1DA77091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0.64</w:t>
            </w:r>
          </w:p>
        </w:tc>
        <w:tc>
          <w:tcPr>
            <w:tcW w:w="0" w:type="auto"/>
            <w:vAlign w:val="center"/>
            <w:hideMark/>
          </w:tcPr>
          <w:p w14:paraId="312A1481" w14:textId="2CF5FFD0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720EA71A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413E6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given/taken in lower than recommended doses</w:t>
            </w:r>
          </w:p>
        </w:tc>
        <w:tc>
          <w:tcPr>
            <w:tcW w:w="0" w:type="auto"/>
            <w:vAlign w:val="center"/>
            <w:hideMark/>
          </w:tcPr>
          <w:p w14:paraId="72CC3937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2.42</w:t>
            </w:r>
          </w:p>
        </w:tc>
        <w:tc>
          <w:tcPr>
            <w:tcW w:w="0" w:type="auto"/>
            <w:vAlign w:val="center"/>
            <w:hideMark/>
          </w:tcPr>
          <w:p w14:paraId="1FBBEAF1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0.67</w:t>
            </w:r>
          </w:p>
        </w:tc>
        <w:tc>
          <w:tcPr>
            <w:tcW w:w="0" w:type="auto"/>
            <w:vAlign w:val="center"/>
            <w:hideMark/>
          </w:tcPr>
          <w:p w14:paraId="0730F20D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0.58</w:t>
            </w:r>
          </w:p>
        </w:tc>
        <w:tc>
          <w:tcPr>
            <w:tcW w:w="0" w:type="auto"/>
            <w:vAlign w:val="center"/>
            <w:hideMark/>
          </w:tcPr>
          <w:p w14:paraId="7BC28FAC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117F1E68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2D86C2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used to treat bacterial colonisation rather than bacterial infection</w:t>
            </w:r>
          </w:p>
        </w:tc>
        <w:tc>
          <w:tcPr>
            <w:tcW w:w="0" w:type="auto"/>
            <w:vAlign w:val="center"/>
            <w:hideMark/>
          </w:tcPr>
          <w:p w14:paraId="6897931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2.18</w:t>
            </w:r>
          </w:p>
        </w:tc>
        <w:tc>
          <w:tcPr>
            <w:tcW w:w="0" w:type="auto"/>
            <w:vAlign w:val="center"/>
            <w:hideMark/>
          </w:tcPr>
          <w:p w14:paraId="19F3F384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0.78</w:t>
            </w:r>
          </w:p>
        </w:tc>
        <w:tc>
          <w:tcPr>
            <w:tcW w:w="0" w:type="auto"/>
            <w:vAlign w:val="center"/>
            <w:hideMark/>
          </w:tcPr>
          <w:p w14:paraId="3ED1CDF8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0.48</w:t>
            </w:r>
          </w:p>
        </w:tc>
        <w:tc>
          <w:tcPr>
            <w:tcW w:w="0" w:type="auto"/>
            <w:vAlign w:val="center"/>
            <w:hideMark/>
          </w:tcPr>
          <w:p w14:paraId="11D773B8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7E231877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E36F9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used as a ‘just in case’ measure for any routine procedure</w:t>
            </w:r>
          </w:p>
        </w:tc>
        <w:tc>
          <w:tcPr>
            <w:tcW w:w="0" w:type="auto"/>
            <w:vAlign w:val="center"/>
            <w:hideMark/>
          </w:tcPr>
          <w:p w14:paraId="204FDB55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2.10</w:t>
            </w:r>
          </w:p>
        </w:tc>
        <w:tc>
          <w:tcPr>
            <w:tcW w:w="0" w:type="auto"/>
            <w:vAlign w:val="center"/>
            <w:hideMark/>
          </w:tcPr>
          <w:p w14:paraId="329DFC6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0.73</w:t>
            </w:r>
          </w:p>
        </w:tc>
        <w:tc>
          <w:tcPr>
            <w:tcW w:w="0" w:type="auto"/>
            <w:vAlign w:val="center"/>
            <w:hideMark/>
          </w:tcPr>
          <w:p w14:paraId="71E9FCC5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0.46</w:t>
            </w:r>
          </w:p>
        </w:tc>
        <w:tc>
          <w:tcPr>
            <w:tcW w:w="0" w:type="auto"/>
            <w:vAlign w:val="center"/>
            <w:hideMark/>
          </w:tcPr>
          <w:p w14:paraId="38931897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7E91C570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E959A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broad-spectrum antibiotics are used when a narrow-spectrum antibiotic would resolve the infection</w:t>
            </w:r>
          </w:p>
        </w:tc>
        <w:tc>
          <w:tcPr>
            <w:tcW w:w="0" w:type="auto"/>
            <w:vAlign w:val="center"/>
            <w:hideMark/>
          </w:tcPr>
          <w:p w14:paraId="646DFEE6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2.39</w:t>
            </w:r>
          </w:p>
        </w:tc>
        <w:tc>
          <w:tcPr>
            <w:tcW w:w="0" w:type="auto"/>
            <w:vAlign w:val="center"/>
            <w:hideMark/>
          </w:tcPr>
          <w:p w14:paraId="6AD8A21B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0.63</w:t>
            </w:r>
          </w:p>
        </w:tc>
        <w:tc>
          <w:tcPr>
            <w:tcW w:w="0" w:type="auto"/>
            <w:vAlign w:val="center"/>
            <w:hideMark/>
          </w:tcPr>
          <w:p w14:paraId="13CFDCD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0.64</w:t>
            </w:r>
          </w:p>
        </w:tc>
        <w:tc>
          <w:tcPr>
            <w:tcW w:w="0" w:type="auto"/>
            <w:vAlign w:val="center"/>
            <w:hideMark/>
          </w:tcPr>
          <w:p w14:paraId="2859229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575300CE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042D0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used in livestock feed to promote animal growth</w:t>
            </w:r>
          </w:p>
        </w:tc>
        <w:tc>
          <w:tcPr>
            <w:tcW w:w="0" w:type="auto"/>
            <w:vAlign w:val="center"/>
            <w:hideMark/>
          </w:tcPr>
          <w:p w14:paraId="571FF968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2.32</w:t>
            </w:r>
          </w:p>
        </w:tc>
        <w:tc>
          <w:tcPr>
            <w:tcW w:w="0" w:type="auto"/>
            <w:vAlign w:val="center"/>
            <w:hideMark/>
          </w:tcPr>
          <w:p w14:paraId="00AFEE71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0.67</w:t>
            </w:r>
          </w:p>
        </w:tc>
        <w:tc>
          <w:tcPr>
            <w:tcW w:w="0" w:type="auto"/>
            <w:vAlign w:val="center"/>
            <w:hideMark/>
          </w:tcPr>
          <w:p w14:paraId="785B087D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0.67</w:t>
            </w:r>
          </w:p>
        </w:tc>
        <w:tc>
          <w:tcPr>
            <w:tcW w:w="0" w:type="auto"/>
            <w:vAlign w:val="center"/>
            <w:hideMark/>
          </w:tcPr>
          <w:p w14:paraId="5761A064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08C99862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2CEEE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human antibiotics are used to treat infections in animals</w:t>
            </w:r>
          </w:p>
        </w:tc>
        <w:tc>
          <w:tcPr>
            <w:tcW w:w="0" w:type="auto"/>
            <w:vAlign w:val="center"/>
            <w:hideMark/>
          </w:tcPr>
          <w:p w14:paraId="51D9501C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2.05</w:t>
            </w:r>
          </w:p>
        </w:tc>
        <w:tc>
          <w:tcPr>
            <w:tcW w:w="0" w:type="auto"/>
            <w:vAlign w:val="center"/>
            <w:hideMark/>
          </w:tcPr>
          <w:p w14:paraId="18E31F3C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0.74</w:t>
            </w:r>
          </w:p>
        </w:tc>
        <w:tc>
          <w:tcPr>
            <w:tcW w:w="0" w:type="auto"/>
            <w:vAlign w:val="center"/>
            <w:hideMark/>
          </w:tcPr>
          <w:p w14:paraId="5C320B33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0.57</w:t>
            </w:r>
          </w:p>
        </w:tc>
        <w:tc>
          <w:tcPr>
            <w:tcW w:w="0" w:type="auto"/>
            <w:vAlign w:val="center"/>
            <w:hideMark/>
          </w:tcPr>
          <w:p w14:paraId="06E48B88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14F12296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78F04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present in human sewerage</w:t>
            </w:r>
          </w:p>
        </w:tc>
        <w:tc>
          <w:tcPr>
            <w:tcW w:w="0" w:type="auto"/>
            <w:vAlign w:val="center"/>
            <w:hideMark/>
          </w:tcPr>
          <w:p w14:paraId="266654C3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1.95</w:t>
            </w:r>
          </w:p>
        </w:tc>
        <w:tc>
          <w:tcPr>
            <w:tcW w:w="0" w:type="auto"/>
            <w:vAlign w:val="center"/>
            <w:hideMark/>
          </w:tcPr>
          <w:p w14:paraId="3ECE7B2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0.77</w:t>
            </w:r>
          </w:p>
        </w:tc>
        <w:tc>
          <w:tcPr>
            <w:tcW w:w="0" w:type="auto"/>
            <w:vAlign w:val="center"/>
            <w:hideMark/>
          </w:tcPr>
          <w:p w14:paraId="12587259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0.59</w:t>
            </w:r>
          </w:p>
        </w:tc>
        <w:tc>
          <w:tcPr>
            <w:tcW w:w="0" w:type="auto"/>
            <w:vAlign w:val="center"/>
            <w:hideMark/>
          </w:tcPr>
          <w:p w14:paraId="6627839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04FDA062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89456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Antibiotic resistance can develop if antibiotics are discarded into the environment</w:t>
            </w:r>
          </w:p>
        </w:tc>
        <w:tc>
          <w:tcPr>
            <w:tcW w:w="0" w:type="auto"/>
            <w:vAlign w:val="center"/>
            <w:hideMark/>
          </w:tcPr>
          <w:p w14:paraId="06EF516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1.84</w:t>
            </w:r>
          </w:p>
        </w:tc>
        <w:tc>
          <w:tcPr>
            <w:tcW w:w="0" w:type="auto"/>
            <w:vAlign w:val="center"/>
            <w:hideMark/>
          </w:tcPr>
          <w:p w14:paraId="2613A68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0.81</w:t>
            </w:r>
          </w:p>
        </w:tc>
        <w:tc>
          <w:tcPr>
            <w:tcW w:w="0" w:type="auto"/>
            <w:vAlign w:val="center"/>
            <w:hideMark/>
          </w:tcPr>
          <w:p w14:paraId="5AE96BE5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0.51</w:t>
            </w:r>
          </w:p>
        </w:tc>
        <w:tc>
          <w:tcPr>
            <w:tcW w:w="0" w:type="auto"/>
            <w:vAlign w:val="center"/>
            <w:hideMark/>
          </w:tcPr>
          <w:p w14:paraId="47DD0460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561DBC" w:rsidRPr="00312DEE" w14:paraId="1B955873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E8A59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Resistant infections can spread from health care facilities including hospitals</w:t>
            </w:r>
          </w:p>
        </w:tc>
        <w:tc>
          <w:tcPr>
            <w:tcW w:w="0" w:type="auto"/>
            <w:vAlign w:val="center"/>
            <w:hideMark/>
          </w:tcPr>
          <w:p w14:paraId="100E3B65" w14:textId="6D673749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1.61</w:t>
            </w:r>
          </w:p>
        </w:tc>
        <w:tc>
          <w:tcPr>
            <w:tcW w:w="0" w:type="auto"/>
            <w:vAlign w:val="center"/>
            <w:hideMark/>
          </w:tcPr>
          <w:p w14:paraId="0D095AFA" w14:textId="20AA6634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0.49</w:t>
            </w:r>
          </w:p>
        </w:tc>
        <w:tc>
          <w:tcPr>
            <w:tcW w:w="0" w:type="auto"/>
            <w:vAlign w:val="center"/>
            <w:hideMark/>
          </w:tcPr>
          <w:p w14:paraId="3AF3CEA9" w14:textId="0C4CC1D0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0.71</w:t>
            </w:r>
          </w:p>
        </w:tc>
        <w:tc>
          <w:tcPr>
            <w:tcW w:w="0" w:type="auto"/>
            <w:vAlign w:val="center"/>
            <w:hideMark/>
          </w:tcPr>
          <w:p w14:paraId="364BF8D2" w14:textId="498CFB8F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3BA91104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6EE42E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Resistant infections can spread within residential areas</w:t>
            </w:r>
          </w:p>
        </w:tc>
        <w:tc>
          <w:tcPr>
            <w:tcW w:w="0" w:type="auto"/>
            <w:vAlign w:val="center"/>
            <w:hideMark/>
          </w:tcPr>
          <w:p w14:paraId="78349F96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2.38</w:t>
            </w:r>
          </w:p>
        </w:tc>
        <w:tc>
          <w:tcPr>
            <w:tcW w:w="0" w:type="auto"/>
            <w:vAlign w:val="center"/>
            <w:hideMark/>
          </w:tcPr>
          <w:p w14:paraId="15DB2665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0.60</w:t>
            </w:r>
          </w:p>
        </w:tc>
        <w:tc>
          <w:tcPr>
            <w:tcW w:w="0" w:type="auto"/>
            <w:vAlign w:val="center"/>
            <w:hideMark/>
          </w:tcPr>
          <w:p w14:paraId="135CAF8F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0.66</w:t>
            </w:r>
          </w:p>
        </w:tc>
        <w:tc>
          <w:tcPr>
            <w:tcW w:w="0" w:type="auto"/>
            <w:vAlign w:val="center"/>
            <w:hideMark/>
          </w:tcPr>
          <w:p w14:paraId="65C7C3A2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04EDBCBE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EA742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Resistant infections can spread from livestock farms</w:t>
            </w:r>
          </w:p>
        </w:tc>
        <w:tc>
          <w:tcPr>
            <w:tcW w:w="0" w:type="auto"/>
            <w:vAlign w:val="center"/>
            <w:hideMark/>
          </w:tcPr>
          <w:p w14:paraId="476382E4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2.32</w:t>
            </w:r>
          </w:p>
        </w:tc>
        <w:tc>
          <w:tcPr>
            <w:tcW w:w="0" w:type="auto"/>
            <w:vAlign w:val="center"/>
            <w:hideMark/>
          </w:tcPr>
          <w:p w14:paraId="4FA13E97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0.62</w:t>
            </w:r>
          </w:p>
        </w:tc>
        <w:tc>
          <w:tcPr>
            <w:tcW w:w="0" w:type="auto"/>
            <w:vAlign w:val="center"/>
            <w:hideMark/>
          </w:tcPr>
          <w:p w14:paraId="77EB17EB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0.69</w:t>
            </w:r>
          </w:p>
        </w:tc>
        <w:tc>
          <w:tcPr>
            <w:tcW w:w="0" w:type="auto"/>
            <w:vAlign w:val="center"/>
            <w:hideMark/>
          </w:tcPr>
          <w:p w14:paraId="11019640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561DBC" w:rsidRPr="00312DEE" w14:paraId="6DCCA9B2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E6DF0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Resistant infections can spread through wastewater</w:t>
            </w:r>
          </w:p>
        </w:tc>
        <w:tc>
          <w:tcPr>
            <w:tcW w:w="0" w:type="auto"/>
            <w:vAlign w:val="center"/>
            <w:hideMark/>
          </w:tcPr>
          <w:p w14:paraId="3A7C4A68" w14:textId="4A5B3769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1.27</w:t>
            </w:r>
          </w:p>
        </w:tc>
        <w:tc>
          <w:tcPr>
            <w:tcW w:w="0" w:type="auto"/>
            <w:vAlign w:val="center"/>
            <w:hideMark/>
          </w:tcPr>
          <w:p w14:paraId="4D3F56CA" w14:textId="77F9C20A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0.65</w:t>
            </w:r>
          </w:p>
        </w:tc>
        <w:tc>
          <w:tcPr>
            <w:tcW w:w="0" w:type="auto"/>
            <w:vAlign w:val="center"/>
            <w:hideMark/>
          </w:tcPr>
          <w:p w14:paraId="11F16983" w14:textId="6A4B27BF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0.67</w:t>
            </w:r>
          </w:p>
        </w:tc>
        <w:tc>
          <w:tcPr>
            <w:tcW w:w="0" w:type="auto"/>
            <w:vAlign w:val="center"/>
            <w:hideMark/>
          </w:tcPr>
          <w:p w14:paraId="7569902B" w14:textId="50336B12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17D9CE65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6F70A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Strict hand hygiene before and after contact with patients can help prevent the spread of antibiotic resistance between patients</w:t>
            </w:r>
          </w:p>
        </w:tc>
        <w:tc>
          <w:tcPr>
            <w:tcW w:w="0" w:type="auto"/>
            <w:vAlign w:val="center"/>
            <w:hideMark/>
          </w:tcPr>
          <w:p w14:paraId="3D9031B2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2.35</w:t>
            </w:r>
          </w:p>
        </w:tc>
        <w:tc>
          <w:tcPr>
            <w:tcW w:w="0" w:type="auto"/>
            <w:vAlign w:val="center"/>
            <w:hideMark/>
          </w:tcPr>
          <w:p w14:paraId="5FCF4531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0.69</w:t>
            </w:r>
          </w:p>
        </w:tc>
        <w:tc>
          <w:tcPr>
            <w:tcW w:w="0" w:type="auto"/>
            <w:vAlign w:val="center"/>
            <w:hideMark/>
          </w:tcPr>
          <w:p w14:paraId="2D9E463D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0.55</w:t>
            </w:r>
          </w:p>
        </w:tc>
        <w:tc>
          <w:tcPr>
            <w:tcW w:w="0" w:type="auto"/>
            <w:vAlign w:val="center"/>
            <w:hideMark/>
          </w:tcPr>
          <w:p w14:paraId="2BF9590B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3F3C23DC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FB28A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Isolation in a single room can help prevent the spread of antibiotic resistance between patients</w:t>
            </w:r>
          </w:p>
        </w:tc>
        <w:tc>
          <w:tcPr>
            <w:tcW w:w="0" w:type="auto"/>
            <w:vAlign w:val="center"/>
            <w:hideMark/>
          </w:tcPr>
          <w:p w14:paraId="5001144D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2.49</w:t>
            </w:r>
          </w:p>
        </w:tc>
        <w:tc>
          <w:tcPr>
            <w:tcW w:w="0" w:type="auto"/>
            <w:vAlign w:val="center"/>
            <w:hideMark/>
          </w:tcPr>
          <w:p w14:paraId="5474A257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0.58</w:t>
            </w:r>
          </w:p>
        </w:tc>
        <w:tc>
          <w:tcPr>
            <w:tcW w:w="0" w:type="auto"/>
            <w:vAlign w:val="center"/>
            <w:hideMark/>
          </w:tcPr>
          <w:p w14:paraId="1984D1AE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0.57</w:t>
            </w:r>
          </w:p>
        </w:tc>
        <w:tc>
          <w:tcPr>
            <w:tcW w:w="0" w:type="auto"/>
            <w:vAlign w:val="center"/>
            <w:hideMark/>
          </w:tcPr>
          <w:p w14:paraId="176CAD2C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2D5629B2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89594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Appropriate environmental cleaning can help prevent the spread of antibiotic resistance between patients</w:t>
            </w:r>
          </w:p>
        </w:tc>
        <w:tc>
          <w:tcPr>
            <w:tcW w:w="0" w:type="auto"/>
            <w:vAlign w:val="center"/>
            <w:hideMark/>
          </w:tcPr>
          <w:p w14:paraId="72CEFC65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2.36</w:t>
            </w:r>
          </w:p>
        </w:tc>
        <w:tc>
          <w:tcPr>
            <w:tcW w:w="0" w:type="auto"/>
            <w:vAlign w:val="center"/>
            <w:hideMark/>
          </w:tcPr>
          <w:p w14:paraId="09B5A04A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0.66</w:t>
            </w:r>
          </w:p>
        </w:tc>
        <w:tc>
          <w:tcPr>
            <w:tcW w:w="0" w:type="auto"/>
            <w:vAlign w:val="center"/>
            <w:hideMark/>
          </w:tcPr>
          <w:p w14:paraId="17D2DDA0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0.55</w:t>
            </w:r>
          </w:p>
        </w:tc>
        <w:tc>
          <w:tcPr>
            <w:tcW w:w="0" w:type="auto"/>
            <w:vAlign w:val="center"/>
            <w:hideMark/>
          </w:tcPr>
          <w:p w14:paraId="0F8CF315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4FB92EA7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A6CED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Wearing personal protective equipment such as gloves, masks and aprons can help prevent the spread of antibiotic resistance between patients</w:t>
            </w:r>
          </w:p>
        </w:tc>
        <w:tc>
          <w:tcPr>
            <w:tcW w:w="0" w:type="auto"/>
            <w:vAlign w:val="center"/>
            <w:hideMark/>
          </w:tcPr>
          <w:p w14:paraId="2281A314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2.51</w:t>
            </w:r>
          </w:p>
        </w:tc>
        <w:tc>
          <w:tcPr>
            <w:tcW w:w="0" w:type="auto"/>
            <w:vAlign w:val="center"/>
            <w:hideMark/>
          </w:tcPr>
          <w:p w14:paraId="625A0E14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0.56</w:t>
            </w:r>
          </w:p>
        </w:tc>
        <w:tc>
          <w:tcPr>
            <w:tcW w:w="0" w:type="auto"/>
            <w:vAlign w:val="center"/>
            <w:hideMark/>
          </w:tcPr>
          <w:p w14:paraId="33DB10F9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0.65</w:t>
            </w:r>
          </w:p>
        </w:tc>
        <w:tc>
          <w:tcPr>
            <w:tcW w:w="0" w:type="auto"/>
            <w:vAlign w:val="center"/>
            <w:hideMark/>
          </w:tcPr>
          <w:p w14:paraId="7626F606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A37CA6" w:rsidRPr="00312DEE" w14:paraId="7648EBED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F9ADB" w14:textId="77777777" w:rsidR="00A37CA6" w:rsidRPr="00312DEE" w:rsidRDefault="00A37CA6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 recognise that a person has a resistant infection when the person remains unresponsive to a number of different antibiotics</w:t>
            </w:r>
          </w:p>
        </w:tc>
        <w:tc>
          <w:tcPr>
            <w:tcW w:w="0" w:type="auto"/>
            <w:vAlign w:val="center"/>
            <w:hideMark/>
          </w:tcPr>
          <w:p w14:paraId="39248366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2.50</w:t>
            </w:r>
          </w:p>
        </w:tc>
        <w:tc>
          <w:tcPr>
            <w:tcW w:w="0" w:type="auto"/>
            <w:vAlign w:val="center"/>
            <w:hideMark/>
          </w:tcPr>
          <w:p w14:paraId="48D1B09A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0.55</w:t>
            </w:r>
          </w:p>
        </w:tc>
        <w:tc>
          <w:tcPr>
            <w:tcW w:w="0" w:type="auto"/>
            <w:vAlign w:val="center"/>
            <w:hideMark/>
          </w:tcPr>
          <w:p w14:paraId="2F70E7E7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0.59</w:t>
            </w:r>
          </w:p>
        </w:tc>
        <w:tc>
          <w:tcPr>
            <w:tcW w:w="0" w:type="auto"/>
            <w:vAlign w:val="center"/>
            <w:hideMark/>
          </w:tcPr>
          <w:p w14:paraId="197D483C" w14:textId="77777777" w:rsidR="00A37CA6" w:rsidRPr="00312DEE" w:rsidRDefault="00A37CA6" w:rsidP="00A3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  <w:tr w:rsidR="00561DBC" w:rsidRPr="00312DEE" w14:paraId="50A6DDE9" w14:textId="77777777" w:rsidTr="00A37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FE3E6" w14:textId="77777777" w:rsidR="00561DBC" w:rsidRPr="00312DEE" w:rsidRDefault="00561DBC" w:rsidP="00561DB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 recognise that a person has a resistant infection by sending them for culture and sensitivity testing at a laboratory</w:t>
            </w:r>
          </w:p>
        </w:tc>
        <w:tc>
          <w:tcPr>
            <w:tcW w:w="0" w:type="auto"/>
            <w:vAlign w:val="center"/>
            <w:hideMark/>
          </w:tcPr>
          <w:p w14:paraId="3926D1B0" w14:textId="1CAD43B6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1.62</w:t>
            </w:r>
          </w:p>
        </w:tc>
        <w:tc>
          <w:tcPr>
            <w:tcW w:w="0" w:type="auto"/>
            <w:vAlign w:val="center"/>
            <w:hideMark/>
          </w:tcPr>
          <w:p w14:paraId="21470C54" w14:textId="54B216C9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14:paraId="3DB0BF9E" w14:textId="3E606AF5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0.61</w:t>
            </w:r>
          </w:p>
        </w:tc>
        <w:tc>
          <w:tcPr>
            <w:tcW w:w="0" w:type="auto"/>
            <w:vAlign w:val="center"/>
            <w:hideMark/>
          </w:tcPr>
          <w:p w14:paraId="40B3E6B7" w14:textId="350507F8" w:rsidR="00561DBC" w:rsidRPr="00312DEE" w:rsidRDefault="00561DBC" w:rsidP="0056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0.93</w:t>
            </w:r>
          </w:p>
        </w:tc>
      </w:tr>
    </w:tbl>
    <w:p w14:paraId="7191EC79" w14:textId="77777777" w:rsidR="00A37CA6" w:rsidRPr="00312DEE" w:rsidRDefault="00A37CA6">
      <w:pPr>
        <w:rPr>
          <w:rFonts w:ascii="Times New Roman" w:hAnsi="Times New Roman" w:cs="Times New Roman"/>
          <w:sz w:val="22"/>
          <w:szCs w:val="22"/>
        </w:rPr>
      </w:pPr>
    </w:p>
    <w:p w14:paraId="192CBDE4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422C256F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7CD7AE2B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642F79A9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2103550A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574146CF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6AC401C4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0AA73A2E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762DDF16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60852A39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120F03D4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174241FA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1E8ED23E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57350845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7B02510E" w14:textId="77777777" w:rsidR="0093587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75A9943E" w14:textId="77777777" w:rsidR="00F355BC" w:rsidRPr="00312DEE" w:rsidRDefault="00F355BC">
      <w:pPr>
        <w:rPr>
          <w:rFonts w:ascii="Times New Roman" w:hAnsi="Times New Roman" w:cs="Times New Roman"/>
          <w:sz w:val="22"/>
          <w:szCs w:val="22"/>
        </w:rPr>
      </w:pPr>
    </w:p>
    <w:p w14:paraId="646A7357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41" w:rightFromText="141" w:vertAnchor="text" w:horzAnchor="margin" w:tblpY="44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1"/>
        <w:gridCol w:w="497"/>
        <w:gridCol w:w="1964"/>
      </w:tblGrid>
      <w:tr w:rsidR="00312DEE" w:rsidRPr="00312DEE" w14:paraId="7D3CB0B2" w14:textId="77777777" w:rsidTr="00312DEE">
        <w:trPr>
          <w:tblHeader/>
          <w:tblCellSpacing w:w="15" w:type="dxa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56510514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Supplementary Table S3. Sources of education and information on antimicrobial resistance among family physicians (N = 351)</w:t>
            </w:r>
          </w:p>
        </w:tc>
      </w:tr>
      <w:tr w:rsidR="00312DEE" w:rsidRPr="00312DEE" w14:paraId="67761436" w14:textId="77777777" w:rsidTr="00312D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53941A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Source of education / information</w:t>
            </w:r>
          </w:p>
        </w:tc>
        <w:tc>
          <w:tcPr>
            <w:tcW w:w="0" w:type="auto"/>
            <w:vAlign w:val="center"/>
            <w:hideMark/>
          </w:tcPr>
          <w:p w14:paraId="4D657173" w14:textId="77777777" w:rsidR="00312DEE" w:rsidRPr="00312DEE" w:rsidRDefault="00312DEE" w:rsidP="003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47BE37F9" w14:textId="77777777" w:rsidR="00312DEE" w:rsidRPr="00312DEE" w:rsidRDefault="00312DEE" w:rsidP="003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% of participants*</w:t>
            </w:r>
          </w:p>
        </w:tc>
      </w:tr>
      <w:tr w:rsidR="00312DEE" w:rsidRPr="00312DEE" w14:paraId="290A859E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243C5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Undergraduate medical education (medical school courses)</w:t>
            </w:r>
          </w:p>
        </w:tc>
        <w:tc>
          <w:tcPr>
            <w:tcW w:w="0" w:type="auto"/>
            <w:vAlign w:val="center"/>
            <w:hideMark/>
          </w:tcPr>
          <w:p w14:paraId="641EA279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317</w:t>
            </w:r>
          </w:p>
        </w:tc>
        <w:tc>
          <w:tcPr>
            <w:tcW w:w="0" w:type="auto"/>
            <w:vAlign w:val="center"/>
            <w:hideMark/>
          </w:tcPr>
          <w:p w14:paraId="064BE7DC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90.3</w:t>
            </w:r>
          </w:p>
        </w:tc>
      </w:tr>
      <w:tr w:rsidR="00312DEE" w:rsidRPr="00312DEE" w14:paraId="277FAF51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4B5B3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In-service training (institutional seminars, continuing education programs, etc.)</w:t>
            </w:r>
          </w:p>
        </w:tc>
        <w:tc>
          <w:tcPr>
            <w:tcW w:w="0" w:type="auto"/>
            <w:vAlign w:val="center"/>
            <w:hideMark/>
          </w:tcPr>
          <w:p w14:paraId="16AB4974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227</w:t>
            </w:r>
          </w:p>
        </w:tc>
        <w:tc>
          <w:tcPr>
            <w:tcW w:w="0" w:type="auto"/>
            <w:vAlign w:val="center"/>
            <w:hideMark/>
          </w:tcPr>
          <w:p w14:paraId="442DAE2C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64.7</w:t>
            </w:r>
          </w:p>
        </w:tc>
      </w:tr>
      <w:tr w:rsidR="00312DEE" w:rsidRPr="00312DEE" w14:paraId="7EC657DB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58E64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Conferences, symposiums, workshops</w:t>
            </w:r>
          </w:p>
        </w:tc>
        <w:tc>
          <w:tcPr>
            <w:tcW w:w="0" w:type="auto"/>
            <w:vAlign w:val="center"/>
            <w:hideMark/>
          </w:tcPr>
          <w:p w14:paraId="00E4759D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5780AEFF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51.6</w:t>
            </w:r>
          </w:p>
        </w:tc>
      </w:tr>
      <w:tr w:rsidR="00312DEE" w:rsidRPr="00312DEE" w14:paraId="4B7474D2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57575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Scientific articles and textbooks</w:t>
            </w:r>
          </w:p>
        </w:tc>
        <w:tc>
          <w:tcPr>
            <w:tcW w:w="0" w:type="auto"/>
            <w:vAlign w:val="center"/>
            <w:hideMark/>
          </w:tcPr>
          <w:p w14:paraId="2A17B796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14:paraId="6AEAC42A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44.7</w:t>
            </w:r>
          </w:p>
        </w:tc>
      </w:tr>
      <w:tr w:rsidR="00312DEE" w:rsidRPr="00312DEE" w14:paraId="298DB1D7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275FA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Residency / specialty training</w:t>
            </w:r>
          </w:p>
        </w:tc>
        <w:tc>
          <w:tcPr>
            <w:tcW w:w="0" w:type="auto"/>
            <w:vAlign w:val="center"/>
            <w:hideMark/>
          </w:tcPr>
          <w:p w14:paraId="5264E1EB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14:paraId="033BD602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42.2</w:t>
            </w:r>
          </w:p>
        </w:tc>
      </w:tr>
      <w:tr w:rsidR="00312DEE" w:rsidRPr="00312DEE" w14:paraId="4DD9AFB3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C57E7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Information obtained from colleagues (informal education)</w:t>
            </w:r>
          </w:p>
        </w:tc>
        <w:tc>
          <w:tcPr>
            <w:tcW w:w="0" w:type="auto"/>
            <w:vAlign w:val="center"/>
            <w:hideMark/>
          </w:tcPr>
          <w:p w14:paraId="74F51EBE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14:paraId="7AA95974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41.6</w:t>
            </w:r>
          </w:p>
        </w:tc>
      </w:tr>
      <w:tr w:rsidR="00312DEE" w:rsidRPr="00312DEE" w14:paraId="7E0DE61A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649E8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Training organized by professional associations</w:t>
            </w:r>
          </w:p>
        </w:tc>
        <w:tc>
          <w:tcPr>
            <w:tcW w:w="0" w:type="auto"/>
            <w:vAlign w:val="center"/>
            <w:hideMark/>
          </w:tcPr>
          <w:p w14:paraId="44BE27FE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14:paraId="4E110587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30.2</w:t>
            </w:r>
          </w:p>
        </w:tc>
      </w:tr>
      <w:tr w:rsidR="00312DEE" w:rsidRPr="00312DEE" w14:paraId="0096BA14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18062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Online courses / webinars / e-learning platforms</w:t>
            </w:r>
          </w:p>
        </w:tc>
        <w:tc>
          <w:tcPr>
            <w:tcW w:w="0" w:type="auto"/>
            <w:vAlign w:val="center"/>
            <w:hideMark/>
          </w:tcPr>
          <w:p w14:paraId="49E72311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43391991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26.8</w:t>
            </w:r>
          </w:p>
        </w:tc>
      </w:tr>
      <w:tr w:rsidR="00312DEE" w:rsidRPr="00312DEE" w14:paraId="469BF833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D420C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Public health campaigns / official institutional announcements</w:t>
            </w:r>
          </w:p>
        </w:tc>
        <w:tc>
          <w:tcPr>
            <w:tcW w:w="0" w:type="auto"/>
            <w:vAlign w:val="center"/>
            <w:hideMark/>
          </w:tcPr>
          <w:p w14:paraId="478B835A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14:paraId="4E3AF37E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19.7</w:t>
            </w:r>
          </w:p>
        </w:tc>
      </w:tr>
      <w:tr w:rsidR="00312DEE" w:rsidRPr="00312DEE" w14:paraId="4B8AAB95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D84AE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Pharmaceutical representatives / industry-sponsored informational meetings</w:t>
            </w:r>
          </w:p>
        </w:tc>
        <w:tc>
          <w:tcPr>
            <w:tcW w:w="0" w:type="auto"/>
            <w:vAlign w:val="center"/>
            <w:hideMark/>
          </w:tcPr>
          <w:p w14:paraId="18280458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523B647B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14.5</w:t>
            </w:r>
          </w:p>
        </w:tc>
      </w:tr>
      <w:tr w:rsidR="00312DEE" w:rsidRPr="00312DEE" w14:paraId="29811B57" w14:textId="77777777" w:rsidTr="00312D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5585C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Media (TV, newspapers, social media, podcasts, etc.)</w:t>
            </w:r>
          </w:p>
        </w:tc>
        <w:tc>
          <w:tcPr>
            <w:tcW w:w="0" w:type="auto"/>
            <w:vAlign w:val="center"/>
            <w:hideMark/>
          </w:tcPr>
          <w:p w14:paraId="767B841B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7B87F2F8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14.5</w:t>
            </w:r>
          </w:p>
        </w:tc>
      </w:tr>
      <w:tr w:rsidR="00312DEE" w:rsidRPr="00312DEE" w14:paraId="33BBD9A2" w14:textId="77777777" w:rsidTr="00312DE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902AD33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Training provided by international organizations (WHO, ECDC, CDC, etc.)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6BB5A23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C7DDE08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8.5</w:t>
            </w:r>
          </w:p>
        </w:tc>
      </w:tr>
      <w:tr w:rsidR="00312DEE" w:rsidRPr="00312DEE" w14:paraId="2F6C9518" w14:textId="77777777" w:rsidTr="00312DEE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4898F7F0" w14:textId="77777777" w:rsidR="00312DEE" w:rsidRPr="00312DEE" w:rsidRDefault="00312DEE" w:rsidP="00312D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312DEE">
              <w:rPr>
                <w:rFonts w:ascii="Times New Roman" w:hAnsi="Times New Roman" w:cs="Times New Roman"/>
                <w:sz w:val="22"/>
                <w:szCs w:val="22"/>
              </w:rPr>
              <w:t>*Percentages are calculated based on the total number of participants (N = 351). Multiple responses were allowed; therefore, percentages do not sum to 100%.</w:t>
            </w:r>
          </w:p>
        </w:tc>
      </w:tr>
    </w:tbl>
    <w:p w14:paraId="06CC87ED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2513BB45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p w14:paraId="1426B187" w14:textId="77777777" w:rsidR="0093587E" w:rsidRPr="00312DEE" w:rsidRDefault="0093587E">
      <w:pPr>
        <w:rPr>
          <w:rFonts w:ascii="Times New Roman" w:hAnsi="Times New Roman" w:cs="Times New Roman"/>
          <w:sz w:val="22"/>
          <w:szCs w:val="22"/>
        </w:rPr>
      </w:pPr>
    </w:p>
    <w:sectPr w:rsidR="0093587E" w:rsidRPr="00312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80424"/>
    <w:multiLevelType w:val="hybridMultilevel"/>
    <w:tmpl w:val="181663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69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DE"/>
    <w:rsid w:val="00076CA3"/>
    <w:rsid w:val="00312DEE"/>
    <w:rsid w:val="00561DBC"/>
    <w:rsid w:val="00601150"/>
    <w:rsid w:val="008B46DE"/>
    <w:rsid w:val="0093587E"/>
    <w:rsid w:val="00941007"/>
    <w:rsid w:val="009610FE"/>
    <w:rsid w:val="00977A5B"/>
    <w:rsid w:val="00A37CA6"/>
    <w:rsid w:val="00CC51CC"/>
    <w:rsid w:val="00F355BC"/>
    <w:rsid w:val="00F40919"/>
    <w:rsid w:val="00FC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E25"/>
  <w15:chartTrackingRefBased/>
  <w15:docId w15:val="{A0824B5B-4852-F546-8913-96C6B8B4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B4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B4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B4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B4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B4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B4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B4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B4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B4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B4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8B4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8B4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B46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B46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B46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B46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B46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B46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B4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B4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B4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B4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B4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B46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B46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B46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B4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B46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B46DE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8B46DE"/>
    <w:rPr>
      <w:b/>
      <w:bCs/>
    </w:rPr>
  </w:style>
  <w:style w:type="paragraph" w:styleId="NormalWeb">
    <w:name w:val="Normal (Web)"/>
    <w:basedOn w:val="Normal"/>
    <w:uiPriority w:val="99"/>
    <w:unhideWhenUsed/>
    <w:rsid w:val="008B4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Vurgu">
    <w:name w:val="Emphasis"/>
    <w:basedOn w:val="VarsaylanParagrafYazTipi"/>
    <w:uiPriority w:val="20"/>
    <w:qFormat/>
    <w:rsid w:val="008B46DE"/>
    <w:rPr>
      <w:i/>
      <w:iCs/>
    </w:rPr>
  </w:style>
  <w:style w:type="table" w:styleId="TabloKlavuzu">
    <w:name w:val="Table Grid"/>
    <w:basedOn w:val="NormalTablo"/>
    <w:uiPriority w:val="39"/>
    <w:rsid w:val="00935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Sedef Varol</dc:creator>
  <cp:keywords/>
  <dc:description/>
  <cp:lastModifiedBy>Zeynep Varol</cp:lastModifiedBy>
  <cp:revision>8</cp:revision>
  <dcterms:created xsi:type="dcterms:W3CDTF">2026-01-17T13:22:00Z</dcterms:created>
  <dcterms:modified xsi:type="dcterms:W3CDTF">2026-06-06T12:01:00Z</dcterms:modified>
</cp:coreProperties>
</file>