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fontTable.xml" ContentType="application/vnd.openxmlformats-officedocument.wordprocessingml.fontTable+xml"/>
  <Override PartName="/word/glossary/settings.xml" ContentType="application/vnd.openxmlformats-officedocument.wordprocessingml.settings+xml"/>
  <Override PartName="/word/glossary/webSettings.xml" ContentType="application/vnd.openxmlformats-officedocument.wordprocessingml.web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alibri" w:hAnsi="Calibri" w:cs="Calibri"/>
          <w:b/>
          <w:bCs/>
        </w:rPr>
      </w:pPr>
      <w:r>
        <w:rPr>
          <w:rFonts w:cs="Calibri" w:ascii="Calibri" w:hAnsi="Calibri"/>
          <w:b/>
          <w:bCs/>
        </w:rPr>
        <w:t>Supplementary Table 1: PRISMA scoping review checklist</w:t>
      </w:r>
    </w:p>
    <w:tbl>
      <w:tblPr>
        <w:tblStyle w:val="TableGridLight1"/>
        <w:tblW w:w="901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952"/>
        <w:gridCol w:w="641"/>
        <w:gridCol w:w="4718"/>
        <w:gridCol w:w="1705"/>
      </w:tblGrid>
      <w:tr>
        <w:trPr>
          <w:tblHeader w:val="true"/>
        </w:trPr>
        <w:tc>
          <w:tcPr>
            <w:tcW w:w="1952" w:type="dxa"/>
            <w:tcBorders/>
            <w:shd w:color="auto" w:fill="156082" w:themeFill="accent1" w:val="clear"/>
            <w:vAlign w:val="center"/>
          </w:tcPr>
          <w:p>
            <w:pPr>
              <w:pStyle w:val="Normal"/>
              <w:widowControl/>
              <w:spacing w:before="0" w:after="0"/>
              <w:jc w:val="start"/>
              <w:rPr>
                <w:rFonts w:ascii="Calibri" w:hAnsi="Calibri" w:cs="Calibri"/>
                <w:b/>
                <w:color w:themeColor="background1" w:themeShade="f2" w:val="F2F2F2"/>
                <w:sz w:val="20"/>
                <w:szCs w:val="20"/>
              </w:rPr>
            </w:pPr>
            <w:r>
              <w:rPr>
                <w:rFonts w:eastAsia="Aptos" w:cs="Calibri" w:ascii="Calibri" w:hAnsi="Calibri"/>
                <w:b/>
                <w:bCs/>
                <w:color w:themeColor="background1" w:themeShade="f2" w:val="F2F2F2"/>
                <w:sz w:val="20"/>
                <w:szCs w:val="20"/>
                <w:lang w:val="en-US" w:eastAsia="en-US" w:bidi="ar-SA"/>
              </w:rPr>
              <w:t>SECTION</w:t>
            </w:r>
          </w:p>
        </w:tc>
        <w:tc>
          <w:tcPr>
            <w:tcW w:w="641" w:type="dxa"/>
            <w:tcBorders/>
            <w:shd w:color="auto" w:fill="156082" w:themeFill="accent1" w:val="clear"/>
            <w:vAlign w:val="center"/>
          </w:tcPr>
          <w:p>
            <w:pPr>
              <w:pStyle w:val="Normal"/>
              <w:widowControl/>
              <w:spacing w:before="0" w:after="0"/>
              <w:jc w:val="center"/>
              <w:rPr>
                <w:rFonts w:ascii="Calibri" w:hAnsi="Calibri" w:cs="Calibri"/>
                <w:b/>
                <w:color w:themeColor="background1" w:themeShade="f2" w:val="F2F2F2"/>
                <w:sz w:val="20"/>
                <w:szCs w:val="20"/>
              </w:rPr>
            </w:pPr>
            <w:r>
              <w:rPr>
                <w:rFonts w:eastAsia="Aptos" w:cs="Calibri" w:ascii="Calibri" w:hAnsi="Calibri"/>
                <w:b/>
                <w:bCs/>
                <w:color w:themeColor="background1" w:themeShade="f2" w:val="F2F2F2"/>
                <w:sz w:val="20"/>
                <w:szCs w:val="20"/>
                <w:lang w:val="en-US" w:eastAsia="en-US" w:bidi="ar-SA"/>
              </w:rPr>
              <w:t>ITEM</w:t>
            </w:r>
          </w:p>
        </w:tc>
        <w:tc>
          <w:tcPr>
            <w:tcW w:w="4718" w:type="dxa"/>
            <w:tcBorders/>
            <w:shd w:color="auto" w:fill="156082" w:themeFill="accent1" w:val="clear"/>
            <w:vAlign w:val="center"/>
          </w:tcPr>
          <w:p>
            <w:pPr>
              <w:pStyle w:val="Normal"/>
              <w:widowControl/>
              <w:spacing w:before="0" w:after="0"/>
              <w:jc w:val="start"/>
              <w:rPr>
                <w:rFonts w:ascii="Calibri" w:hAnsi="Calibri" w:cs="Calibri"/>
                <w:b/>
                <w:color w:themeColor="background1" w:themeShade="f2" w:val="F2F2F2"/>
                <w:sz w:val="20"/>
                <w:szCs w:val="20"/>
              </w:rPr>
            </w:pPr>
            <w:r>
              <w:rPr>
                <w:rFonts w:eastAsia="Aptos" w:cs="Calibri" w:ascii="Calibri" w:hAnsi="Calibri"/>
                <w:b/>
                <w:color w:themeColor="background1" w:themeShade="f2" w:val="F2F2F2"/>
                <w:sz w:val="20"/>
                <w:szCs w:val="20"/>
                <w:lang w:val="en-US" w:eastAsia="en-US" w:bidi="ar-SA"/>
              </w:rPr>
              <w:t>PRISMA-ScR CHECKLIST ITEM</w:t>
            </w:r>
          </w:p>
        </w:tc>
        <w:tc>
          <w:tcPr>
            <w:tcW w:w="1705" w:type="dxa"/>
            <w:tcBorders/>
            <w:shd w:color="auto" w:fill="156082" w:themeFill="accent1" w:val="clear"/>
            <w:vAlign w:val="center"/>
          </w:tcPr>
          <w:p>
            <w:pPr>
              <w:pStyle w:val="Normal"/>
              <w:widowControl/>
              <w:spacing w:before="0" w:after="0"/>
              <w:jc w:val="start"/>
              <w:rPr>
                <w:rFonts w:ascii="Calibri" w:hAnsi="Calibri" w:cs="Calibri"/>
                <w:b/>
                <w:color w:themeColor="background1" w:themeShade="f2" w:val="F2F2F2"/>
                <w:sz w:val="20"/>
                <w:szCs w:val="20"/>
              </w:rPr>
            </w:pPr>
            <w:r>
              <w:rPr>
                <w:rFonts w:eastAsia="Aptos" w:cs="Calibri" w:ascii="Calibri" w:hAnsi="Calibri"/>
                <w:b/>
                <w:color w:themeColor="background1" w:themeShade="f2" w:val="F2F2F2"/>
                <w:sz w:val="20"/>
                <w:szCs w:val="20"/>
                <w:lang w:val="en-US" w:eastAsia="en-US" w:bidi="ar-SA"/>
              </w:rPr>
              <w:t>REPORTED ON PAGE #</w:t>
            </w:r>
          </w:p>
        </w:tc>
      </w:tr>
      <w:tr>
        <w:trPr/>
        <w:tc>
          <w:tcPr>
            <w:tcW w:w="9016" w:type="dxa"/>
            <w:gridSpan w:val="4"/>
            <w:tcBorders/>
            <w:shd w:color="auto" w:fill="C1E4F5" w:themeFill="accent1" w:themeFillTint="33" w:val="clear"/>
            <w:vAlign w:val="center"/>
          </w:tcPr>
          <w:p>
            <w:pPr>
              <w:pStyle w:val="Normal"/>
              <w:widowControl/>
              <w:spacing w:before="0" w:after="0"/>
              <w:jc w:val="start"/>
              <w:rPr>
                <w:rFonts w:ascii="Calibri" w:hAnsi="Calibri" w:cs="Calibri"/>
                <w:b/>
                <w:sz w:val="20"/>
                <w:szCs w:val="20"/>
              </w:rPr>
            </w:pPr>
            <w:r>
              <w:rPr>
                <w:rFonts w:eastAsia="Aptos" w:cs="Calibri" w:ascii="Calibri" w:hAnsi="Calibri"/>
                <w:b/>
                <w:sz w:val="20"/>
                <w:szCs w:val="20"/>
                <w:lang w:val="en-US" w:eastAsia="en-US" w:bidi="ar-SA"/>
              </w:rPr>
              <w:t>TITLE</w:t>
            </w:r>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Title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Identify the report as a scoping review.</w:t>
            </w:r>
          </w:p>
        </w:tc>
        <w:tc>
          <w:tcPr>
            <w:tcW w:w="1705" w:type="dxa"/>
            <w:tcBorders/>
            <w:vAlign w:val="center"/>
          </w:tcPr>
          <w:p>
            <w:pPr>
              <w:pStyle w:val="Normal"/>
              <w:widowControl/>
              <w:spacing w:before="0" w:after="0"/>
              <w:jc w:val="start"/>
              <w:rPr>
                <w:rFonts w:ascii="Calibri" w:hAnsi="Calibri" w:cs="Calibri"/>
                <w:sz w:val="20"/>
                <w:szCs w:val="20"/>
              </w:rPr>
            </w:pPr>
            <w:sdt>
              <w:sdtPr>
                <w:id w:val="-1886790070"/>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1</w:t>
                </w:r>
              </w:sdtContent>
            </w:sdt>
          </w:p>
        </w:tc>
      </w:tr>
      <w:tr>
        <w:trPr/>
        <w:tc>
          <w:tcPr>
            <w:tcW w:w="9016" w:type="dxa"/>
            <w:gridSpan w:val="4"/>
            <w:tcBorders/>
            <w:shd w:color="auto" w:fill="C1E4F5" w:themeFill="accent1" w:themeFillTint="33" w:val="clear"/>
            <w:vAlign w:val="center"/>
          </w:tcPr>
          <w:p>
            <w:pPr>
              <w:pStyle w:val="Normal"/>
              <w:widowControl/>
              <w:spacing w:before="0" w:after="0"/>
              <w:jc w:val="start"/>
              <w:rPr>
                <w:rFonts w:ascii="Calibri" w:hAnsi="Calibri" w:cs="Calibri"/>
                <w:b/>
                <w:sz w:val="20"/>
                <w:szCs w:val="20"/>
              </w:rPr>
            </w:pPr>
            <w:r>
              <w:rPr>
                <w:rFonts w:eastAsia="Aptos" w:cs="Calibri" w:ascii="Calibri" w:hAnsi="Calibri"/>
                <w:b/>
                <w:sz w:val="20"/>
                <w:szCs w:val="20"/>
                <w:lang w:val="en-US" w:eastAsia="en-US" w:bidi="ar-SA"/>
              </w:rPr>
              <w:t>ABSTRACT</w:t>
            </w:r>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Structured summary</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2</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Provide a structured summary that includes (as applicable): background, objectives, eligibility criteria, sources of evidence, charting methods, results, and conclusions that relate to the review questions and objectives.</w:t>
            </w:r>
          </w:p>
        </w:tc>
        <w:tc>
          <w:tcPr>
            <w:tcW w:w="1705" w:type="dxa"/>
            <w:tcBorders/>
            <w:vAlign w:val="center"/>
          </w:tcPr>
          <w:p>
            <w:pPr>
              <w:pStyle w:val="Normal"/>
              <w:widowControl/>
              <w:spacing w:before="0" w:after="0"/>
              <w:jc w:val="start"/>
              <w:rPr>
                <w:rFonts w:ascii="Calibri" w:hAnsi="Calibri" w:cs="Calibri"/>
                <w:sz w:val="20"/>
                <w:szCs w:val="20"/>
              </w:rPr>
            </w:pPr>
            <w:sdt>
              <w:sdtPr>
                <w:id w:val="1190178197"/>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2-3</w:t>
                </w:r>
              </w:sdtContent>
            </w:sdt>
          </w:p>
        </w:tc>
      </w:tr>
      <w:tr>
        <w:trPr/>
        <w:tc>
          <w:tcPr>
            <w:tcW w:w="9016" w:type="dxa"/>
            <w:gridSpan w:val="4"/>
            <w:tcBorders/>
            <w:shd w:color="auto" w:fill="C1E4F5" w:themeFill="accent1" w:themeFillTint="33" w:val="clear"/>
            <w:vAlign w:val="center"/>
          </w:tcPr>
          <w:p>
            <w:pPr>
              <w:pStyle w:val="Normal"/>
              <w:widowControl/>
              <w:tabs>
                <w:tab w:val="clear" w:pos="720"/>
                <w:tab w:val="left" w:pos="1774" w:leader="none"/>
              </w:tabs>
              <w:spacing w:before="0" w:after="0"/>
              <w:jc w:val="start"/>
              <w:rPr>
                <w:rFonts w:ascii="Calibri" w:hAnsi="Calibri" w:cs="Calibri"/>
                <w:b/>
                <w:sz w:val="20"/>
                <w:szCs w:val="20"/>
              </w:rPr>
            </w:pPr>
            <w:r>
              <w:rPr>
                <w:rFonts w:eastAsia="Aptos" w:cs="Calibri" w:ascii="Calibri" w:hAnsi="Calibri"/>
                <w:b/>
                <w:sz w:val="20"/>
                <w:szCs w:val="20"/>
                <w:lang w:val="en-US" w:eastAsia="en-US" w:bidi="ar-SA"/>
              </w:rPr>
              <w:t>INTRODUCTION</w:t>
            </w:r>
          </w:p>
        </w:tc>
      </w:tr>
      <w:tr>
        <w:trPr>
          <w:trHeight w:val="530" w:hRule="atLeast"/>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Rationale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3</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Describe the rationale for the review in the context of what is already known. Explain why the review questions/objectives lend themselves to a scoping review approach.</w:t>
            </w:r>
          </w:p>
        </w:tc>
        <w:tc>
          <w:tcPr>
            <w:tcW w:w="1705" w:type="dxa"/>
            <w:tcBorders/>
            <w:vAlign w:val="center"/>
          </w:tcPr>
          <w:p>
            <w:pPr>
              <w:pStyle w:val="Normal"/>
              <w:widowControl/>
              <w:spacing w:before="0" w:after="0"/>
              <w:jc w:val="start"/>
              <w:rPr>
                <w:rFonts w:ascii="Calibri" w:hAnsi="Calibri" w:cs="Calibri"/>
                <w:sz w:val="20"/>
                <w:szCs w:val="20"/>
              </w:rPr>
            </w:pPr>
            <w:sdt>
              <w:sdtPr>
                <w:id w:val="56057269"/>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4-5</w:t>
                </w:r>
              </w:sdtContent>
            </w:sdt>
          </w:p>
        </w:tc>
      </w:tr>
      <w:tr>
        <w:trPr>
          <w:trHeight w:val="800" w:hRule="atLeast"/>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Objectives</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4</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Provide an explicit statement of the questions and objectives being addressed with reference to their key elements (e.g., population or participants, concepts, and context) or other relevant key elements used to conceptualize the review questions and/or objectives.</w:t>
            </w:r>
          </w:p>
        </w:tc>
        <w:tc>
          <w:tcPr>
            <w:tcW w:w="1705" w:type="dxa"/>
            <w:tcBorders/>
            <w:vAlign w:val="center"/>
          </w:tcPr>
          <w:p>
            <w:pPr>
              <w:pStyle w:val="Normal"/>
              <w:widowControl/>
              <w:spacing w:before="0" w:after="0"/>
              <w:jc w:val="start"/>
              <w:rPr>
                <w:rFonts w:ascii="Calibri" w:hAnsi="Calibri" w:cs="Calibri"/>
                <w:sz w:val="20"/>
                <w:szCs w:val="20"/>
              </w:rPr>
            </w:pPr>
            <w:sdt>
              <w:sdtPr>
                <w:id w:val="-1797599034"/>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5</w:t>
                </w:r>
              </w:sdtContent>
            </w:sdt>
          </w:p>
        </w:tc>
      </w:tr>
      <w:tr>
        <w:trPr/>
        <w:tc>
          <w:tcPr>
            <w:tcW w:w="9016" w:type="dxa"/>
            <w:gridSpan w:val="4"/>
            <w:tcBorders/>
            <w:shd w:color="auto" w:fill="C1E4F5" w:themeFill="accent1" w:themeFillTint="33" w:val="clear"/>
            <w:vAlign w:val="center"/>
          </w:tcPr>
          <w:p>
            <w:pPr>
              <w:pStyle w:val="Normal"/>
              <w:widowControl/>
              <w:spacing w:before="0" w:after="0"/>
              <w:jc w:val="start"/>
              <w:rPr>
                <w:rFonts w:ascii="Calibri" w:hAnsi="Calibri" w:cs="Calibri"/>
                <w:b/>
                <w:sz w:val="20"/>
                <w:szCs w:val="20"/>
              </w:rPr>
            </w:pPr>
            <w:r>
              <w:rPr>
                <w:rFonts w:eastAsia="Aptos" w:cs="Calibri" w:ascii="Calibri" w:hAnsi="Calibri"/>
                <w:b/>
                <w:sz w:val="20"/>
                <w:szCs w:val="20"/>
                <w:lang w:val="en-US" w:eastAsia="en-US" w:bidi="ar-SA"/>
              </w:rPr>
              <w:t>METHODS</w:t>
            </w:r>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Protocol and registration</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5</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Indicate whether a review protocol exists; state if and where it can be accessed (e.g., a Web address); and if available, provide registration information, including the registration number.</w:t>
            </w:r>
          </w:p>
        </w:tc>
        <w:tc>
          <w:tcPr>
            <w:tcW w:w="1705" w:type="dxa"/>
            <w:tcBorders/>
            <w:vAlign w:val="center"/>
          </w:tcPr>
          <w:p>
            <w:pPr>
              <w:pStyle w:val="Normal"/>
              <w:widowControl/>
              <w:spacing w:before="0" w:after="0"/>
              <w:jc w:val="start"/>
              <w:rPr>
                <w:rFonts w:ascii="Calibri" w:hAnsi="Calibri" w:cs="Calibri"/>
                <w:sz w:val="20"/>
                <w:szCs w:val="20"/>
              </w:rPr>
            </w:pPr>
            <w:sdt>
              <w:sdtPr>
                <w:id w:val="-1888323895"/>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6</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Eligibility criteria</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6</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Specify characteristics of the sources of evidence used as eligibility criteria (e.g., years considered, language, and publication status), and provide a rationale.</w:t>
            </w:r>
          </w:p>
        </w:tc>
        <w:tc>
          <w:tcPr>
            <w:tcW w:w="1705" w:type="dxa"/>
            <w:tcBorders/>
            <w:vAlign w:val="center"/>
          </w:tcPr>
          <w:p>
            <w:pPr>
              <w:pStyle w:val="Normal"/>
              <w:widowControl/>
              <w:spacing w:before="0" w:after="0"/>
              <w:jc w:val="start"/>
              <w:rPr>
                <w:rFonts w:ascii="Calibri" w:hAnsi="Calibri" w:cs="Calibri"/>
                <w:sz w:val="20"/>
                <w:szCs w:val="20"/>
              </w:rPr>
            </w:pPr>
            <w:sdt>
              <w:sdtPr>
                <w:id w:val="623510431"/>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6, Table 2</w:t>
                </w:r>
              </w:sdtContent>
            </w:sdt>
          </w:p>
        </w:tc>
      </w:tr>
      <w:tr>
        <w:trPr>
          <w:trHeight w:val="260" w:hRule="atLeast"/>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Information sources*</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7</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Describe all information sources in the search (e.g., databases with dates of coverage and contact with authors to identify additional sources), as well as the date the most recent search was executed.</w:t>
            </w:r>
          </w:p>
        </w:tc>
        <w:tc>
          <w:tcPr>
            <w:tcW w:w="1705" w:type="dxa"/>
            <w:tcBorders/>
            <w:vAlign w:val="center"/>
          </w:tcPr>
          <w:p>
            <w:pPr>
              <w:pStyle w:val="Normal"/>
              <w:widowControl/>
              <w:spacing w:before="0" w:after="0"/>
              <w:jc w:val="start"/>
              <w:rPr>
                <w:rFonts w:ascii="Calibri" w:hAnsi="Calibri" w:cs="Calibri"/>
                <w:sz w:val="20"/>
                <w:szCs w:val="20"/>
              </w:rPr>
            </w:pPr>
            <w:sdt>
              <w:sdtPr>
                <w:id w:val="1510949160"/>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6</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Search</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8</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Present the full electronic search strategy for at least 1 database, including any limits used, such that it could be repeated.</w:t>
            </w:r>
          </w:p>
        </w:tc>
        <w:tc>
          <w:tcPr>
            <w:tcW w:w="1705" w:type="dxa"/>
            <w:tcBorders/>
            <w:vAlign w:val="center"/>
          </w:tcPr>
          <w:p>
            <w:pPr>
              <w:pStyle w:val="Normal"/>
              <w:widowControl/>
              <w:spacing w:before="0" w:after="0"/>
              <w:jc w:val="start"/>
              <w:rPr>
                <w:rFonts w:ascii="Calibri" w:hAnsi="Calibri" w:cs="Calibri"/>
                <w:sz w:val="20"/>
                <w:szCs w:val="20"/>
              </w:rPr>
            </w:pPr>
            <w:sdt>
              <w:sdtPr>
                <w:id w:val="964171142"/>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12, Supplementary Table 2</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Selection of sources of evidence†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9</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State the process for selecting sources of evidence (i.e., screening and eligibility) included in the scoping review.</w:t>
            </w:r>
          </w:p>
        </w:tc>
        <w:tc>
          <w:tcPr>
            <w:tcW w:w="1705" w:type="dxa"/>
            <w:tcBorders/>
            <w:vAlign w:val="center"/>
          </w:tcPr>
          <w:p>
            <w:pPr>
              <w:pStyle w:val="Normal"/>
              <w:widowControl/>
              <w:spacing w:before="0" w:after="0"/>
              <w:jc w:val="start"/>
              <w:rPr>
                <w:rFonts w:ascii="Calibri" w:hAnsi="Calibri" w:cs="Calibri"/>
                <w:sz w:val="20"/>
                <w:szCs w:val="20"/>
              </w:rPr>
            </w:pPr>
            <w:sdt>
              <w:sdtPr>
                <w:id w:val="-2090377787"/>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6-7</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Data charting process‡</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10</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1705" w:type="dxa"/>
            <w:tcBorders/>
            <w:vAlign w:val="center"/>
          </w:tcPr>
          <w:p>
            <w:pPr>
              <w:pStyle w:val="Normal"/>
              <w:widowControl/>
              <w:spacing w:before="0" w:after="0"/>
              <w:jc w:val="start"/>
              <w:rPr>
                <w:rFonts w:ascii="Calibri" w:hAnsi="Calibri" w:cs="Calibri"/>
                <w:sz w:val="20"/>
                <w:szCs w:val="20"/>
              </w:rPr>
            </w:pPr>
            <w:sdt>
              <w:sdtPr>
                <w:id w:val="1943252725"/>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7</w:t>
                </w:r>
              </w:sdtContent>
            </w:sdt>
          </w:p>
        </w:tc>
      </w:tr>
      <w:tr>
        <w:trPr>
          <w:trHeight w:val="260" w:hRule="atLeast"/>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Data items</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11</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List and define all variables for which data were sought and any assumptions and simplifications made.</w:t>
            </w:r>
          </w:p>
        </w:tc>
        <w:tc>
          <w:tcPr>
            <w:tcW w:w="1705" w:type="dxa"/>
            <w:tcBorders/>
            <w:vAlign w:val="center"/>
          </w:tcPr>
          <w:p>
            <w:pPr>
              <w:pStyle w:val="Normal"/>
              <w:widowControl/>
              <w:spacing w:before="0" w:after="0"/>
              <w:jc w:val="start"/>
              <w:rPr>
                <w:rFonts w:ascii="Calibri" w:hAnsi="Calibri" w:cs="Calibri"/>
                <w:sz w:val="20"/>
                <w:szCs w:val="20"/>
              </w:rPr>
            </w:pPr>
            <w:sdt>
              <w:sdtPr>
                <w:id w:val="667444934"/>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7</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Critical appraisal of individual sources of evidence§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12</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If done, provide a rationale for conducting a critical appraisal of included sources of evidence; describe the methods used and how this information was used in any data synthesis (if appropriate).</w:t>
            </w:r>
          </w:p>
        </w:tc>
        <w:tc>
          <w:tcPr>
            <w:tcW w:w="1705" w:type="dxa"/>
            <w:tcBorders/>
            <w:vAlign w:val="center"/>
          </w:tcPr>
          <w:p>
            <w:pPr>
              <w:pStyle w:val="Normal"/>
              <w:widowControl/>
              <w:spacing w:before="0" w:after="0"/>
              <w:jc w:val="start"/>
              <w:rPr>
                <w:rFonts w:ascii="Calibri" w:hAnsi="Calibri" w:cs="Calibri"/>
                <w:sz w:val="20"/>
                <w:szCs w:val="20"/>
              </w:rPr>
            </w:pPr>
            <w:sdt>
              <w:sdtPr>
                <w:id w:val="-336618198"/>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7</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Synthesis of results</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13</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Describe the methods of handling and summarizing the data that were charted.</w:t>
            </w:r>
          </w:p>
        </w:tc>
        <w:tc>
          <w:tcPr>
            <w:tcW w:w="1705" w:type="dxa"/>
            <w:tcBorders/>
            <w:vAlign w:val="center"/>
          </w:tcPr>
          <w:p>
            <w:pPr>
              <w:pStyle w:val="Normal"/>
              <w:widowControl/>
              <w:spacing w:before="0" w:after="0"/>
              <w:jc w:val="start"/>
              <w:rPr>
                <w:rFonts w:ascii="Calibri" w:hAnsi="Calibri" w:cs="Calibri"/>
                <w:sz w:val="20"/>
                <w:szCs w:val="20"/>
              </w:rPr>
            </w:pPr>
            <w:sdt>
              <w:sdtPr>
                <w:id w:val="1751841620"/>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7</w:t>
                </w:r>
              </w:sdtContent>
            </w:sdt>
          </w:p>
        </w:tc>
      </w:tr>
      <w:tr>
        <w:trPr/>
        <w:tc>
          <w:tcPr>
            <w:tcW w:w="9016" w:type="dxa"/>
            <w:gridSpan w:val="4"/>
            <w:tcBorders/>
            <w:shd w:color="auto" w:fill="C1E4F5" w:themeFill="accent1" w:themeFillTint="33" w:val="clear"/>
            <w:vAlign w:val="center"/>
          </w:tcPr>
          <w:p>
            <w:pPr>
              <w:pStyle w:val="Normal"/>
              <w:widowControl/>
              <w:spacing w:before="0" w:after="0"/>
              <w:jc w:val="start"/>
              <w:rPr>
                <w:rFonts w:ascii="Calibri" w:hAnsi="Calibri" w:cs="Calibri"/>
                <w:b/>
                <w:sz w:val="20"/>
                <w:szCs w:val="20"/>
              </w:rPr>
            </w:pPr>
            <w:r>
              <w:rPr>
                <w:rFonts w:eastAsia="Aptos" w:cs="Calibri" w:ascii="Calibri" w:hAnsi="Calibri"/>
                <w:b/>
                <w:sz w:val="20"/>
                <w:szCs w:val="20"/>
                <w:lang w:val="en-US" w:eastAsia="en-US" w:bidi="ar-SA"/>
              </w:rPr>
              <w:t>RESULTS</w:t>
            </w:r>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Selection of sources of evidence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14</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Give numbers of sources of evidence screened, assessed for eligibility, and included in the review, with reasons for exclusions at each stage, ideally using a flow diagram.</w:t>
            </w:r>
          </w:p>
        </w:tc>
        <w:tc>
          <w:tcPr>
            <w:tcW w:w="1705" w:type="dxa"/>
            <w:tcBorders/>
            <w:vAlign w:val="center"/>
          </w:tcPr>
          <w:p>
            <w:pPr>
              <w:pStyle w:val="Normal"/>
              <w:widowControl/>
              <w:spacing w:before="0" w:after="0"/>
              <w:jc w:val="start"/>
              <w:rPr>
                <w:rFonts w:ascii="Calibri" w:hAnsi="Calibri" w:cs="Calibri"/>
                <w:sz w:val="20"/>
                <w:szCs w:val="20"/>
              </w:rPr>
            </w:pPr>
            <w:sdt>
              <w:sdtPr>
                <w:id w:val="-83771692"/>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8, Figure 1</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Characteristics of sources of evidence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15</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For each source of evidence, present characteristics for which data were charted and provide the citations.</w:t>
            </w:r>
          </w:p>
        </w:tc>
        <w:tc>
          <w:tcPr>
            <w:tcW w:w="1705" w:type="dxa"/>
            <w:tcBorders/>
            <w:vAlign w:val="center"/>
          </w:tcPr>
          <w:p>
            <w:pPr>
              <w:pStyle w:val="Normal"/>
              <w:widowControl/>
              <w:spacing w:before="0" w:after="0"/>
              <w:jc w:val="start"/>
              <w:rPr>
                <w:rFonts w:ascii="Calibri" w:hAnsi="Calibri" w:cs="Calibri"/>
                <w:sz w:val="20"/>
                <w:szCs w:val="20"/>
              </w:rPr>
            </w:pPr>
            <w:sdt>
              <w:sdtPr>
                <w:id w:val="-137040765"/>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8-9, Table 3</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Critical appraisal within sources of evidence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16</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If done, present data on critical appraisal of included sources of evidence (see item 12).</w:t>
            </w:r>
          </w:p>
        </w:tc>
        <w:tc>
          <w:tcPr>
            <w:tcW w:w="1705" w:type="dxa"/>
            <w:tcBorders/>
            <w:vAlign w:val="center"/>
          </w:tcPr>
          <w:p>
            <w:pPr>
              <w:pStyle w:val="Normal"/>
              <w:widowControl/>
              <w:spacing w:before="0" w:after="0"/>
              <w:jc w:val="start"/>
              <w:rPr>
                <w:rFonts w:ascii="Calibri" w:hAnsi="Calibri" w:cs="Calibri"/>
                <w:sz w:val="20"/>
                <w:szCs w:val="20"/>
              </w:rPr>
            </w:pPr>
            <w:sdt>
              <w:sdtPr>
                <w:id w:val="945268124"/>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8-11, Tables 3-4, Supplementary Table 3</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Results of individual sources of evidence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17</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For each included source of evidence, present the relevant data that were charted that relate to the review questions and objectives.</w:t>
            </w:r>
          </w:p>
        </w:tc>
        <w:tc>
          <w:tcPr>
            <w:tcW w:w="1705" w:type="dxa"/>
            <w:tcBorders/>
            <w:vAlign w:val="center"/>
          </w:tcPr>
          <w:p>
            <w:pPr>
              <w:pStyle w:val="Normal"/>
              <w:widowControl/>
              <w:spacing w:before="0" w:after="0"/>
              <w:jc w:val="start"/>
              <w:rPr>
                <w:rFonts w:ascii="Calibri" w:hAnsi="Calibri" w:cs="Calibri"/>
                <w:sz w:val="20"/>
                <w:szCs w:val="20"/>
              </w:rPr>
            </w:pPr>
            <w:sdt>
              <w:sdtPr>
                <w:id w:val="-1628242984"/>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Tables 3-5, Supplementary Tables 4-5</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Synthesis of results</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18</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Summarize and/or present the charting results as they relate to the review questions and objectives.</w:t>
            </w:r>
          </w:p>
        </w:tc>
        <w:tc>
          <w:tcPr>
            <w:tcW w:w="1705" w:type="dxa"/>
            <w:tcBorders/>
            <w:vAlign w:val="center"/>
          </w:tcPr>
          <w:p>
            <w:pPr>
              <w:pStyle w:val="Normal"/>
              <w:widowControl/>
              <w:spacing w:before="0" w:after="0"/>
              <w:jc w:val="start"/>
              <w:rPr>
                <w:rFonts w:ascii="Calibri" w:hAnsi="Calibri" w:cs="Calibri"/>
                <w:sz w:val="20"/>
                <w:szCs w:val="20"/>
              </w:rPr>
            </w:pPr>
            <w:sdt>
              <w:sdtPr>
                <w:id w:val="547573417"/>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8-11</w:t>
                </w:r>
              </w:sdtContent>
            </w:sdt>
          </w:p>
        </w:tc>
      </w:tr>
      <w:tr>
        <w:trPr/>
        <w:tc>
          <w:tcPr>
            <w:tcW w:w="9016" w:type="dxa"/>
            <w:gridSpan w:val="4"/>
            <w:tcBorders/>
            <w:shd w:color="auto" w:fill="C1E4F5" w:themeFill="accent1" w:themeFillTint="33" w:val="clear"/>
            <w:vAlign w:val="center"/>
          </w:tcPr>
          <w:p>
            <w:pPr>
              <w:pStyle w:val="Normal"/>
              <w:widowControl/>
              <w:spacing w:before="0" w:after="0"/>
              <w:jc w:val="start"/>
              <w:rPr>
                <w:rFonts w:ascii="Calibri" w:hAnsi="Calibri" w:cs="Calibri"/>
                <w:b/>
                <w:sz w:val="20"/>
                <w:szCs w:val="20"/>
              </w:rPr>
            </w:pPr>
            <w:r>
              <w:rPr>
                <w:rFonts w:eastAsia="Aptos" w:cs="Calibri" w:ascii="Calibri" w:hAnsi="Calibri"/>
                <w:b/>
                <w:sz w:val="20"/>
                <w:szCs w:val="20"/>
                <w:lang w:val="en-US" w:eastAsia="en-US" w:bidi="ar-SA"/>
              </w:rPr>
              <w:t>DISCUSSION</w:t>
            </w:r>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Summary of evidence</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19</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Summarize the main results (including an overview of concepts, themes, and types of evidence available), link to the review questions and objectives, and consider the relevance to key groups.</w:t>
            </w:r>
          </w:p>
        </w:tc>
        <w:tc>
          <w:tcPr>
            <w:tcW w:w="1705" w:type="dxa"/>
            <w:tcBorders/>
            <w:vAlign w:val="center"/>
          </w:tcPr>
          <w:p>
            <w:pPr>
              <w:pStyle w:val="Normal"/>
              <w:widowControl/>
              <w:spacing w:before="0" w:after="0"/>
              <w:jc w:val="start"/>
              <w:rPr>
                <w:rFonts w:ascii="Calibri" w:hAnsi="Calibri" w:cs="Calibri"/>
                <w:sz w:val="20"/>
                <w:szCs w:val="20"/>
              </w:rPr>
            </w:pPr>
            <w:sdt>
              <w:sdtPr>
                <w:id w:val="1890606668"/>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11-13</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Limitations</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20</w:t>
            </w:r>
          </w:p>
        </w:tc>
        <w:tc>
          <w:tcPr>
            <w:tcW w:w="4718" w:type="dxa"/>
            <w:tcBorders/>
            <w:vAlign w:val="center"/>
          </w:tcPr>
          <w:p>
            <w:pPr>
              <w:pStyle w:val="Normal"/>
              <w:widowControl/>
              <w:spacing w:before="0" w:after="0"/>
              <w:jc w:val="start"/>
              <w:rPr>
                <w:rFonts w:ascii="Calibri" w:hAnsi="Calibri" w:cs="Calibri"/>
                <w:b/>
                <w:i/>
                <w:sz w:val="20"/>
                <w:szCs w:val="20"/>
              </w:rPr>
            </w:pPr>
            <w:r>
              <w:rPr>
                <w:rFonts w:eastAsia="Aptos" w:cs="Calibri" w:ascii="Calibri" w:hAnsi="Calibri"/>
                <w:sz w:val="20"/>
                <w:szCs w:val="20"/>
                <w:lang w:val="en-US" w:eastAsia="en-US" w:bidi="ar-SA"/>
              </w:rPr>
              <w:t>Discuss the limitations of the scoping review process.</w:t>
            </w:r>
          </w:p>
        </w:tc>
        <w:tc>
          <w:tcPr>
            <w:tcW w:w="1705" w:type="dxa"/>
            <w:tcBorders/>
            <w:vAlign w:val="center"/>
          </w:tcPr>
          <w:p>
            <w:pPr>
              <w:pStyle w:val="Normal"/>
              <w:widowControl/>
              <w:spacing w:before="0" w:after="0"/>
              <w:jc w:val="start"/>
              <w:rPr>
                <w:rFonts w:ascii="Calibri" w:hAnsi="Calibri" w:cs="Calibri"/>
                <w:sz w:val="20"/>
                <w:szCs w:val="20"/>
              </w:rPr>
            </w:pPr>
            <w:sdt>
              <w:sdtPr>
                <w:id w:val="-1476291050"/>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14-15</w:t>
                </w:r>
              </w:sdtContent>
            </w:sdt>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Conclusions</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21</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Provide a general interpretation of the results with respect to the review questions and objectives, as well as potential implications and/or next steps.</w:t>
            </w:r>
          </w:p>
        </w:tc>
        <w:tc>
          <w:tcPr>
            <w:tcW w:w="1705" w:type="dxa"/>
            <w:tcBorders/>
            <w:vAlign w:val="center"/>
          </w:tcPr>
          <w:p>
            <w:pPr>
              <w:pStyle w:val="Normal"/>
              <w:widowControl/>
              <w:spacing w:before="0" w:after="0"/>
              <w:jc w:val="start"/>
              <w:rPr>
                <w:rFonts w:ascii="Calibri" w:hAnsi="Calibri" w:cs="Calibri"/>
                <w:sz w:val="20"/>
                <w:szCs w:val="20"/>
              </w:rPr>
            </w:pPr>
            <w:sdt>
              <w:sdtPr>
                <w:id w:val="-1052302124"/>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16</w:t>
                </w:r>
              </w:sdtContent>
            </w:sdt>
          </w:p>
        </w:tc>
      </w:tr>
      <w:tr>
        <w:trPr/>
        <w:tc>
          <w:tcPr>
            <w:tcW w:w="9016" w:type="dxa"/>
            <w:gridSpan w:val="4"/>
            <w:tcBorders/>
            <w:shd w:color="auto" w:fill="C1E4F5" w:themeFill="accent1" w:themeFillTint="33" w:val="clear"/>
            <w:vAlign w:val="center"/>
          </w:tcPr>
          <w:p>
            <w:pPr>
              <w:pStyle w:val="Normal"/>
              <w:widowControl/>
              <w:spacing w:before="0" w:after="0"/>
              <w:jc w:val="start"/>
              <w:rPr>
                <w:rFonts w:ascii="Calibri" w:hAnsi="Calibri" w:cs="Calibri"/>
                <w:b/>
                <w:sz w:val="20"/>
                <w:szCs w:val="20"/>
              </w:rPr>
            </w:pPr>
            <w:r>
              <w:rPr>
                <w:rFonts w:eastAsia="Aptos" w:cs="Calibri" w:ascii="Calibri" w:hAnsi="Calibri"/>
                <w:b/>
                <w:sz w:val="20"/>
                <w:szCs w:val="20"/>
                <w:lang w:val="en-US" w:eastAsia="en-US" w:bidi="ar-SA"/>
              </w:rPr>
              <w:t>FUNDING</w:t>
            </w:r>
          </w:p>
        </w:tc>
      </w:tr>
      <w:tr>
        <w:trPr/>
        <w:tc>
          <w:tcPr>
            <w:tcW w:w="1952" w:type="dxa"/>
            <w:tcBorders/>
            <w:vAlign w:val="center"/>
          </w:tcPr>
          <w:p>
            <w:pPr>
              <w:pStyle w:val="Normal"/>
              <w:widowControl/>
              <w:spacing w:before="0" w:after="0"/>
              <w:ind w:start="180"/>
              <w:jc w:val="start"/>
              <w:rPr>
                <w:rFonts w:ascii="Calibri" w:hAnsi="Calibri" w:cs="Calibri"/>
                <w:sz w:val="20"/>
                <w:szCs w:val="20"/>
              </w:rPr>
            </w:pPr>
            <w:r>
              <w:rPr>
                <w:rFonts w:eastAsia="Aptos" w:cs="Calibri" w:ascii="Calibri" w:hAnsi="Calibri"/>
                <w:sz w:val="20"/>
                <w:szCs w:val="20"/>
                <w:lang w:val="en-US" w:eastAsia="en-US" w:bidi="ar-SA"/>
              </w:rPr>
              <w:t>Funding</w:t>
            </w:r>
          </w:p>
        </w:tc>
        <w:tc>
          <w:tcPr>
            <w:tcW w:w="641" w:type="dxa"/>
            <w:tcBorders/>
            <w:vAlign w:val="center"/>
          </w:tcPr>
          <w:p>
            <w:pPr>
              <w:pStyle w:val="Normal"/>
              <w:widowControl/>
              <w:spacing w:before="0" w:after="0"/>
              <w:jc w:val="center"/>
              <w:rPr>
                <w:rFonts w:ascii="Calibri" w:hAnsi="Calibri" w:cs="Calibri"/>
                <w:sz w:val="20"/>
                <w:szCs w:val="20"/>
              </w:rPr>
            </w:pPr>
            <w:r>
              <w:rPr>
                <w:rFonts w:eastAsia="Aptos" w:cs="Calibri" w:ascii="Calibri" w:hAnsi="Calibri"/>
                <w:sz w:val="20"/>
                <w:szCs w:val="20"/>
                <w:lang w:val="en-US" w:eastAsia="en-US" w:bidi="ar-SA"/>
              </w:rPr>
              <w:t>22</w:t>
            </w:r>
          </w:p>
        </w:tc>
        <w:tc>
          <w:tcPr>
            <w:tcW w:w="4718" w:type="dxa"/>
            <w:tcBorders/>
            <w:vAlign w:val="center"/>
          </w:tcPr>
          <w:p>
            <w:pPr>
              <w:pStyle w:val="Normal"/>
              <w:widowControl/>
              <w:spacing w:before="0" w:after="0"/>
              <w:jc w:val="start"/>
              <w:rPr>
                <w:rFonts w:ascii="Calibri" w:hAnsi="Calibri" w:cs="Calibri"/>
                <w:sz w:val="20"/>
                <w:szCs w:val="20"/>
              </w:rPr>
            </w:pPr>
            <w:r>
              <w:rPr>
                <w:rFonts w:eastAsia="Aptos" w:cs="Calibri" w:ascii="Calibri" w:hAnsi="Calibri"/>
                <w:sz w:val="20"/>
                <w:szCs w:val="20"/>
                <w:lang w:val="en-US" w:eastAsia="en-US" w:bidi="ar-SA"/>
              </w:rPr>
              <w:t>Describe sources of funding for the included sources of evidence, as well as sources of funding for the scoping review. Describe the role of the funders of the scoping review.</w:t>
            </w:r>
          </w:p>
        </w:tc>
        <w:tc>
          <w:tcPr>
            <w:tcW w:w="1705" w:type="dxa"/>
            <w:tcBorders/>
            <w:vAlign w:val="center"/>
          </w:tcPr>
          <w:p>
            <w:pPr>
              <w:pStyle w:val="Normal"/>
              <w:widowControl/>
              <w:spacing w:before="0" w:after="0"/>
              <w:jc w:val="start"/>
              <w:rPr>
                <w:rFonts w:ascii="Calibri" w:hAnsi="Calibri" w:cs="Calibri"/>
                <w:sz w:val="20"/>
                <w:szCs w:val="20"/>
              </w:rPr>
            </w:pPr>
            <w:sdt>
              <w:sdtPr>
                <w:id w:val="-1660921886"/>
                <w:placeholder>
                  <w:docPart w:val="FCE43AA615EB4701A7C51296BD5480EB"/>
                </w:placeholder>
                <w:text/>
              </w:sdtPr>
              <w:sdtContent>
                <w:r>
                  <w:rPr>
                    <w:rFonts w:eastAsia="Aptos" w:cs="Calibri" w:ascii="Calibri" w:hAnsi="Calibri"/>
                    <w:sz w:val="20"/>
                    <w:szCs w:val="20"/>
                    <w:lang w:val="en-US" w:eastAsia="en-US" w:bidi="ar-SA"/>
                  </w:rPr>
                </w:r>
                <w:r>
                  <w:rPr>
                    <w:rFonts w:eastAsia="Aptos" w:cs="Calibri" w:ascii="Calibri" w:hAnsi="Calibri"/>
                    <w:sz w:val="20"/>
                    <w:szCs w:val="20"/>
                    <w:lang w:val="en-US" w:eastAsia="en-US" w:bidi="ar-SA"/>
                  </w:rPr>
                  <w:t>17</w:t>
                </w:r>
              </w:sdtContent>
            </w:sdt>
          </w:p>
        </w:tc>
      </w:tr>
    </w:tbl>
    <w:p>
      <w:pPr>
        <w:pStyle w:val="Normal"/>
        <w:rPr>
          <w:rFonts w:ascii="Calibri" w:hAnsi="Calibri" w:cs="Calibri"/>
        </w:rPr>
      </w:pPr>
      <w:r>
        <w:rPr>
          <w:rFonts w:cs="Calibri" w:ascii="Calibri" w:hAnsi="Calibri"/>
        </w:rPr>
      </w:r>
    </w:p>
    <w:p>
      <w:pPr>
        <w:pStyle w:val="Normal"/>
        <w:rPr>
          <w:rFonts w:ascii="Calibri" w:hAnsi="Calibri" w:cs="Calibri"/>
          <w:b/>
          <w:bCs/>
        </w:rPr>
      </w:pPr>
      <w:r>
        <w:rPr>
          <w:rFonts w:cs="Calibri" w:ascii="Calibri" w:hAnsi="Calibri"/>
          <w:b/>
          <w:bCs/>
        </w:rPr>
      </w:r>
      <w:r>
        <w:br w:type="page"/>
      </w:r>
    </w:p>
    <w:p>
      <w:pPr>
        <w:pStyle w:val="Normal"/>
        <w:spacing w:before="0" w:after="160"/>
        <w:rPr>
          <w:rFonts w:ascii="Calibri" w:hAnsi="Calibri" w:cs="Calibri"/>
          <w:b/>
          <w:bCs/>
          <w:i/>
          <w:iCs/>
        </w:rPr>
      </w:pPr>
      <w:r>
        <w:rPr>
          <w:rFonts w:cs="Calibri" w:ascii="Calibri" w:hAnsi="Calibri"/>
          <w:b/>
          <w:bCs/>
        </w:rPr>
        <w:t>Supplementary Table 2: Complete search strategy for each database</w:t>
      </w:r>
    </w:p>
    <w:tbl>
      <w:tblPr>
        <w:tblStyle w:val="TableGrid"/>
        <w:tblW w:w="9348"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126"/>
        <w:gridCol w:w="7222"/>
      </w:tblGrid>
      <w:tr>
        <w:trPr>
          <w:trHeight w:val="267" w:hRule="atLeast"/>
        </w:trPr>
        <w:tc>
          <w:tcPr>
            <w:tcW w:w="2126" w:type="dxa"/>
            <w:tcBorders>
              <w:start w:val="nil"/>
            </w:tcBorders>
          </w:tcPr>
          <w:p>
            <w:pPr>
              <w:pStyle w:val="Normal"/>
              <w:widowControl/>
              <w:spacing w:before="0" w:after="0"/>
              <w:jc w:val="start"/>
              <w:rPr>
                <w:rFonts w:ascii="Calibri" w:hAnsi="Calibri" w:cs="Calibri"/>
                <w:b/>
                <w:bCs/>
              </w:rPr>
            </w:pPr>
            <w:r>
              <w:rPr>
                <w:rFonts w:eastAsia="Aptos" w:cs="Calibri" w:ascii="Calibri" w:hAnsi="Calibri"/>
                <w:b/>
                <w:bCs/>
                <w:lang w:val="en-AU" w:eastAsia="en-US" w:bidi="ar-SA"/>
              </w:rPr>
              <w:t>Database</w:t>
            </w:r>
          </w:p>
        </w:tc>
        <w:tc>
          <w:tcPr>
            <w:tcW w:w="7222" w:type="dxa"/>
            <w:tcBorders>
              <w:end w:val="nil"/>
            </w:tcBorders>
          </w:tcPr>
          <w:p>
            <w:pPr>
              <w:pStyle w:val="Normal"/>
              <w:widowControl/>
              <w:spacing w:before="0" w:after="0"/>
              <w:jc w:val="start"/>
              <w:rPr>
                <w:rFonts w:ascii="Calibri" w:hAnsi="Calibri" w:cs="Calibri"/>
                <w:b/>
                <w:bCs/>
              </w:rPr>
            </w:pPr>
            <w:r>
              <w:rPr>
                <w:rFonts w:eastAsia="Aptos" w:cs="Calibri" w:ascii="Calibri" w:hAnsi="Calibri"/>
                <w:b/>
                <w:bCs/>
                <w:lang w:val="en-AU" w:eastAsia="en-US" w:bidi="ar-SA"/>
              </w:rPr>
              <w:t>Search strategy</w:t>
            </w:r>
          </w:p>
        </w:tc>
      </w:tr>
      <w:tr>
        <w:trPr>
          <w:trHeight w:val="267" w:hRule="atLeast"/>
        </w:trPr>
        <w:tc>
          <w:tcPr>
            <w:tcW w:w="2126" w:type="dxa"/>
            <w:vMerge w:val="restart"/>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PubMed</w:t>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((((((((((((medical student*[MeSH Terms]) OR (medical education[MeSH Terms])) OR (pre-registrar doctor*[Title/Abstract])) OR (pre-registration doctor*[Title/Abstract])) OR (medical schools[MeSH Terms])) OR (internship and residency[MeSH Terms])) OR (medical graduate*[Title/Abstract])) OR (junior doctor*[Title/Abstract])) OR (junior physician*[MeSH Terms])) OR (prevocational doctor*[Title/Abstract])) OR (doctor*[Title/Abstract])) OR (physician*[MeSH Terms])) NOT (dentists[MeSH Terms])</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(((((((((attract*[Title/Abstract]) OR (career pathway*[Title/Abstract])) OR (career aspiration*[Title/Abstract])) OR (career decision*[Title/Abstract])) OR (career choice*[MeSH Terms])) OR (reason*[Title/Abstract])) OR (interest*[Title/Abstract])) OR (recruit*[Title/Abstract])) OR (choos*[Title/Abstract])) OR (choice*[Title/Abstract])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specialt*[Title/Abstract]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(general*[Title/Abstract]) OR (primary care[Title/Abstract])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(specialt*[Title/Abstract]) AND ((general*[Title/Abstract]) OR (primary care[Title/Abstract]))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((((((((((general practice*[MeSH Terms]) OR (general practitioner*[MeSH Terms])) OR (primary healthcare[MeSH Terms])) OR (primary health care[Title/Abstract])) OR (primary care[MeSH Terms])) OR (family physician*[MeSH Terms])) OR (primary care physician*[MeSH Terms])) OR (family medicine[Title/Abstract])) OR (family practice[MeSH Terms])) OR (generalist*[Title/Abstract])) OR (GP[Title/Abstract])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((specialt*[Title/Abstract]) AND ((general*[Title/Abstract]) OR (primary care[Title/Abstract]))) OR (((((((((((general practice*[MeSH Terms]) OR (general practitioner*[MeSH Terms])) OR (primary healthcare[MeSH Terms])) OR (primary health care[Title/Abstract])) OR (primary care[MeSH Terms])) OR (family physician*[MeSH Terms])) OR (primary care physician*[MeSH Terms])) OR (family medicine[Title/Abstract])) OR (family practice[MeSH Terms])) OR (generalist*[Title/Abstract])) OR (GP[Title/Abstract]))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((theor*[Title/Abstract]) OR (theoretical framework[Title/Abstract])) OR (conceptual framework[Title/Abstract])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(((((((((((((((medical student*[MeSH Terms]) OR (medical education[MeSH Terms])) OR (pre-registrar doctor*[Title/Abstract])) OR (pre-registration doctor*[Title/Abstract])) OR (medical schools[MeSH Terms])) OR (internship and residency[MeSH Terms])) OR (medical graduate*[Title/Abstract])) OR (junior doctor*[Title/Abstract])) OR (junior physician*[MeSH Terms])) OR (prevocational doctor*[Title/Abstract])) OR (doctor*[Title/Abstract])) OR (physician*[MeSH Terms])) NOT (dentists[MeSH Terms])) AND (((((((((((attract*[Title/Abstract]) OR (career pathway*[Title/Abstract])) OR (career aspiration*[Title/Abstract])) OR (career decision*[Title/Abstract])) OR (career choice*[MeSH Terms])) OR (reason*[Title/Abstract])) OR (interest*[Title/Abstract])) OR (prefer*[Title/Abstract])) OR (recruit*[Title/Abstract])) OR (choos*[Title/Abstract])) OR (choice*[Title/Abstract]))) AND (((specialt*[Title/Abstract]) AND ((general*[Title/Abstract]) OR (primary care[Title/Abstract]))) OR (((((((((((general practice*[MeSH Terms]) OR (general practitioner*[MeSH Terms])) OR (primary healthcare[MeSH Terms])) OR (primary health care[Title/Abstract])) OR (primary care[MeSH Terms])) OR (family physician*[MeSH Terms])) OR (primary care physician*[MeSH Terms])) OR (family medicine[Title/Abstract])) OR (family practice[MeSH Terms])) OR (generalist*[Title/Abstract])) OR (GP[Title/Abstract])))) AND (((theor*[Title/Abstract]) OR (theoretical framework[Title/Abstract])) OR (conceptual framework[Title/Abstract]))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(((((conference[Title/Abstract]) OR (editorial[Title/Abstract])) OR (letter[Title/Abstract])) OR (comment[Title/Abstract])) OR (thesis[Title/Abstract])) OR (dissertation[Title/Abstract])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((((((((((((((((medical student*[MeSH Terms]) OR (medical education[MeSH Terms])) OR (pre-registrar doctor*[Title/Abstract])) OR (pre-registration doctor*[Title/Abstract])) OR (medical schools[MeSH Terms])) OR (internship and residency[MeSH Terms])) OR (medical graduate*[Title/Abstract])) OR (junior doctor*[Title/Abstract])) OR (junior physician*[MeSH Terms])) OR (prevocational doctor*[Title/Abstract])) OR (doctor*[Title/Abstract])) OR (physician*[MeSH Terms])) NOT (dentists[MeSH Terms])) AND (((((((((((attract*[Title/Abstract]) OR (career pathway*[Title/Abstract])) OR (career aspiration*[Title/Abstract])) OR (career decision*[Title/Abstract])) OR (career choice*[MeSH Terms])) OR (reason*[Title/Abstract])) OR (interest*[Title/Abstract])) OR (prefer*[Title/Abstract])) OR (recruit*[Title/Abstract])) OR (choos*[Title/Abstract])) OR (choice*[Title/Abstract]))) AND (((specialt*[Title/Abstract]) AND ((general*[Title/Abstract]) OR (primary care[Title/Abstract]))) OR (((((((((((general practice*[MeSH Terms]) OR (general practitioner*[MeSH Terms])) OR (primary healthcare[MeSH Terms])) OR (primary health care[Title/Abstract])) OR (primary care[MeSH Terms])) OR (family physician*[MeSH Terms])) OR (primary care physician*[MeSH Terms])) OR (family medicine[Title/Abstract])) OR (family practice[MeSH Terms])) OR (generalist*[Title/Abstract])) OR (GP[Title/Abstract])))) AND (((theor*[Title/Abstract]) OR (theoretical framework[Title/Abstract])) OR (conceptual framework[Title/Abstract]))) NOT ((((((conference[Title/Abstract]) OR (editorial[Title/Abstract])) OR (letter[Title/Abstract])) OR (comment[Title/Abstract])) OR (thesis[Title/Abstract])) OR (dissertation[Title/Abstract]))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 xml:space="preserve">((((((((((((((((medical student*[MeSH Terms]) OR (medical education[MeSH Terms])) OR (pre-registrar doctor*[Title/Abstract])) OR (pre-registration doctor*[Title/Abstract])) OR (medical schools[MeSH Terms])) OR (internship and residency[MeSH Terms])) OR (medical graduate*[Title/Abstract])) OR (junior doctor*[Title/Abstract])) OR (junior physician*[MeSH Terms])) OR (prevocational doctor*[Title/Abstract])) OR (doctor*[Title/Abstract])) OR (physician*[MeSH Terms])) NOT (dentists[MeSH Terms])) AND (((((((((((attract*[Title/Abstract]) OR (career pathway*[Title/Abstract])) OR (career aspiration*[Title/Abstract])) OR (career decision*[Title/Abstract])) OR (career choice*[MeSH Terms])) OR (reason*[Title/Abstract])) OR (interest*[Title/Abstract])) OR (prefer*[Title/Abstract])) OR (recruit*[Title/Abstract])) OR (choos*[Title/Abstract])) OR (choice*[Title/Abstract]))) AND (((specialt*[Title/Abstract]) AND ((general*[Title/Abstract]) OR (primary care[Title/Abstract]))) OR (((((((((((general practice*[MeSH Terms]) OR (general practitioner*[MeSH Terms])) OR (primary healthcare[MeSH Terms])) OR (primary health care[Title/Abstract])) OR (primary care[MeSH Terms])) OR (family physician*[MeSH Terms])) OR (primary care physician*[MeSH Terms])) OR (family medicine[Title/Abstract])) OR (family practice[MeSH Terms])) OR (generalist*[Title/Abstract])) OR (GP[Title/Abstract])))) AND (((theor*[Title/Abstract]) OR (theoretical framework[Title/Abstract])) OR (conceptual framework[Title/Abstract]))) NOT ((((((conference[Title/Abstract]) OR (editorial[Title/Abstract])) OR (letter[Title/Abstract])) OR (comment[Title/Abstract])) OR (thesis[Title/Abstract])) OR (dissertation[Title/Abstract])) Filters: English, from </w:t>
            </w:r>
            <w:r>
              <w:rPr>
                <w:rFonts w:eastAsia="Aptos" w:cs="Calibri" w:ascii="Calibri" w:hAnsi="Calibri"/>
                <w:shd w:fill="auto" w:val="clear"/>
                <w:lang w:val="en-AU" w:eastAsia="en-US" w:bidi="ar-SA"/>
              </w:rPr>
              <w:t>2000 - 2026</w:t>
            </w:r>
          </w:p>
        </w:tc>
      </w:tr>
      <w:tr>
        <w:trPr>
          <w:trHeight w:val="267" w:hRule="atLeast"/>
        </w:trPr>
        <w:tc>
          <w:tcPr>
            <w:tcW w:w="9348" w:type="dxa"/>
            <w:gridSpan w:val="2"/>
            <w:tcBorders>
              <w:start w:val="nil"/>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r>
      <w:tr>
        <w:trPr>
          <w:trHeight w:val="267" w:hRule="atLeast"/>
        </w:trPr>
        <w:tc>
          <w:tcPr>
            <w:tcW w:w="2126" w:type="dxa"/>
            <w:vMerge w:val="restart"/>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Web of Science</w:t>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#1 ((((((((((((((((((((((((TI=(medical student*)) OR AB=(medical student*)) OR TI=(medical education)) OR AB=(medical education)) OR TI=(pre-registrar doctor*)) OR AB=(pre-registrar doctor*)) OR TI=(pre-registration doctor*)) OR AB=(pre-registration doctor*)) OR TI=(medical school*)) OR AB=(medical school*)) OR TI=(internship and residency)) OR AB=(internship and residency)) OR TI=(medical graduate*)) OR AB=(medical graduate*)) OR TI=(junior doctor*)) OR AB=(junior doctor*)) OR TI=(junior physician*)) OR AB=(junior physician*)) OR TI=(prevocational doctor*)) OR AB=(prevocational doctor*)) OR TI=(doctor*)) OR AB=(doctor*)) OR TI=(physician*)) OR AB=(physician*)) NOT TS=(dentist*)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#2 (((((((((((((((((((((TI=(attract*)) OR AB=(attract*)) OR TI=(career pathway*)) OR AB=(career pathway*)) OR TI=(career aspiration*)) OR AB=(career aspiration*)) OR TI=(career decision*)) OR AB=(career decision*)) OR TI=(career choice*)) OR AB=(career choice*)) OR TI=(reason*)) OR AB=(reason*)) OR TI=(interest*)) OR AB=(interest*)) OR TI=(prefer*)) OR AB=(prefer*)) OR TI=(recruit*)) OR AB=(recruit*)) OR TI=(choos*)) OR AB=(choos*)) OR TI=(choice*)) OR AB=(choice*)</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#3 (TI=(specialt*)) OR AB=(specialt*)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#4 (((TI=(general*)) OR AB=(general*)) OR TI=(primary care)) OR AB=(primary care)</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#5 #3 AND #4</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#6 (((((((((((((((((((((TI=(general practice*)) OR AB=(general practice*)) OR TI=(general practitioner*)) OR AB=(general practitioner*)) OR TI=(primary healthcare)) OR AB=(primary healthcare)) OR TI=(primary health care)) OR AB=(primary health care)) OR TI=(primary care)) OR AB=(primary care)) OR TI=(family physician*)) OR AB=(family physician*)) OR TI=(primary care physician*)) OR AB=(primary care physician*)) OR TI=(family medicine)) OR AB=(family medicine)) OR TI=(family practice)) OR AB=(family practice)) OR TI=(generalist*)) OR AB=(generalist*)) OR TI=(GP)) OR AB=(GP)</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#7 #5 OR #6</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#8 (((((TI=(theor*)) OR AB=(theor*)) OR TI=(theoretical framework)) OR AB=(theoretical framework)) OR TI=(conceptual framework)) OR AB=(conceptual framework)</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#9 #1 AND #2 AND #7 AND #8</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 xml:space="preserve">#1 AND #2 AND #7 AND #8 and </w:t>
            </w:r>
            <w:r>
              <w:rPr>
                <w:rFonts w:eastAsia="Aptos" w:cs="Calibri" w:ascii="Calibri" w:hAnsi="Calibri"/>
                <w:shd w:fill="auto" w:val="clear"/>
                <w:lang w:val="en-AU" w:eastAsia="en-US" w:bidi="ar-SA"/>
              </w:rPr>
              <w:t>2026 or 2025 or</w:t>
            </w:r>
            <w:r>
              <w:rPr>
                <w:rFonts w:eastAsia="Aptos" w:cs="Calibri" w:ascii="Calibri" w:hAnsi="Calibri"/>
                <w:lang w:val="en-AU" w:eastAsia="en-US" w:bidi="ar-SA"/>
              </w:rPr>
              <w:t xml:space="preserve"> 2024 or 2023 or 2022 or 2021 or 2020 or 2019 or 2018 or 2017 or 2016 or 2015 or 2014 or 2013 or 2012 or 2011 or 2009 or 2010 or 2008 or 2007 or 2006 or 2005 or 2004 or 2003 or 2002 or 2001 or 2000 (Publication Years) and English (Languages) and Article or Review Article or Early Access (Document Types)</w:t>
            </w:r>
          </w:p>
        </w:tc>
      </w:tr>
      <w:tr>
        <w:trPr>
          <w:trHeight w:val="267" w:hRule="atLeast"/>
        </w:trPr>
        <w:tc>
          <w:tcPr>
            <w:tcW w:w="9348" w:type="dxa"/>
            <w:gridSpan w:val="2"/>
            <w:tcBorders>
              <w:start w:val="nil"/>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r>
      <w:tr>
        <w:trPr>
          <w:trHeight w:val="267" w:hRule="atLeast"/>
        </w:trPr>
        <w:tc>
          <w:tcPr>
            <w:tcW w:w="2126" w:type="dxa"/>
            <w:vMerge w:val="restart"/>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Embase</w:t>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#1 ('medical student'/exp OR 'medical student' OR 'medical education'/exp OR 'medical education' OR 'pre-registrar doctor*':ti,ab,kw OR 'pre-registration doctor*':ti,ab,kw OR 'medical school'/exp OR 'medical school' OR 'internship'/exp OR 'internship' OR 'residency'/exp OR 'residency' OR 'medical graduate'/exp OR 'medical graduate' OR 'junior doctor'/exp OR 'junior doctor' OR 'junior physician':ti,ab,kw OR 'prevocational doctor':ti,ab,kw OR 'physician'/exp OR 'physician') NOT ('dentist'/exp OR 'dentist')</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#2 attract*:ti,ab,kw OR 'career pathway*':ti,ab,kw OR 'career aspiration*':ti,ab OR 'career decision*':ti,ab,kw OR 'career choice*':ti,ab,kw OR reason*:ti,ab,kw OR interest*:ti,ab,kw OR prefer*:ti,ab,kw OR recruit*:ti,ab,kw OR choos*:ti,ab,kw OR choice*:ti,ab,kw</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#3 specialt*:ti,ab,kw</w:t>
            </w:r>
          </w:p>
        </w:tc>
      </w:tr>
      <w:tr>
        <w:trPr>
          <w:trHeight w:val="267"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#4  general*:ti,ab,kw OR 'primary care':ti,ab,kw</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#5 #3 AND #4</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#6  'general practice'/exp OR 'general practice' OR 'general practitioner'/exp OR 'general practitioner' OR 'primary health care'/exp OR 'primary health care' OR 'family physician*':ti,ab,kw OR 'primary care physician*':ti,ab,kw OR 'family medicine'/exp OR 'family medicine' OR 'family practice':ti,ab,kw OR 'generalist'/exp OR 'generalist' OR gp:ti,ab,kw</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#7 #5 OR #6</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#8  theor*:ti,ab,kw OR 'theoretical framework':ti,ab,kw OR 'conceptual framework'/exp OR 'conceptual framework'</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#9  #1 AND #2 AND #7 AND #8</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#10  #9 AND ([embase]/lim NOT ([embase]/lim AND [medline]/lim) OR [preprint]/lim)</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 xml:space="preserve">#11  #10 AND (2000:py OR 2001:py OR 2002:py OR 2003:py OR 2004:py OR 2005:py OR 2006:py OR 2007:py OR 2008:py OR 2009:py OR 2010:py OR 2011:py OR 2012:py OR 2013:py OR 2014:py OR 2015:py OR 2016:py OR 2017:py OR 2018:py OR 2019:py OR 2020:py OR 2021:py OR 2022:py OR 2023:py OR 2024:py </w:t>
            </w:r>
            <w:r>
              <w:rPr>
                <w:rFonts w:eastAsia="Aptos" w:cs="Calibri" w:ascii="Calibri" w:hAnsi="Calibri"/>
                <w:shd w:fill="auto" w:val="clear"/>
                <w:lang w:val="en-AU" w:eastAsia="en-US" w:bidi="ar-SA"/>
              </w:rPr>
              <w:t>OR 2025:py OR 2026:py)</w:t>
            </w:r>
            <w:r>
              <w:rPr>
                <w:rFonts w:eastAsia="Aptos" w:cs="Calibri" w:ascii="Calibri" w:hAnsi="Calibri"/>
                <w:lang w:val="en-AU" w:eastAsia="en-US" w:bidi="ar-SA"/>
              </w:rPr>
              <w:t xml:space="preserve"> AND [english]/lim</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#12  #11 AND ('article'/it OR 'article in press'/it OR 'review'/it OR 'short survey'/it)</w:t>
            </w:r>
          </w:p>
        </w:tc>
      </w:tr>
      <w:tr>
        <w:trPr>
          <w:trHeight w:val="274" w:hRule="atLeast"/>
        </w:trPr>
        <w:tc>
          <w:tcPr>
            <w:tcW w:w="9348" w:type="dxa"/>
            <w:gridSpan w:val="2"/>
            <w:tcBorders>
              <w:start w:val="nil"/>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r>
      <w:tr>
        <w:trPr>
          <w:trHeight w:val="274" w:hRule="atLeast"/>
        </w:trPr>
        <w:tc>
          <w:tcPr>
            <w:tcW w:w="2126" w:type="dxa"/>
            <w:vMerge w:val="restart"/>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Scopus</w:t>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#1  TITLE-ABS ( medical AND student* ) OR TITLE-ABS ( medical AND education ) OR TITLE-ABS ( pre-registrar AND doctor* ) OR TITLE-ABS ( pre-registration AND doctor* ) OR TITLE-ABS ( medical AND school* ) OR TITLE-ABS ( internship ) OR TITLE-ABS ( residency ) OR TITLE-ABS ( medical AND graduate* ) OR TITLE-ABS ( junior AND doctor* ) OR TITLE-ABS ( junior AND physician* ) OR TITLE-ABS ( prevocational AND doctor* ) OR TITLE-ABS ( doctor* ) OR TITLE-ABS ( physician* ) AND NOT TITLE-ABS-KEY ( dentist*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#2  TITLE-ABS ( attract* ) OR TITLE-ABS ( career AND pathway* ) OR TITLE-ABS ( career AND aspiration* ) OR TITLE-ABS ( career AND decision* ) OR TITLE-ABS ( career AND choice* ) OR TITLE-ABS ( reason* ) OR TITLE-ABS ( interest* ) OR TITLE-ABS ( prefer* ) OR TITLE-ABS ( recruit* ) OR TITLE-ABS ( choos* ) OR TITLE-ABS ( choice*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#3 TITLE-ABS ( specialt*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#4  TITLE-ABS ( general* ) OR TITLE-ABS ( primary AND care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#5   ( TITLE-ABS ( specialt* ) ) AND ( TITLE-ABS ( general* ) OR TITLE-ABS ( primary AND care )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#6   TITLE-ABS ( general AND practice* ) OR TITLE-ABS ( general AND practitioner* ) OR TITLE-ABS ( primary AND healthcare ) OR TITLE-ABS ( primary AND health AND care ) OR TITLE-ABS ( primary AND care ) OR TITLE-ABS ( family AND physician* ) OR TITLE-ABS ( primary AND care AND physician* ) OR TITLE-ABS ( family AND medicine ) OR TITLE-ABS ( family AND practice ) OR TITLE-ABS ( generalist* ) OR TITLE-ABS ( gp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#7   ( ( TITLE-ABS ( specialt* ) ) AND ( TITLE-ABS ( general* ) OR TITLE-ABS ( primary AND care ) ) ) OR ( TITLE-ABS ( general AND practice* ) OR TITLE-ABS ( general AND practitioner* ) OR TITLE-ABS ( primary AND healthcare ) OR TITLE-ABS ( primary AND health AND care ) OR TITLE-ABS ( primary AND care ) OR TITLE-ABS ( family AND physician* ) OR TITLE-ABS ( primary AND care AND physician* ) OR TITLE-ABS ( family AND medicine ) OR TITLE-ABS ( family AND practice ) OR TITLE-ABS ( generalist* ) OR TITLE-ABS ( gp )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#8   TITLE-ABS ( theor* ) OR TITLE-ABS ( theoretical AND framework ) OR TITLE-ABS ( conceptual AND framework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#9 ( TITLE-ABS ( medical AND student* ) OR TITLE-ABS ( medical AND education ) OR TITLE-ABS ( pre-registrar AND doctor* ) OR TITLE-ABS ( pre-registration AND doctor* ) OR TITLE-ABS ( medical AND school* ) OR TITLE-ABS ( internship ) OR TITLE-ABS ( residency ) OR TITLE-ABS ( medical AND graduate* ) OR TITLE-ABS ( junior AND doctor* ) OR TITLE-ABS ( junior AND physician* ) OR TITLE-ABS ( prevocational AND doctor* ) OR TITLE-ABS ( doctor* ) OR TITLE-ABS ( physician* ) AND NOT TITLE-ABS-KEY ( dentist* ) ) AND ( TITLE-ABS ( attract* ) OR TITLE-ABS ( career AND pathway* ) OR TITLE-ABS ( career AND aspiration* ) OR TITLE-ABS ( career AND decision* ) OR TITLE-ABS ( career AND choice* ) OR TITLE-ABS ( reason* ) OR TITLE-ABS ( interest* ) OR TITLE-ABS ( prefer* ) OR TITLE-ABS ( recruit* ) OR TITLE-ABS ( choos* ) OR TITLE-ABS ( choice* ) ) AND ( ( ( TITLE-ABS ( specialt* ) ) AND ( TITLE-ABS ( general* ) OR TITLE-ABS ( primary AND care ) ) ) OR ( TITLE-ABS ( general AND practice* ) OR TITLE-ABS ( general AND practitioner* ) OR TITLE-ABS ( primary AND healthcare ) OR TITLE-ABS ( primary AND health AND care ) OR TITLE-ABS ( primary AND care ) OR TITLE-ABS ( family AND physician* ) OR TITLE-ABS ( primary AND care AND physician* ) OR TITLE-ABS ( family AND medicine ) OR TITLE-ABS ( family AND practice ) OR TITLE-ABS ( generalist* ) OR TITLE-ABS ( gp ) ) ) AND ( TITLE-ABS ( theor* ) OR TITLE-ABS ( theoretical AND framework ) OR TITLE-ABS ( conceptual AND framework ) )</w:t>
            </w:r>
          </w:p>
        </w:tc>
      </w:tr>
      <w:tr>
        <w:trPr>
          <w:trHeight w:val="274" w:hRule="atLeast"/>
        </w:trPr>
        <w:tc>
          <w:tcPr>
            <w:tcW w:w="2126" w:type="dxa"/>
            <w:vMerge w:val="continue"/>
            <w:tcBorders>
              <w:start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r>
          </w:p>
        </w:tc>
        <w:tc>
          <w:tcPr>
            <w:tcW w:w="7222" w:type="dxa"/>
            <w:tcBorders>
              <w:end w:val="nil"/>
            </w:tcBorders>
          </w:tcPr>
          <w:p>
            <w:pPr>
              <w:pStyle w:val="Normal"/>
              <w:widowControl/>
              <w:spacing w:before="0" w:after="0"/>
              <w:jc w:val="start"/>
              <w:rPr>
                <w:rFonts w:ascii="Calibri" w:hAnsi="Calibri" w:cs="Calibri"/>
              </w:rPr>
            </w:pPr>
            <w:r>
              <w:rPr>
                <w:rFonts w:eastAsia="Aptos" w:cs="Calibri" w:ascii="Calibri" w:hAnsi="Calibri"/>
                <w:lang w:val="en-AU" w:eastAsia="en-US" w:bidi="ar-SA"/>
              </w:rPr>
              <w:t xml:space="preserve">#10 ( TITLE-ABS ( medical AND student* ) OR TITLE-ABS ( medical AND education ) OR TITLE-ABS ( pre-registrar AND doctor* ) OR TITLE-ABS ( pre-registration AND doctor* ) OR TITLE-ABS ( medical AND school* ) OR TITLE-ABS ( internship ) OR TITLE-ABS ( residency ) OR TITLE-ABS ( medical AND graduate* ) OR TITLE-ABS ( junior AND doctor* ) OR TITLE-ABS ( junior AND physician* ) OR TITLE-ABS ( prevocational AND doctor* ) OR TITLE-ABS ( doctor* ) OR TITLE-ABS ( physician* ) AND NOT TITLE-ABS-KEY ( dentist* ) ) AND ( TITLE-ABS ( attract* ) OR TITLE-ABS ( career AND pathway* ) OR TITLE-ABS ( career AND aspiration* ) OR TITLE-ABS ( career AND decision* ) OR TITLE-ABS ( career AND choice* ) OR TITLE-ABS ( reason* ) OR TITLE-ABS ( interest* ) OR TITLE-ABS ( prefer* ) OR TITLE-ABS ( recruit* ) OR TITLE-ABS ( choos* ) OR TITLE-ABS ( choice* ) ) AND ( ( ( TITLE-ABS ( specialt* ) ) AND ( TITLE-ABS ( general* ) OR TITLE-ABS ( primary AND care ) ) ) OR ( TITLE-ABS ( general AND practice* ) OR TITLE-ABS ( general AND practitioner* ) OR TITLE-ABS ( primary AND healthcare ) OR TITLE-ABS ( primary AND health AND care ) OR TITLE-ABS ( primary AND care ) OR TITLE-ABS ( family AND physician* ) OR TITLE-ABS ( primary AND care AND physician* ) OR TITLE-ABS ( family AND medicine ) OR TITLE-ABS ( family AND practice ) OR TITLE-ABS ( generalist* ) OR TITLE-ABS ( gp ) ) ) AND ( TITLE-ABS ( theor* ) OR TITLE-ABS ( theoretical AND framework ) OR TITLE-ABS ( conceptual AND framework ) ) AND PUBYEAR &gt; 1999 AND </w:t>
            </w:r>
            <w:r>
              <w:rPr>
                <w:rFonts w:eastAsia="Aptos" w:cs="Calibri" w:ascii="Calibri" w:hAnsi="Calibri"/>
                <w:shd w:fill="auto" w:val="clear"/>
                <w:lang w:val="en-AU" w:eastAsia="en-US" w:bidi="ar-SA"/>
              </w:rPr>
              <w:t>PUBYEAR &lt;= 2026</w:t>
            </w:r>
            <w:r>
              <w:rPr>
                <w:rFonts w:eastAsia="Aptos" w:cs="Calibri" w:ascii="Calibri" w:hAnsi="Calibri"/>
                <w:lang w:val="en-AU" w:eastAsia="en-US" w:bidi="ar-SA"/>
              </w:rPr>
              <w:t xml:space="preserve"> AND ( LIMIT-TO ( SUBJAREA , "MEDI" ) ) AND ( LIMIT-TO ( DOCTYPE , "ar" ) OR LIMIT-TO ( DOCTYPE , "re" ) OR LIMIT-TO ( DOCTYPE , "sh" ) ) AND ( LIMIT-TO ( LANGUAGE , "English" ) )</w:t>
            </w:r>
          </w:p>
        </w:tc>
      </w:tr>
    </w:tbl>
    <w:p>
      <w:pPr>
        <w:pStyle w:val="Normal"/>
        <w:rPr>
          <w:rFonts w:ascii="Calibri" w:hAnsi="Calibri" w:cs="Calibri"/>
        </w:rPr>
      </w:pPr>
      <w:r>
        <w:rPr>
          <w:rFonts w:cs="Calibri" w:ascii="Calibri" w:hAnsi="Calibri"/>
        </w:rPr>
      </w:r>
    </w:p>
    <w:p>
      <w:pPr>
        <w:pStyle w:val="Normal"/>
        <w:rPr>
          <w:rFonts w:ascii="Calibri" w:hAnsi="Calibri" w:cs="Calibri"/>
          <w:b/>
          <w:bCs/>
        </w:rPr>
      </w:pPr>
      <w:r>
        <w:rPr>
          <w:rFonts w:cs="Calibri" w:ascii="Calibri" w:hAnsi="Calibri"/>
          <w:b/>
          <w:bCs/>
        </w:rPr>
      </w:r>
      <w:r>
        <w:br w:type="page"/>
      </w:r>
    </w:p>
    <w:p>
      <w:pPr>
        <w:pStyle w:val="Normal"/>
        <w:spacing w:before="0" w:after="160"/>
        <w:rPr>
          <w:rFonts w:ascii="Calibri" w:hAnsi="Calibri" w:cs="Calibri"/>
          <w:b/>
          <w:bCs/>
        </w:rPr>
      </w:pPr>
      <w:bookmarkStart w:id="0" w:name="_Hlk174375113"/>
      <w:r>
        <w:rPr>
          <w:rFonts w:cs="Calibri" w:ascii="Calibri" w:hAnsi="Calibri"/>
          <w:b/>
          <w:bCs/>
        </w:rPr>
        <w:t xml:space="preserve">Supplementary Table 3: Verbatim description of the n=15 included explicit theories and frameworks </w:t>
      </w:r>
      <w:bookmarkEnd w:id="0"/>
    </w:p>
    <w:tbl>
      <w:tblPr>
        <w:tblW w:w="5000" w:type="pct"/>
        <w:jc w:val="start"/>
        <w:tblInd w:w="0" w:type="dxa"/>
        <w:tblLayout w:type="fixed"/>
        <w:tblCellMar>
          <w:top w:w="0" w:type="dxa"/>
          <w:start w:w="108" w:type="dxa"/>
          <w:bottom w:w="0" w:type="dxa"/>
          <w:end w:w="108" w:type="dxa"/>
        </w:tblCellMar>
        <w:tblLook w:firstRow="1" w:noVBand="1" w:lastRow="0" w:firstColumn="1" w:lastColumn="0" w:noHBand="0" w:val="04a0"/>
      </w:tblPr>
      <w:tblGrid>
        <w:gridCol w:w="1647"/>
        <w:gridCol w:w="7379"/>
      </w:tblGrid>
      <w:tr>
        <w:trPr>
          <w:tblHeader w:val="true"/>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b/>
                <w:bCs/>
                <w:color w:val="000000"/>
                <w:sz w:val="18"/>
                <w:szCs w:val="18"/>
                <w:lang w:eastAsia="en-AU"/>
              </w:rPr>
            </w:pPr>
            <w:r>
              <w:rPr>
                <w:rFonts w:eastAsia="Times New Roman" w:cs="Calibri" w:ascii="Calibri" w:hAnsi="Calibri"/>
                <w:b/>
                <w:bCs/>
                <w:color w:val="000000"/>
                <w:sz w:val="18"/>
                <w:szCs w:val="18"/>
                <w:lang w:eastAsia="en-AU"/>
              </w:rPr>
              <w:t>Theory or framework used</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b/>
                <w:bCs/>
                <w:color w:val="000000"/>
                <w:sz w:val="18"/>
                <w:szCs w:val="18"/>
                <w:lang w:eastAsia="en-AU"/>
              </w:rPr>
            </w:pPr>
            <w:r>
              <w:rPr>
                <w:rFonts w:eastAsia="Times New Roman" w:cs="Calibri" w:ascii="Calibri" w:hAnsi="Calibri"/>
                <w:b/>
                <w:bCs/>
                <w:color w:val="000000"/>
                <w:sz w:val="18"/>
                <w:szCs w:val="18"/>
                <w:lang w:eastAsia="en-AU"/>
              </w:rPr>
              <w:t>Study’s description (verbatim) of the theory or framework</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Social cognitive career theory (SCCT)</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cs="Calibri" w:ascii="Calibri" w:hAnsi="Calibri"/>
                <w:color w:val="000000"/>
                <w:sz w:val="18"/>
                <w:szCs w:val="18"/>
              </w:rPr>
              <w:t>‘</w:t>
            </w:r>
            <w:r>
              <w:rPr>
                <w:rFonts w:cs="Calibri" w:ascii="Calibri" w:hAnsi="Calibri"/>
                <w:color w:val="000000"/>
                <w:sz w:val="18"/>
                <w:szCs w:val="18"/>
              </w:rPr>
              <w:t>Central to SCCT is the role of agency, which incorporates the vicarious, self-regulatory and self-reflective processes that operate in human adaptation and change. The theory holds that people have a capacity to develop their careers through the basic elements of self-efficacy (view of self as competent at an activity), outcome expectations (anticipation that performance of the activity will produce valued outcomes), and goals (intentions to engage in a certain activity). Self-efficacy expectations and outcome expectations are seen as intertwined and interacting with contextual influences to affect students’ evolving career interests, goals and actions. One component of the SCCT is the ‘Interest Model', in which the focus is on emerging interests that increase an individual’s practice activity and achievements prior to work entry. It is recognised that interests change and that exposure to “compelling learning experiences…enable (people) to rethink or expand their sense of their capabilities and the outcomes offered by different work activities” (1), p.121.’</w:t>
            </w:r>
            <w:r>
              <w:rPr>
                <w:rFonts w:eastAsia="Times New Roman" w:cs="Calibri" w:ascii="Calibri" w:hAnsi="Calibri"/>
                <w:color w:val="000000"/>
                <w:sz w:val="18"/>
                <w:szCs w:val="18"/>
                <w:lang w:eastAsia="en-AU"/>
              </w:rPr>
              <w:t xml:space="preserve"> (2)</w:t>
            </w:r>
          </w:p>
          <w:p>
            <w:pPr>
              <w:pStyle w:val="Normal"/>
              <w:spacing w:lineRule="auto" w:line="240" w:before="0" w:after="0"/>
              <w:rPr>
                <w:rFonts w:ascii="Calibri" w:hAnsi="Calibri" w:cs="Calibri"/>
                <w:color w:val="000000"/>
                <w:sz w:val="18"/>
                <w:szCs w:val="18"/>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It recognizes that a variety of personal, contextual, and behavioral variables play a key role in the development of career interests, abilities, goals, and choice.” (3-5)</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eastAsia="Times New Roman" w:cs="Calibri" w:ascii="Calibri" w:hAnsi="Calibri"/>
                <w:color w:val="000000"/>
                <w:sz w:val="18"/>
                <w:szCs w:val="18"/>
                <w:lang w:eastAsia="en-AU"/>
              </w:rPr>
              <w:t>Reciprocal determinism as part of social cognitive theory</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It notes that a person’s behaviours both influence and are influenced by personal factors like cognition and the social environment such as observing other doctors. Further, the impact on behaviour may be conditioned from what is experienced/observed and the consequences of this, such as negative feedback or low financial reward.” P3 (6)</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Kotter’s eight steps for leading change</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w:t>
            </w:r>
            <w:r>
              <w:rPr>
                <w:rFonts w:cs="Calibri" w:ascii="Calibri" w:hAnsi="Calibri"/>
                <w:color w:val="000000"/>
                <w:sz w:val="18"/>
                <w:szCs w:val="18"/>
              </w:rPr>
              <w:t>We used Kotter’s eight steps (see box 1) for leading change to inform study design. Box 1 (7): 1. ‘Establishing a sense of urgency’; 2. ‘Creating the guiding coalition’; 3. ‘Developing a vision and strategy’; 4. ‘Communicating the change vision’; 5. ‘Empowering employees for broad-based action’; 6. ‘Generating short-term wins’; 7. ‘Consolidating gains and producing more change’; 8. ‘Anchoring new approaches in the culture’”</w:t>
            </w:r>
            <w:r>
              <w:rPr>
                <w:rFonts w:eastAsia="Times New Roman" w:cs="Calibri" w:ascii="Calibri" w:hAnsi="Calibri"/>
                <w:color w:val="000000"/>
                <w:sz w:val="18"/>
                <w:szCs w:val="18"/>
                <w:lang w:eastAsia="en-AU"/>
              </w:rPr>
              <w:t xml:space="preserve"> (8)</w:t>
            </w:r>
            <w:r>
              <w:rPr>
                <w:rFonts w:cs="Calibri" w:ascii="Calibri" w:hAnsi="Calibri"/>
                <w:color w:val="000000"/>
                <w:sz w:val="18"/>
                <w:szCs w:val="18"/>
              </w:rPr>
              <w:t xml:space="preserve"> </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Pfarrwaller et al.'s conceptual framework of medical students' primary care career choice</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w:t>
            </w:r>
            <w:r>
              <w:rPr>
                <w:rFonts w:cs="Calibri" w:ascii="Calibri" w:hAnsi="Calibri"/>
                <w:color w:val="000000"/>
                <w:sz w:val="18"/>
                <w:szCs w:val="18"/>
              </w:rPr>
              <w:t>Pfarrwaller and colleagues (9) developed a conceptual framework of medical students’ primary care career choice to explain the various factors influencing final career choices. Although the authors focused on primary care, the model relates well to any specialty and to location practice choices. The model consists of two parts: A central part representing students’ career choice pathways, and an outer part representing the different systems of influence on career decision-making. The central part of the model broadly draws from social cognitive theory as applied to career choice  (10), with students entering their training with their personal characteristics and initial interests in primary care, emerging at graduation with a choice for their future career. Students are influenced during their training by outside factors, drawing from ecological theory (11). The model consists of four nested components representing different systems of influence: The microsystem consists of the settings containing the person; the mesosytem comprises the interrelations among the settings; the exosystem comprises social structures impinging on the settings; and the macrosystem refers to overarching cultural and institutional patterns (9, 11).”</w:t>
            </w:r>
            <w:r>
              <w:rPr>
                <w:rFonts w:eastAsia="Times New Roman" w:cs="Calibri" w:ascii="Calibri" w:hAnsi="Calibri"/>
                <w:color w:val="000000"/>
                <w:sz w:val="18"/>
                <w:szCs w:val="18"/>
                <w:lang w:eastAsia="en-AU"/>
              </w:rPr>
              <w:t xml:space="preserve"> (12)</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Bland-Meurer model for medical student specialty choice</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In the Bland-Meurer model, the major factors are student characteristics, speciality characteristics and medical school influences (13). While some students have already decided on their future careers before they start medical school (14), for others the factors that affect their career choice include the curriculum content, the quality of student placements in specific specialities, the number of those placements, the influence of individual faculty members, and special studies modules (14-16).” (17)</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The 'propaganda' model of banter and the theory of 'person-environment fit'</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The ‘propaganda’ model of banter assumes that the primary motive of trainees is the desire for status and prestige, and that they unquestioningly accept the claims made in banter (18). In a recent meta-analysis, person-environment fit was “broadly defined as the compatibility between an individual and a work environment that occurs when their characteristics are well matched” (19). The work environment can be broken down into different domains - job, organisation, group, supervisor – within which the individual may fit to a greater or lesser degree.” (20)</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Threshold concept framework</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The TCF is an educational theory, developed by Meyer and Land in 2003 (21), following an extensive study within higher education. They discovered that there were certain core ideas which, once grasped, opened a whole new perspective for the learner, radically transforming their understanding of a subject. They called these ideas threshold Concepts and suggested that, while they are difficult to learn, understanding them is essential to the mastery of any field. [...] Importantly, TCs are transformative. This not only leads to a change in how the learner sees a subject but often involves a shift in their own identity and how they see themselves or view the world. [...] As learners grapple with a TC they are said to pass through a liminal space where learning is usually troublesome and where they may oscillate in their understanding. 'Getting' a TC is often associated with an 'aha' moment which may be less about gaining new knowledge, and more about integration - the coming together of different strands of knowledge that the learner had not previously realised were connected. Once fully grasped, the TC is said to be irreversible and difficult to unlearn [5].” (22)</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Hermeneutic phenomenology</w:t>
            </w:r>
          </w:p>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Hermeneutic phenomenology attempts to convey deep understanding of the phenomenon through the interpretation of the concealed meaning of the students’ everyday lived experiences, in order to make sense of and see how participants construct meaning from them (21, 23). The purpose of hermeneutic phenomenology is to interpret the phenomenon prior to theorisation, abstraction or explanation already occurring, in order to understand it in its truest sense to the participant, as experienced consciously (24).” P209 (25)</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Socialisation theory</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Socialisation theory has been used largely in the literature with respect to graduate and professional students,</w:t>
            </w:r>
          </w:p>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described as ‘a subconscious process whereby persons internalise behavioural norms and standards and form a sense of identity and commitment to a professional field’ (26), pg.6. This is said to occur through social interactions with peers and staff, role modelling, and subject mastery.” P211-2 (25)</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Realist theory</w:t>
            </w:r>
          </w:p>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Realist evaluation aims to test initially hypothesised theory and develop and refine new theory about how programs achieve results, frequently expressed as C + M = O configurations (CMO). As such, the outcome of a realist evaluation is theory, depicted by one or many CMO configurations (27, 28).” P3 (6)</w:t>
            </w:r>
          </w:p>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Realist review is a practical methodology that lends itself to informing programme change by specifying how elements of the programme produce outcomes in which contexts (29). If a program desires to change the outcome they can adopt interventions appropriate to their context based on the influencing mechanism identified. Realist review differs from other types of literature review in that it analyses qualitative and quantitative data including grey literature through iterative reasoning to identify themes (27). It starts with theory and seeks to refine and develop this by discovering recurring linkages between Context and outcome where the trigger or Mechanism is explained (CMOCs).” (30)</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Adaptation of Chang’s transactional process of decision making (31)</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The model, which incorporates the internal traits of the decision maker, the effect of the environment, the effect of lived experiences and the broader context of professional preferences, describes the decision process that the participants went through in selecting their choice of speciality. See figure 1 for the model adapted from Chang for the decision-making process of the participants in choosing a specialty: Decision maker (traits, values and beliefs; personal and professional aspirations) -&gt; Environment (lived experiences; practical opportunities; impact of society) -&gt; Decision task (situational context; value of alternatives; impact on decision maker) -&gt; Decision maker” (32)</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Bourdieu’s formula for ‘theory of practice’ (33)</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Practice = [(habitus) (capital)] + field Here, practice relates to what people do, or how they think and act, which results from relations between prior socialisation (habitus), po</w:t>
              <w:softHyphen/>
              <w:t xml:space="preserve">sition in the field (the resources and assets with which interviewees entered the field) and the current state of play in the field (when and where these practices take place).” </w:t>
            </w:r>
          </w:p>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w:t>
            </w:r>
            <w:r>
              <w:rPr>
                <w:rFonts w:eastAsia="Times New Roman" w:cs="Calibri" w:ascii="Calibri" w:hAnsi="Calibri"/>
                <w:color w:val="000000"/>
                <w:sz w:val="18"/>
                <w:szCs w:val="18"/>
                <w:shd w:fill="auto" w:val="clear"/>
                <w:lang w:eastAsia="en-AU"/>
              </w:rPr>
              <w:t>Bourdieu’s theory of practice was utilised as a sensitising lens for the analysis in development of inductive codes and subsequent themes (Supplementary Box S1). Practice relates to how</w:t>
            </w:r>
          </w:p>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individual actions, societal structure, and meaning is given to the sphere of academic general practice as a social space where interactions, negotiations, and internal power structures compete. Individuals compete within this field using expected norms, power, and invisible rules. Agents have varying levels of power in the forms of capital (acquired forms of power) and habitus (individual dispositions that guide one’s interactions and behaviour), which interact within a field to produce a professional Adopting this framework when developing our themes enabled us to focus on both individual and societal influences on women’s careers. Through exploring habitus how women’s perceptions of themselves were constructed, their experiences of entry</w:t>
            </w:r>
          </w:p>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into academic general practice, and the influence of symbolic capital in the forms of social (such as networks, support structures, family) and cultural capital (qualifications, education). Additional meaning was given to the women’s experiences with critical reflection on unwritten norms and</w:t>
            </w:r>
          </w:p>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power struggles.”</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Vygotsky’s Sociocultural theory  (34)</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w:t>
            </w:r>
            <w:r>
              <w:rPr>
                <w:rFonts w:eastAsia="Times New Roman" w:cs="Calibri" w:ascii="Calibri" w:hAnsi="Calibri"/>
                <w:color w:val="000000"/>
                <w:sz w:val="18"/>
                <w:szCs w:val="18"/>
                <w:shd w:fill="auto" w:val="clear"/>
                <w:lang w:eastAsia="en-AU"/>
              </w:rPr>
              <w:t>Sociocultural Theory is underpinned by how people interact, collaborate and learn from mentors, that catalyses trainees to professionally flourish.”</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 xml:space="preserve">(Adapted) </w:t>
            </w:r>
            <w:r>
              <w:rPr>
                <w:rFonts w:eastAsia="Times New Roman" w:cs="Calibri" w:ascii="Calibri" w:hAnsi="Calibri"/>
                <w:color w:val="000000"/>
                <w:sz w:val="18"/>
                <w:szCs w:val="18"/>
                <w:shd w:fill="auto" w:val="clear"/>
                <w:lang w:eastAsia="en-AU"/>
              </w:rPr>
              <w:t>Wengraf’s biographical narrative interview method (35)</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w:t>
            </w:r>
            <w:r>
              <w:rPr>
                <w:rFonts w:eastAsia="Times New Roman" w:cs="Calibri" w:ascii="Calibri" w:hAnsi="Calibri"/>
                <w:color w:val="000000"/>
                <w:sz w:val="18"/>
                <w:szCs w:val="18"/>
                <w:shd w:fill="auto" w:val="clear"/>
                <w:lang w:eastAsia="en-AU"/>
              </w:rPr>
              <w:t xml:space="preserve">Composite narratives involve the development of a ‘shared’ narrative, incorporating findings </w:t>
            </w:r>
            <w:r>
              <w:rPr>
                <w:rFonts w:eastAsia="Times New Roman" w:cs="Calibri" w:ascii="Calibri" w:hAnsi="Calibri"/>
                <w:color w:val="000000"/>
                <w:sz w:val="18"/>
                <w:szCs w:val="18"/>
                <w:shd w:fill="auto" w:val="clear"/>
                <w:lang w:eastAsia="en-AU"/>
              </w:rPr>
              <w:t>from multiple participants, into a unifying voice, and have been used in similar qualitative</w:t>
            </w:r>
          </w:p>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research. Composite narratives were adopted to situate the findings of the data within their context, and to encapsulate the complexity of experiences, used as both an integral component of the analysis and to present our findings. The narratives were developed as outlined by Johnston in the six-step process for composite narrative development, through integrating insightful quotes and interviews pertinent to a theme then distilling this into a coherent narrative.”</w:t>
            </w:r>
          </w:p>
        </w:tc>
      </w:tr>
      <w:tr>
        <w:trPr>
          <w:trHeight w:val="300" w:hRule="atLeast"/>
        </w:trPr>
        <w:tc>
          <w:tcPr>
            <w:tcW w:w="164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Constructivist Grounded Theory (CGT)  (36)</w:t>
            </w:r>
          </w:p>
        </w:tc>
        <w:tc>
          <w:tcPr>
            <w:tcW w:w="7379"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 xml:space="preserve">“… </w:t>
            </w:r>
            <w:r>
              <w:rPr>
                <w:rFonts w:eastAsia="Times New Roman" w:cs="Calibri" w:ascii="Calibri" w:hAnsi="Calibri"/>
                <w:color w:val="000000"/>
                <w:sz w:val="18"/>
                <w:szCs w:val="18"/>
                <w:shd w:fill="auto" w:val="clear"/>
                <w:lang w:eastAsia="en-AU"/>
              </w:rPr>
              <w:t>(i) it [CGT] acknowledges that the relationship between the researcher and participant forms the foundation of the data collection which is essentially co-constructed between the two parties (ii) it is deemed an appropriate methodology for social justice inquiry such as the equitable distribution of medical resources and (iii) it allows for the explanation of a phenomenon e.g. ‘what is going on?’ rather than to simply explore and describe it.” (37)</w:t>
            </w:r>
          </w:p>
          <w:p>
            <w:pPr>
              <w:pStyle w:val="Normal"/>
              <w:spacing w:lineRule="auto" w:line="240" w:before="0" w:after="0"/>
              <w:rPr>
                <w:highlight w:val="none"/>
                <w:shd w:fill="auto" w:val="clear"/>
              </w:rPr>
            </w:pPr>
            <w:r>
              <w:rPr>
                <w:rFonts w:eastAsia="Times New Roman" w:cs="Calibri" w:ascii="Calibri" w:hAnsi="Calibri"/>
                <w:color w:val="000000"/>
                <w:sz w:val="18"/>
                <w:szCs w:val="18"/>
                <w:shd w:fill="auto" w:val="clear"/>
                <w:lang w:eastAsia="en-AU"/>
              </w:rPr>
              <w:t>“</w:t>
            </w:r>
            <w:r>
              <w:rPr>
                <w:rFonts w:eastAsia="Times New Roman" w:cs="Calibri" w:ascii="Calibri" w:hAnsi="Calibri"/>
                <w:color w:val="000000"/>
                <w:sz w:val="18"/>
                <w:szCs w:val="18"/>
                <w:shd w:fill="auto" w:val="clear"/>
                <w:lang w:eastAsia="en-AU"/>
              </w:rPr>
              <w:t>Under CGT the researcher enters the research process with certain values, preconceptions and preference and as such, they are cast in the role of co-constructor of the emerging data. … Consequently, Charmaz (2008) argues that the researcher must adopt a reflexive stance on their positionality, they must engage with how their own experiences and understanding may shape the research process.” (36)</w:t>
            </w:r>
          </w:p>
        </w:tc>
      </w:tr>
    </w:tbl>
    <w:p>
      <w:pPr>
        <w:pStyle w:val="Normal"/>
        <w:rPr>
          <w:rFonts w:ascii="Calibri" w:hAnsi="Calibri" w:cs="Calibri"/>
          <w:b/>
          <w:bCs/>
        </w:rPr>
      </w:pPr>
      <w:r>
        <w:rPr>
          <w:rFonts w:cs="Calibri" w:ascii="Calibri" w:hAnsi="Calibri"/>
          <w:b/>
          <w:bCs/>
        </w:rPr>
      </w:r>
    </w:p>
    <w:p>
      <w:pPr>
        <w:pStyle w:val="Normal"/>
        <w:rPr>
          <w:rFonts w:ascii="Calibri" w:hAnsi="Calibri" w:cs="Calibri"/>
          <w:b/>
          <w:bCs/>
        </w:rPr>
      </w:pPr>
      <w:r>
        <w:rPr>
          <w:rFonts w:cs="Calibri" w:ascii="Calibri" w:hAnsi="Calibri"/>
          <w:b/>
          <w:bCs/>
        </w:rPr>
      </w:r>
      <w:r>
        <w:br w:type="page"/>
      </w:r>
    </w:p>
    <w:p>
      <w:pPr>
        <w:pStyle w:val="Normal"/>
        <w:spacing w:before="0" w:after="160"/>
        <w:rPr>
          <w:rFonts w:ascii="Calibri" w:hAnsi="Calibri" w:cs="Calibri"/>
          <w:b/>
          <w:bCs/>
        </w:rPr>
      </w:pPr>
      <w:r>
        <w:rPr>
          <w:rFonts w:cs="Calibri" w:ascii="Calibri" w:hAnsi="Calibri"/>
          <w:b/>
          <w:bCs/>
        </w:rPr>
        <w:t xml:space="preserve">Supplementary Table 4: </w:t>
      </w:r>
      <w:bookmarkStart w:id="1" w:name="_Hlk174388306"/>
      <w:r>
        <w:rPr>
          <w:rFonts w:cs="Calibri" w:ascii="Calibri" w:hAnsi="Calibri"/>
          <w:b/>
          <w:bCs/>
        </w:rPr>
        <w:t>Summary of key findings from studies including quantitative outcomes identified in the search</w:t>
      </w:r>
      <w:bookmarkEnd w:id="1"/>
    </w:p>
    <w:tbl>
      <w:tblPr>
        <w:tblW w:w="9351"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1940"/>
        <w:gridCol w:w="7411"/>
      </w:tblGrid>
      <w:tr>
        <w:trPr>
          <w:trHeight w:val="300" w:hRule="atLeast"/>
        </w:trPr>
        <w:tc>
          <w:tcPr>
            <w:tcW w:w="19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b/>
                <w:bCs/>
                <w:color w:val="000000"/>
                <w:lang w:eastAsia="en-AU"/>
              </w:rPr>
            </w:pPr>
            <w:r>
              <w:rPr>
                <w:rFonts w:eastAsia="Times New Roman" w:cs="Calibri" w:ascii="Calibri" w:hAnsi="Calibri"/>
                <w:b/>
                <w:bCs/>
                <w:color w:val="000000"/>
                <w:lang w:eastAsia="en-AU"/>
              </w:rPr>
              <w:t>Study ID</w:t>
            </w:r>
          </w:p>
        </w:tc>
        <w:tc>
          <w:tcPr>
            <w:tcW w:w="741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lang w:eastAsia="en-AU"/>
              </w:rPr>
            </w:pPr>
            <w:r>
              <w:rPr>
                <w:rFonts w:cs="Calibri" w:ascii="Calibri" w:hAnsi="Calibri"/>
                <w:b/>
                <w:bCs/>
                <w:color w:val="000000"/>
              </w:rPr>
              <w:t>Main outcome data</w:t>
            </w:r>
          </w:p>
        </w:tc>
      </w:tr>
      <w:tr>
        <w:trPr>
          <w:trHeight w:val="300" w:hRule="atLeast"/>
        </w:trPr>
        <w:tc>
          <w:tcPr>
            <w:tcW w:w="19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lang w:eastAsia="en-AU"/>
              </w:rPr>
            </w:pPr>
            <w:r>
              <w:rPr>
                <w:rFonts w:eastAsia="Times New Roman" w:cs="Calibri" w:ascii="Calibri" w:hAnsi="Calibri"/>
                <w:color w:val="000000"/>
                <w:lang w:eastAsia="en-AU"/>
              </w:rPr>
              <w:t>Alberti et al., 2017 (38)</w:t>
            </w:r>
          </w:p>
        </w:tc>
        <w:tc>
          <w:tcPr>
            <w:tcW w:w="7411" w:type="dxa"/>
            <w:tcBorders>
              <w:top w:val="single" w:sz="4" w:space="0" w:color="000000"/>
              <w:start w:val="single" w:sz="4" w:space="0" w:color="000000"/>
              <w:bottom w:val="single" w:sz="4" w:space="0" w:color="000000"/>
              <w:end w:val="single" w:sz="4" w:space="0" w:color="000000"/>
            </w:tcBorders>
          </w:tcPr>
          <w:p>
            <w:pPr>
              <w:pStyle w:val="ListParagraph"/>
              <w:numPr>
                <w:ilvl w:val="0"/>
                <w:numId w:val="1"/>
              </w:numPr>
              <w:spacing w:lineRule="auto" w:line="240" w:before="0" w:after="0"/>
              <w:contextualSpacing/>
              <w:rPr>
                <w:rFonts w:ascii="Calibri" w:hAnsi="Calibri" w:cs="Calibri"/>
                <w:color w:val="000000"/>
              </w:rPr>
            </w:pPr>
            <w:r>
              <w:rPr>
                <w:rFonts w:cs="Calibri" w:ascii="Calibri" w:hAnsi="Calibri"/>
                <w:color w:val="000000"/>
              </w:rPr>
              <w:t>30% of Foundation doctors (FD; N = 232) reported having received comments about GP as a career choice. Of all respondents, 12% reported positive comments, 6% negative comments, and 7% positive and negative</w:t>
            </w:r>
          </w:p>
          <w:p>
            <w:pPr>
              <w:pStyle w:val="ListParagraph"/>
              <w:numPr>
                <w:ilvl w:val="0"/>
                <w:numId w:val="1"/>
              </w:numPr>
              <w:spacing w:lineRule="auto" w:line="240" w:before="0" w:after="0"/>
              <w:contextualSpacing/>
              <w:rPr>
                <w:rFonts w:ascii="Calibri" w:hAnsi="Calibri" w:cs="Calibri"/>
                <w:color w:val="000000"/>
              </w:rPr>
            </w:pPr>
            <w:r>
              <w:rPr>
                <w:rFonts w:cs="Calibri" w:ascii="Calibri" w:hAnsi="Calibri"/>
                <w:color w:val="000000"/>
              </w:rPr>
              <w:t>40% of trainees reported comments within the last six months of their GP training post. 33% of respondents reported positive comments, 4% received negative comments, and 2% received positive and negative comments.</w:t>
            </w:r>
          </w:p>
          <w:p>
            <w:pPr>
              <w:pStyle w:val="ListParagraph"/>
              <w:numPr>
                <w:ilvl w:val="0"/>
                <w:numId w:val="1"/>
              </w:numPr>
              <w:spacing w:lineRule="auto" w:line="240" w:before="0" w:after="0"/>
              <w:contextualSpacing/>
              <w:rPr>
                <w:rFonts w:ascii="Calibri" w:hAnsi="Calibri" w:cs="Calibri"/>
                <w:color w:val="000000"/>
              </w:rPr>
            </w:pPr>
            <w:r>
              <w:rPr>
                <w:rFonts w:cs="Calibri" w:ascii="Calibri" w:hAnsi="Calibri"/>
                <w:color w:val="000000"/>
              </w:rPr>
              <w:t>Most common positive comments reported were ‘you would make a good GP’ or related to work-life balance, variety of the job, and positive feedback on the GP training program</w:t>
            </w:r>
          </w:p>
          <w:p>
            <w:pPr>
              <w:pStyle w:val="ListParagraph"/>
              <w:numPr>
                <w:ilvl w:val="0"/>
                <w:numId w:val="1"/>
              </w:numPr>
              <w:spacing w:lineRule="auto" w:line="240" w:before="0" w:after="0"/>
              <w:contextualSpacing/>
              <w:rPr>
                <w:rFonts w:ascii="Calibri" w:hAnsi="Calibri" w:cs="Calibri"/>
                <w:color w:val="000000"/>
              </w:rPr>
            </w:pPr>
            <w:r>
              <w:rPr>
                <w:rFonts w:cs="Calibri" w:ascii="Calibri" w:hAnsi="Calibri"/>
                <w:color w:val="000000"/>
              </w:rPr>
              <w:t>Negative comments often related to workload or GP being a wasted career, easy choice, boring, or stressful</w:t>
            </w:r>
          </w:p>
          <w:p>
            <w:pPr>
              <w:pStyle w:val="ListParagraph"/>
              <w:numPr>
                <w:ilvl w:val="0"/>
                <w:numId w:val="1"/>
              </w:numPr>
              <w:spacing w:lineRule="auto" w:line="240" w:before="0" w:after="0"/>
              <w:contextualSpacing/>
              <w:rPr>
                <w:rFonts w:ascii="Calibri" w:hAnsi="Calibri" w:eastAsia="Times New Roman" w:cs="Calibri"/>
                <w:color w:val="000000"/>
                <w:lang w:eastAsia="en-AU"/>
              </w:rPr>
            </w:pPr>
            <w:r>
              <w:rPr>
                <w:rFonts w:cs="Calibri" w:ascii="Calibri" w:hAnsi="Calibri"/>
                <w:color w:val="000000"/>
              </w:rPr>
              <w:t>Most positive comments were made by trainees and GPs while most negative comments were made by hospital clinicians.</w:t>
            </w:r>
          </w:p>
        </w:tc>
      </w:tr>
      <w:tr>
        <w:trPr>
          <w:trHeight w:val="300" w:hRule="atLeast"/>
        </w:trPr>
        <w:tc>
          <w:tcPr>
            <w:tcW w:w="19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lang w:eastAsia="en-AU"/>
              </w:rPr>
            </w:pPr>
            <w:r>
              <w:rPr>
                <w:rFonts w:eastAsia="Times New Roman" w:cs="Calibri" w:ascii="Calibri" w:hAnsi="Calibri"/>
                <w:color w:val="000000"/>
                <w:lang w:eastAsia="en-AU"/>
              </w:rPr>
              <w:t>Chellappah &amp; Garnham, 2014 (39)</w:t>
            </w:r>
          </w:p>
        </w:tc>
        <w:tc>
          <w:tcPr>
            <w:tcW w:w="7411" w:type="dxa"/>
            <w:tcBorders>
              <w:top w:val="single" w:sz="4" w:space="0" w:color="000000"/>
              <w:start w:val="single" w:sz="4" w:space="0" w:color="000000"/>
              <w:bottom w:val="single" w:sz="4" w:space="0" w:color="000000"/>
              <w:end w:val="single" w:sz="4" w:space="0" w:color="000000"/>
            </w:tcBorders>
          </w:tcPr>
          <w:p>
            <w:pPr>
              <w:pStyle w:val="ListParagraph"/>
              <w:numPr>
                <w:ilvl w:val="0"/>
                <w:numId w:val="2"/>
              </w:numPr>
              <w:spacing w:lineRule="auto" w:line="240" w:before="0" w:after="0"/>
              <w:contextualSpacing/>
              <w:rPr>
                <w:rFonts w:ascii="Calibri" w:hAnsi="Calibri" w:cs="Calibri"/>
                <w:color w:val="000000"/>
              </w:rPr>
            </w:pPr>
            <w:r>
              <w:rPr>
                <w:rFonts w:cs="Calibri" w:ascii="Calibri" w:hAnsi="Calibri"/>
                <w:color w:val="000000"/>
              </w:rPr>
              <w:t>Students had a positive attitude towards GP and a realistic idea of what GP entails</w:t>
            </w:r>
          </w:p>
          <w:p>
            <w:pPr>
              <w:pStyle w:val="ListParagraph"/>
              <w:numPr>
                <w:ilvl w:val="0"/>
                <w:numId w:val="2"/>
              </w:numPr>
              <w:spacing w:lineRule="auto" w:line="240" w:before="0" w:after="0"/>
              <w:contextualSpacing/>
              <w:rPr>
                <w:rFonts w:ascii="Calibri" w:hAnsi="Calibri" w:cs="Calibri"/>
                <w:color w:val="000000"/>
              </w:rPr>
            </w:pPr>
            <w:r>
              <w:rPr>
                <w:rFonts w:cs="Calibri" w:ascii="Calibri" w:hAnsi="Calibri"/>
                <w:color w:val="000000"/>
              </w:rPr>
              <w:t>Exposure to GPs during medical school had the greatest influence on perceptions of general practice</w:t>
            </w:r>
          </w:p>
          <w:p>
            <w:pPr>
              <w:pStyle w:val="ListParagraph"/>
              <w:numPr>
                <w:ilvl w:val="0"/>
                <w:numId w:val="2"/>
              </w:numPr>
              <w:spacing w:lineRule="auto" w:line="240" w:before="0" w:after="0"/>
              <w:contextualSpacing/>
              <w:rPr>
                <w:rFonts w:ascii="Calibri" w:hAnsi="Calibri" w:cs="Calibri"/>
                <w:color w:val="000000"/>
              </w:rPr>
            </w:pPr>
            <w:r>
              <w:rPr>
                <w:rFonts w:cs="Calibri" w:ascii="Calibri" w:hAnsi="Calibri"/>
                <w:color w:val="000000"/>
              </w:rPr>
              <w:t>Only 13% of the sample ranked GP as their first choice of specialty but 53% ranked it as one of their top three preferences (64% females)</w:t>
            </w:r>
          </w:p>
          <w:p>
            <w:pPr>
              <w:pStyle w:val="ListParagraph"/>
              <w:numPr>
                <w:ilvl w:val="0"/>
                <w:numId w:val="2"/>
              </w:numPr>
              <w:spacing w:lineRule="auto" w:line="240" w:before="0" w:after="0"/>
              <w:contextualSpacing/>
              <w:rPr>
                <w:rFonts w:ascii="Calibri" w:hAnsi="Calibri" w:cs="Calibri"/>
                <w:color w:val="000000"/>
              </w:rPr>
            </w:pPr>
            <w:r>
              <w:rPr>
                <w:rFonts w:cs="Calibri" w:ascii="Calibri" w:hAnsi="Calibri"/>
                <w:color w:val="000000"/>
              </w:rPr>
              <w:t>Students tended to agree that GP was important for continuity of care/health promotion and tended to disagree that GP was not intellectually stimulating and concerned with simple acute problems. Students also disagreed that GP work was more prestigious, and that GPs were academically weaker at school</w:t>
            </w:r>
          </w:p>
        </w:tc>
      </w:tr>
      <w:tr>
        <w:trPr>
          <w:trHeight w:val="300" w:hRule="atLeast"/>
        </w:trPr>
        <w:tc>
          <w:tcPr>
            <w:tcW w:w="19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lang w:eastAsia="en-AU"/>
              </w:rPr>
            </w:pPr>
            <w:r>
              <w:rPr>
                <w:rFonts w:eastAsia="Times New Roman" w:cs="Calibri" w:ascii="Calibri" w:hAnsi="Calibri"/>
                <w:color w:val="000000"/>
                <w:lang w:eastAsia="en-AU"/>
              </w:rPr>
              <w:t>Cole et al., 2020 (8)</w:t>
            </w:r>
          </w:p>
        </w:tc>
        <w:tc>
          <w:tcPr>
            <w:tcW w:w="7411" w:type="dxa"/>
            <w:tcBorders>
              <w:top w:val="single" w:sz="4" w:space="0" w:color="000000"/>
              <w:start w:val="single" w:sz="4" w:space="0" w:color="000000"/>
              <w:bottom w:val="single" w:sz="4" w:space="0" w:color="000000"/>
              <w:end w:val="single" w:sz="4" w:space="0" w:color="000000"/>
            </w:tcBorders>
          </w:tcPr>
          <w:p>
            <w:pPr>
              <w:pStyle w:val="ListParagraph"/>
              <w:numPr>
                <w:ilvl w:val="0"/>
                <w:numId w:val="3"/>
              </w:numPr>
              <w:spacing w:lineRule="auto" w:line="240" w:before="0" w:after="0"/>
              <w:contextualSpacing/>
              <w:rPr>
                <w:rFonts w:ascii="Calibri" w:hAnsi="Calibri" w:cs="Calibri"/>
                <w:color w:val="000000"/>
              </w:rPr>
            </w:pPr>
            <w:r>
              <w:rPr>
                <w:rFonts w:cs="Calibri" w:ascii="Calibri" w:hAnsi="Calibri"/>
                <w:color w:val="000000"/>
              </w:rPr>
              <w:t>Only 36% of participants provided support for a national undergraduate curriculum for GP</w:t>
            </w:r>
          </w:p>
          <w:p>
            <w:pPr>
              <w:pStyle w:val="ListParagraph"/>
              <w:numPr>
                <w:ilvl w:val="0"/>
                <w:numId w:val="3"/>
              </w:numPr>
              <w:spacing w:lineRule="auto" w:line="240" w:before="0" w:after="0"/>
              <w:contextualSpacing/>
              <w:rPr>
                <w:rFonts w:ascii="Calibri" w:hAnsi="Calibri" w:cs="Calibri"/>
                <w:color w:val="000000"/>
              </w:rPr>
            </w:pPr>
            <w:r>
              <w:rPr>
                <w:rFonts w:cs="Calibri" w:ascii="Calibri" w:hAnsi="Calibri"/>
                <w:color w:val="000000"/>
              </w:rPr>
              <w:t>There was strong support (64% support) for a modified curriculum with adaptable guiding principles</w:t>
            </w:r>
          </w:p>
          <w:p>
            <w:pPr>
              <w:pStyle w:val="ListParagraph"/>
              <w:numPr>
                <w:ilvl w:val="0"/>
                <w:numId w:val="3"/>
              </w:numPr>
              <w:spacing w:lineRule="auto" w:line="240" w:before="0" w:after="0"/>
              <w:contextualSpacing/>
              <w:rPr>
                <w:rFonts w:ascii="Calibri" w:hAnsi="Calibri" w:cs="Calibri"/>
                <w:color w:val="000000"/>
              </w:rPr>
            </w:pPr>
            <w:r>
              <w:rPr>
                <w:rFonts w:cs="Calibri" w:ascii="Calibri" w:hAnsi="Calibri"/>
                <w:color w:val="000000"/>
              </w:rPr>
              <w:t>72% saw GP as a distinct discipline while 28% were unsure</w:t>
            </w:r>
          </w:p>
          <w:p>
            <w:pPr>
              <w:pStyle w:val="ListParagraph"/>
              <w:numPr>
                <w:ilvl w:val="0"/>
                <w:numId w:val="3"/>
              </w:numPr>
              <w:spacing w:lineRule="auto" w:line="240" w:before="0" w:after="0"/>
              <w:contextualSpacing/>
              <w:rPr>
                <w:rFonts w:ascii="Calibri" w:hAnsi="Calibri" w:eastAsia="Times New Roman" w:cs="Calibri"/>
                <w:color w:val="000000"/>
                <w:lang w:eastAsia="en-AU"/>
              </w:rPr>
            </w:pPr>
            <w:r>
              <w:rPr>
                <w:rFonts w:cs="Calibri" w:ascii="Calibri" w:hAnsi="Calibri"/>
                <w:color w:val="000000"/>
              </w:rPr>
              <w:t>Respondents were not confident that they had the management structure (43% confident) or teaching staff (50% confidence) to deliver a national GP curriculum.</w:t>
            </w:r>
          </w:p>
        </w:tc>
      </w:tr>
      <w:tr>
        <w:trPr>
          <w:trHeight w:val="300" w:hRule="atLeast"/>
        </w:trPr>
        <w:tc>
          <w:tcPr>
            <w:tcW w:w="19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lang w:eastAsia="en-AU"/>
              </w:rPr>
            </w:pPr>
            <w:r>
              <w:rPr>
                <w:rFonts w:eastAsia="Times New Roman" w:cs="Calibri" w:ascii="Calibri" w:hAnsi="Calibri"/>
                <w:color w:val="000000"/>
                <w:lang w:eastAsia="en-AU"/>
              </w:rPr>
              <w:t>Hogg et al., 2008 (40)</w:t>
            </w:r>
          </w:p>
        </w:tc>
        <w:tc>
          <w:tcPr>
            <w:tcW w:w="7411" w:type="dxa"/>
            <w:tcBorders>
              <w:top w:val="single" w:sz="4" w:space="0" w:color="000000"/>
              <w:start w:val="single" w:sz="4" w:space="0" w:color="000000"/>
              <w:bottom w:val="single" w:sz="4" w:space="0" w:color="000000"/>
              <w:end w:val="single" w:sz="4" w:space="0" w:color="000000"/>
            </w:tcBorders>
          </w:tcPr>
          <w:p>
            <w:pPr>
              <w:pStyle w:val="ListParagraph"/>
              <w:numPr>
                <w:ilvl w:val="0"/>
                <w:numId w:val="4"/>
              </w:numPr>
              <w:spacing w:lineRule="auto" w:line="240" w:before="0" w:after="0"/>
              <w:contextualSpacing/>
              <w:rPr>
                <w:rFonts w:ascii="Calibri" w:hAnsi="Calibri" w:cs="Calibri"/>
                <w:color w:val="000000"/>
              </w:rPr>
            </w:pPr>
            <w:r>
              <w:rPr>
                <w:rFonts w:cs="Calibri" w:ascii="Calibri" w:hAnsi="Calibri"/>
                <w:color w:val="000000"/>
              </w:rPr>
              <w:t>There were prevalent pre-existing negative perceptions of GP as a career, with the final year GP placement acting as a tipping point towards considering GP</w:t>
            </w:r>
          </w:p>
          <w:p>
            <w:pPr>
              <w:pStyle w:val="ListParagraph"/>
              <w:numPr>
                <w:ilvl w:val="0"/>
                <w:numId w:val="4"/>
              </w:numPr>
              <w:spacing w:lineRule="auto" w:line="240" w:before="0" w:after="0"/>
              <w:contextualSpacing/>
              <w:rPr>
                <w:rFonts w:ascii="Calibri" w:hAnsi="Calibri" w:cs="Calibri"/>
                <w:color w:val="000000"/>
              </w:rPr>
            </w:pPr>
            <w:r>
              <w:rPr>
                <w:rFonts w:cs="Calibri" w:ascii="Calibri" w:hAnsi="Calibri"/>
                <w:color w:val="000000"/>
              </w:rPr>
              <w:t>Other important factors were lack of opportunities as an undergraduate to experience long-term rewards of GP, student perceptions of the hierarchy in medicine, factors being perceived as having the most important control over their careers</w:t>
            </w:r>
          </w:p>
          <w:p>
            <w:pPr>
              <w:pStyle w:val="ListParagraph"/>
              <w:numPr>
                <w:ilvl w:val="0"/>
                <w:numId w:val="4"/>
              </w:numPr>
              <w:spacing w:lineRule="auto" w:line="240" w:before="0" w:after="0"/>
              <w:contextualSpacing/>
              <w:rPr>
                <w:rFonts w:ascii="Calibri" w:hAnsi="Calibri" w:eastAsia="Times New Roman" w:cs="Calibri"/>
                <w:color w:val="000000"/>
                <w:lang w:eastAsia="en-AU"/>
              </w:rPr>
            </w:pPr>
            <w:r>
              <w:rPr>
                <w:rFonts w:cs="Calibri" w:ascii="Calibri" w:hAnsi="Calibri"/>
                <w:color w:val="000000"/>
              </w:rPr>
              <w:t>Most undergraduate students were not ready to commit to any definitive career plans, opting to wait until they had real experience, and a greater understanding of what GP would be like.</w:t>
            </w:r>
          </w:p>
        </w:tc>
      </w:tr>
      <w:tr>
        <w:trPr>
          <w:trHeight w:val="300" w:hRule="atLeast"/>
        </w:trPr>
        <w:tc>
          <w:tcPr>
            <w:tcW w:w="19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lang w:eastAsia="en-AU"/>
              </w:rPr>
            </w:pPr>
            <w:r>
              <w:rPr>
                <w:rFonts w:eastAsia="Times New Roman" w:cs="Calibri" w:ascii="Calibri" w:hAnsi="Calibri"/>
                <w:color w:val="000000"/>
                <w:lang w:eastAsia="en-AU"/>
              </w:rPr>
              <w:t>Howe &amp; Ives, 2001 (41)</w:t>
            </w:r>
          </w:p>
        </w:tc>
        <w:tc>
          <w:tcPr>
            <w:tcW w:w="7411" w:type="dxa"/>
            <w:tcBorders>
              <w:top w:val="single" w:sz="4" w:space="0" w:color="000000"/>
              <w:start w:val="single" w:sz="4" w:space="0" w:color="000000"/>
              <w:bottom w:val="single" w:sz="4" w:space="0" w:color="000000"/>
              <w:end w:val="single" w:sz="4" w:space="0" w:color="000000"/>
            </w:tcBorders>
          </w:tcPr>
          <w:p>
            <w:pPr>
              <w:pStyle w:val="ListParagraph"/>
              <w:numPr>
                <w:ilvl w:val="0"/>
                <w:numId w:val="5"/>
              </w:numPr>
              <w:spacing w:lineRule="auto" w:line="240" w:before="0" w:after="0"/>
              <w:contextualSpacing/>
              <w:rPr>
                <w:rFonts w:ascii="Calibri" w:hAnsi="Calibri" w:cs="Calibri"/>
                <w:color w:val="000000"/>
              </w:rPr>
            </w:pPr>
            <w:r>
              <w:rPr>
                <w:rFonts w:cs="Calibri" w:ascii="Calibri" w:hAnsi="Calibri"/>
                <w:color w:val="000000"/>
              </w:rPr>
              <w:t>Community exposure can significantly alter career preference, at least within the year it is undertaken</w:t>
            </w:r>
          </w:p>
          <w:p>
            <w:pPr>
              <w:pStyle w:val="ListParagraph"/>
              <w:numPr>
                <w:ilvl w:val="0"/>
                <w:numId w:val="5"/>
              </w:numPr>
              <w:spacing w:lineRule="auto" w:line="240" w:before="0" w:after="0"/>
              <w:contextualSpacing/>
              <w:rPr>
                <w:rFonts w:ascii="Calibri" w:hAnsi="Calibri" w:cs="Calibri"/>
                <w:color w:val="000000"/>
              </w:rPr>
            </w:pPr>
            <w:r>
              <w:rPr>
                <w:rFonts w:cs="Calibri" w:ascii="Calibri" w:hAnsi="Calibri"/>
                <w:color w:val="000000"/>
              </w:rPr>
              <w:t>An entirely hospital-based course influence students to preference non-GP careers</w:t>
            </w:r>
          </w:p>
          <w:p>
            <w:pPr>
              <w:pStyle w:val="ListParagraph"/>
              <w:numPr>
                <w:ilvl w:val="0"/>
                <w:numId w:val="5"/>
              </w:numPr>
              <w:spacing w:lineRule="auto" w:line="240" w:before="0" w:after="0"/>
              <w:contextualSpacing/>
              <w:rPr>
                <w:rFonts w:ascii="Calibri" w:hAnsi="Calibri" w:cs="Calibri"/>
                <w:color w:val="000000"/>
              </w:rPr>
            </w:pPr>
            <w:r>
              <w:rPr>
                <w:rFonts w:cs="Calibri" w:ascii="Calibri" w:hAnsi="Calibri"/>
                <w:color w:val="000000"/>
              </w:rPr>
              <w:t>Even with increased clinical contact, the majority of students continue to expect to enter hospital specialties</w:t>
            </w:r>
          </w:p>
          <w:p>
            <w:pPr>
              <w:pStyle w:val="ListParagraph"/>
              <w:numPr>
                <w:ilvl w:val="0"/>
                <w:numId w:val="5"/>
              </w:numPr>
              <w:spacing w:lineRule="auto" w:line="240" w:before="0" w:after="0"/>
              <w:contextualSpacing/>
              <w:rPr>
                <w:rFonts w:ascii="Calibri" w:hAnsi="Calibri" w:cs="Calibri"/>
                <w:color w:val="000000"/>
              </w:rPr>
            </w:pPr>
            <w:r>
              <w:rPr>
                <w:rFonts w:cs="Calibri" w:ascii="Calibri" w:hAnsi="Calibri"/>
                <w:color w:val="000000"/>
              </w:rPr>
              <w:t>Students were exposed to ‘patient-centred’ care and expressed positive attitudes to issues such as teamwork</w:t>
            </w:r>
          </w:p>
          <w:p>
            <w:pPr>
              <w:pStyle w:val="ListParagraph"/>
              <w:numPr>
                <w:ilvl w:val="0"/>
                <w:numId w:val="5"/>
              </w:numPr>
              <w:spacing w:lineRule="auto" w:line="240" w:before="0" w:after="0"/>
              <w:contextualSpacing/>
              <w:rPr>
                <w:rFonts w:ascii="Calibri" w:hAnsi="Calibri" w:eastAsia="Times New Roman" w:cs="Calibri"/>
                <w:color w:val="000000"/>
                <w:lang w:eastAsia="en-AU"/>
              </w:rPr>
            </w:pPr>
            <w:r>
              <w:rPr>
                <w:rFonts w:cs="Calibri" w:ascii="Calibri" w:hAnsi="Calibri"/>
                <w:color w:val="000000"/>
              </w:rPr>
              <w:t>Altitudinal parameters appear to be adversely affected by a prolonged period of hospital exposure</w:t>
            </w:r>
          </w:p>
        </w:tc>
      </w:tr>
      <w:tr>
        <w:trPr>
          <w:trHeight w:val="300" w:hRule="atLeast"/>
        </w:trPr>
        <w:tc>
          <w:tcPr>
            <w:tcW w:w="1940"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lang w:eastAsia="en-AU"/>
              </w:rPr>
            </w:pPr>
            <w:r>
              <w:rPr>
                <w:rFonts w:eastAsia="Times New Roman" w:cs="Calibri" w:ascii="Calibri" w:hAnsi="Calibri"/>
                <w:color w:val="000000"/>
                <w:lang w:eastAsia="en-AU"/>
              </w:rPr>
              <w:t>Rogers et al., 2009 (42)</w:t>
            </w:r>
          </w:p>
        </w:tc>
        <w:tc>
          <w:tcPr>
            <w:tcW w:w="7411" w:type="dxa"/>
            <w:tcBorders>
              <w:top w:val="single" w:sz="4" w:space="0" w:color="000000"/>
              <w:start w:val="single" w:sz="4" w:space="0" w:color="000000"/>
              <w:bottom w:val="single" w:sz="4" w:space="0" w:color="000000"/>
              <w:end w:val="single" w:sz="4" w:space="0" w:color="000000"/>
            </w:tcBorders>
          </w:tcPr>
          <w:p>
            <w:pPr>
              <w:pStyle w:val="ListParagraph"/>
              <w:numPr>
                <w:ilvl w:val="0"/>
                <w:numId w:val="6"/>
              </w:numPr>
              <w:spacing w:lineRule="auto" w:line="240" w:before="0" w:after="0"/>
              <w:contextualSpacing/>
              <w:rPr>
                <w:rFonts w:ascii="Calibri" w:hAnsi="Calibri" w:eastAsia="Times New Roman" w:cs="Calibri"/>
                <w:color w:val="000000"/>
                <w:lang w:eastAsia="en-AU"/>
              </w:rPr>
            </w:pPr>
            <w:r>
              <w:rPr>
                <w:rFonts w:cs="Calibri" w:ascii="Calibri" w:hAnsi="Calibri"/>
                <w:color w:val="000000"/>
              </w:rPr>
              <w:t>Resulted in the development of theory-based measures to predict future medical workforce practice choices</w:t>
            </w:r>
          </w:p>
        </w:tc>
      </w:tr>
    </w:tbl>
    <w:p>
      <w:pPr>
        <w:pStyle w:val="Normal"/>
        <w:rPr>
          <w:rFonts w:ascii="Calibri" w:hAnsi="Calibri" w:cs="Calibri"/>
        </w:rPr>
      </w:pPr>
      <w:r>
        <w:rPr>
          <w:rFonts w:cs="Calibri" w:ascii="Calibri" w:hAnsi="Calibri"/>
          <w:i/>
          <w:iCs/>
        </w:rPr>
        <w:t xml:space="preserve">Note: </w:t>
      </w:r>
      <w:r>
        <w:rPr>
          <w:rFonts w:cs="Calibri" w:ascii="Calibri" w:hAnsi="Calibri"/>
        </w:rPr>
        <w:t>GP = general practice/general practitioner</w:t>
      </w:r>
    </w:p>
    <w:p>
      <w:pPr>
        <w:pStyle w:val="Normal"/>
        <w:rPr>
          <w:rFonts w:ascii="Calibri" w:hAnsi="Calibri" w:cs="Calibri"/>
          <w:b/>
          <w:bCs/>
        </w:rPr>
      </w:pPr>
      <w:r>
        <w:rPr>
          <w:rFonts w:cs="Calibri" w:ascii="Calibri" w:hAnsi="Calibri"/>
          <w:b/>
          <w:bCs/>
        </w:rPr>
      </w:r>
    </w:p>
    <w:p>
      <w:pPr>
        <w:pStyle w:val="Normal"/>
        <w:rPr>
          <w:rFonts w:ascii="Calibri" w:hAnsi="Calibri" w:cs="Calibri"/>
          <w:b/>
          <w:bCs/>
        </w:rPr>
      </w:pPr>
      <w:r>
        <w:rPr>
          <w:rFonts w:cs="Calibri" w:ascii="Calibri" w:hAnsi="Calibri"/>
          <w:b/>
          <w:bCs/>
        </w:rPr>
      </w:r>
    </w:p>
    <w:p>
      <w:pPr>
        <w:pStyle w:val="Normal"/>
        <w:spacing w:before="0" w:after="160"/>
        <w:rPr>
          <w:rFonts w:ascii="Calibri" w:hAnsi="Calibri" w:cs="Calibri"/>
          <w:b/>
          <w:bCs/>
        </w:rPr>
        <w:sectPr>
          <w:type w:val="nextPage"/>
          <w:pgSz w:w="11906" w:h="16838"/>
          <w:pgMar w:left="1440" w:right="1440" w:gutter="0" w:header="0" w:top="1440" w:footer="0" w:bottom="1440"/>
          <w:pgNumType w:fmt="decimal"/>
          <w:formProt w:val="false"/>
          <w:textDirection w:val="lrTb"/>
          <w:docGrid w:type="default" w:linePitch="360" w:charSpace="0"/>
        </w:sectPr>
      </w:pPr>
      <w:r>
        <w:rPr>
          <w:rFonts w:cs="Calibri" w:ascii="Calibri" w:hAnsi="Calibri"/>
          <w:b/>
          <w:bCs/>
        </w:rPr>
      </w:r>
      <w:r>
        <w:br w:type="page"/>
      </w:r>
    </w:p>
    <w:p>
      <w:pPr>
        <w:pStyle w:val="Normal"/>
        <w:rPr>
          <w:rFonts w:ascii="Calibri" w:hAnsi="Calibri" w:cs="Calibri"/>
          <w:b/>
          <w:bCs/>
        </w:rPr>
      </w:pPr>
      <w:r>
        <w:rPr>
          <w:rFonts w:cs="Calibri" w:ascii="Calibri" w:hAnsi="Calibri"/>
          <w:b/>
          <w:bCs/>
        </w:rPr>
        <w:t xml:space="preserve">Supplementary Table 5. </w:t>
      </w:r>
      <w:r>
        <w:rPr>
          <w:rFonts w:cs="Calibri" w:ascii="Calibri" w:hAnsi="Calibri"/>
        </w:rPr>
        <w:t>Citations of frameworks produced as outcomes by included studies with implicit theories</w:t>
      </w:r>
    </w:p>
    <w:tbl>
      <w:tblPr>
        <w:tblW w:w="14743" w:type="dxa"/>
        <w:jc w:val="start"/>
        <w:tblInd w:w="-856" w:type="dxa"/>
        <w:tblLayout w:type="fixed"/>
        <w:tblCellMar>
          <w:top w:w="0" w:type="dxa"/>
          <w:start w:w="108" w:type="dxa"/>
          <w:bottom w:w="0" w:type="dxa"/>
          <w:end w:w="108" w:type="dxa"/>
        </w:tblCellMar>
        <w:tblLook w:firstRow="1" w:noVBand="1" w:lastRow="0" w:firstColumn="1" w:lastColumn="0" w:noHBand="0" w:val="04a0"/>
      </w:tblPr>
      <w:tblGrid>
        <w:gridCol w:w="1701"/>
        <w:gridCol w:w="3544"/>
        <w:gridCol w:w="1417"/>
        <w:gridCol w:w="1418"/>
        <w:gridCol w:w="3118"/>
        <w:gridCol w:w="3545"/>
      </w:tblGrid>
      <w:tr>
        <w:trPr>
          <w:tblHeader w:val="true"/>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tabs>
                <w:tab w:val="clear" w:pos="720"/>
                <w:tab w:val="left" w:pos="1310" w:leader="none"/>
              </w:tabs>
              <w:spacing w:lineRule="auto" w:line="240" w:before="0" w:after="0"/>
              <w:rPr>
                <w:rFonts w:ascii="Calibri" w:hAnsi="Calibri" w:eastAsia="Times New Roman" w:cs="Calibri"/>
                <w:b/>
                <w:bCs/>
                <w:color w:val="000000"/>
                <w:sz w:val="18"/>
                <w:szCs w:val="18"/>
                <w:lang w:eastAsia="en-AU"/>
              </w:rPr>
            </w:pPr>
            <w:r>
              <w:rPr>
                <w:rFonts w:eastAsia="Times New Roman" w:cs="Calibri" w:ascii="Calibri" w:hAnsi="Calibri"/>
                <w:b/>
                <w:bCs/>
                <w:color w:val="000000"/>
                <w:sz w:val="18"/>
                <w:szCs w:val="18"/>
                <w:lang w:eastAsia="en-AU"/>
              </w:rPr>
              <w:t>Study ID</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b/>
                <w:bCs/>
                <w:color w:val="000000"/>
                <w:sz w:val="18"/>
                <w:szCs w:val="18"/>
                <w:lang w:eastAsia="en-AU"/>
              </w:rPr>
            </w:pPr>
            <w:r>
              <w:rPr>
                <w:rFonts w:eastAsia="Times New Roman" w:cs="Calibri" w:ascii="Calibri" w:hAnsi="Calibri"/>
                <w:b/>
                <w:bCs/>
                <w:color w:val="000000"/>
                <w:sz w:val="18"/>
                <w:szCs w:val="18"/>
                <w:lang w:eastAsia="en-AU"/>
              </w:rPr>
              <w:t>Description of the theory or framework used</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b/>
                <w:bCs/>
                <w:color w:val="000000"/>
                <w:sz w:val="18"/>
                <w:szCs w:val="18"/>
                <w:lang w:eastAsia="en-AU"/>
              </w:rPr>
            </w:pPr>
            <w:r>
              <w:rPr>
                <w:rFonts w:eastAsia="Times New Roman" w:cs="Calibri" w:ascii="Calibri" w:hAnsi="Calibri"/>
                <w:b/>
                <w:bCs/>
                <w:color w:val="000000"/>
                <w:sz w:val="18"/>
                <w:szCs w:val="18"/>
                <w:lang w:eastAsia="en-AU"/>
              </w:rPr>
              <w:t>Ontology</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b/>
                <w:bCs/>
                <w:color w:val="000000"/>
                <w:sz w:val="18"/>
                <w:szCs w:val="18"/>
              </w:rPr>
            </w:pPr>
            <w:r>
              <w:rPr>
                <w:rFonts w:cs="Calibri" w:ascii="Calibri" w:hAnsi="Calibri"/>
                <w:b/>
                <w:bCs/>
                <w:color w:val="000000"/>
                <w:sz w:val="18"/>
                <w:szCs w:val="18"/>
              </w:rPr>
              <w:t>Epistemology</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b/>
                <w:bCs/>
                <w:color w:val="000000"/>
                <w:sz w:val="18"/>
                <w:szCs w:val="18"/>
              </w:rPr>
            </w:pPr>
            <w:r>
              <w:rPr>
                <w:rFonts w:cs="Calibri" w:ascii="Calibri" w:hAnsi="Calibri"/>
                <w:b/>
                <w:bCs/>
                <w:color w:val="000000"/>
                <w:sz w:val="18"/>
                <w:szCs w:val="18"/>
              </w:rPr>
              <w:t>Frameworks produced</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cs="Calibri"/>
                <w:b/>
                <w:bCs/>
                <w:color w:val="000000"/>
                <w:sz w:val="18"/>
                <w:szCs w:val="18"/>
              </w:rPr>
            </w:pPr>
            <w:r>
              <w:rPr>
                <w:rFonts w:cs="Calibri" w:ascii="Calibri" w:hAnsi="Calibri"/>
                <w:b/>
                <w:bCs/>
                <w:color w:val="000000"/>
                <w:sz w:val="18"/>
                <w:szCs w:val="18"/>
              </w:rPr>
              <w:t>Subsequent studies using the framework</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Alberti et al., 2017 (38)</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Career choice intentions of medical students is a complex issue with multiple modifiable and non-modifiable factors reported, such as exposure to specialty, role models, financial reward, prestige and work-load. The situation around GP as a career choice is similarly complex and includes pretraining perceptions, medical school influences and postgraduate factors.8 One area rarely addressed until recently is the issue of undermining of career choices. It has been suggested, based predominantly on anecdotal evidence, that negative comments made to students and trainees may influence career choices.</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Factors influencing clinicians’ perceptions of General Practice</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25 citations</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Chellappah &amp; Garnham, 2014 (39)</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...we must understand medical students’ attitudes towards general practice and GPs and what influences these attitudes. Medical students’ opinions are particularly relevant as doctors are applying to specific speciality training schemes soon after qualification. Doctors rejecting general practice as a speciality tended to cite reasons such as job content and too much administration. One study found that junior doctors perceived general practice negatively and as a career with less clinical interest, but a better lifestyle. However, a study at Imperial College Medical School in 2002 showed that students had a positive attitude towards general practice. There have been significant changes in the NHS and, therefore, we felt that we needed to understand what current students’ attitudes towards general practice are. The questionnaire was developed after literature review and presentation at an international medical education conference, and explored five separate domains given (demographics, characteristics of general practice, GPs vs hospital specialties, influences on perception of GP, influences on future specialty + current choice). The domains selected were in keeping with key attitudinal constructs that emerged in focus groups looking at what influenced medical students attitudes towards general practice at Imperial College in 2002.</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Post-positivist</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Positivist</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The more exposure students have to general practice, the more likely they are to choose it as an intended career. ‘Interest in the field’ is the greatest influence on future career choices and as such this may be a more important area to recruit students to careers in general practice.</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cs="Calibri"/>
                <w:color w:val="000000"/>
                <w:sz w:val="18"/>
                <w:szCs w:val="18"/>
              </w:rPr>
            </w:pPr>
            <w:r>
              <w:rPr>
                <w:rFonts w:cs="Calibri" w:ascii="Calibri" w:hAnsi="Calibri"/>
                <w:color w:val="000000"/>
                <w:sz w:val="18"/>
                <w:szCs w:val="18"/>
              </w:rPr>
              <w:t>7 citations;</w:t>
            </w:r>
          </w:p>
          <w:p>
            <w:pPr>
              <w:pStyle w:val="Normal"/>
              <w:spacing w:lineRule="auto" w:line="240" w:before="0" w:after="0"/>
              <w:jc w:val="both"/>
              <w:rPr>
                <w:rFonts w:ascii="Calibri" w:hAnsi="Calibri" w:cs="Calibri"/>
                <w:color w:val="000000"/>
                <w:sz w:val="18"/>
                <w:szCs w:val="18"/>
              </w:rPr>
            </w:pPr>
            <w:r>
              <w:rPr>
                <w:rFonts w:cs="Calibri" w:ascii="Calibri" w:hAnsi="Calibri"/>
                <w:color w:val="000000"/>
                <w:sz w:val="18"/>
                <w:szCs w:val="18"/>
              </w:rPr>
              <w:t>Informed the study (N = 1)</w:t>
            </w:r>
          </w:p>
          <w:p>
            <w:pPr>
              <w:pStyle w:val="Normal"/>
              <w:spacing w:lineRule="auto" w:line="240" w:before="0" w:after="0"/>
              <w:jc w:val="both"/>
              <w:rPr>
                <w:rFonts w:ascii="Calibri" w:hAnsi="Calibri" w:cs="Calibri"/>
                <w:color w:val="000000"/>
                <w:sz w:val="18"/>
                <w:szCs w:val="18"/>
              </w:rPr>
            </w:pPr>
            <w:r>
              <w:rPr>
                <w:rFonts w:cs="Calibri" w:ascii="Calibri" w:hAnsi="Calibri"/>
                <w:color w:val="000000"/>
                <w:sz w:val="18"/>
                <w:szCs w:val="18"/>
              </w:rPr>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Edgcumbe et al., 2008 (43)</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Evidence suggests that experience as students can influence subsequent career choice</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Positivist</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Positivist</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NA</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cs="Calibri"/>
                <w:color w:val="000000"/>
                <w:sz w:val="18"/>
                <w:szCs w:val="18"/>
              </w:rPr>
            </w:pPr>
            <w:r>
              <w:rPr>
                <w:rFonts w:cs="Calibri" w:ascii="Calibri" w:hAnsi="Calibri"/>
                <w:color w:val="000000"/>
                <w:sz w:val="18"/>
                <w:szCs w:val="18"/>
              </w:rPr>
              <w:t>NA</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Firth &amp; Wass, 2007 (44)</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There is clear evidence that there is a wealth of learning experience in the community and that GPs can teach basic clinical skills effectively. However, as increasing demand is placed on GPs to teach, assuring consistently high-quality attachments is threatened.</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Post-positivist</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NA</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NA</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Firth &amp; Wass, 2011 (45)</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published evaluations of general practice training posts in the old preregistration house officer system and the exploration of pilot programmes suggested that the experience trainees could expect in general practice would be rewarding and educationally beneficial.3,4 Despite this there was a clear undercurrent of discontent with training experience in general practice at an undergraduate level captured in a study exploring medical student perceptions of primary care.</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Post-positivist</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beneficial impact of Foundation posts in general practice for training, career planning in general and, as outlined in the initial goals of the programme, the interface between primary and secondary care</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1 citation</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Hogg et al., 2008 (40)</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The increase in the number of community-based attachments in undergraduate medical education has been said to increase students’ career preference for general practice both in the UK and also internationally. However, studies have demonstrated that the positive influence of community-based attachments can be transient and there is scope for further delineation and prioritisation of the ‘complex and multifactorial’ determinants of undergraduate general practice career intention.</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t>
            </w:r>
            <w:r>
              <w:rPr>
                <w:rFonts w:eastAsia="Times New Roman" w:cs="Calibri" w:ascii="Calibri" w:hAnsi="Calibri"/>
                <w:color w:val="000000"/>
                <w:sz w:val="18"/>
                <w:szCs w:val="18"/>
                <w:lang w:eastAsia="en-AU"/>
              </w:rPr>
              <w:t>factors both extrinsic and intrinsic to the MBBS curriculum has been shown to be of importance. However, it may be that this question could be reconfigured for further in-depth work in this area, exploring in more detail the reasons why students wish to keep their options open [...] However, if this exposure is left too late in the curriculum it may not be sufficient to ‘tip the balance’ back so that students are able to make a non-prejudiced career decision. Therefore, curriculum designers and general practice teachers should be encouraged to consider how to maximise insights into what working as a GP is like early and throughout the curriculum so that students can make truly informed choices, in time for the early career decisions now being asked of them under MMC.’’</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NA</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Howe &amp; Ives, 2001 (41)</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Variables that are strongly associated with generalist career choices are predominantly demographic (e.g. female gender) or attitudinal,8 but the eventual determinants are complex and multifactorial. The greater part of medical education does not occur in primary care settings, and it has been postulated that medical students are socialized towards career choices in hospital settings.9 Therefore, more community-based learning should encourage more students to make a definite choice in favour of general practice. While some authors have found community clinical exposure to appear to influence career choice,7 others have shown that altered career preference following community exposure may be relatively short-term, if the impact is reduced by an ongoing hospital-based environment</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Post-positivist</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NA</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NA</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Jones et al., 2005 (46)</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There is a demand from medical students to be academically challenged and a need to produce junior doctors better equipped to deal with changing medical needs and patient expectations. The 1993 version of British General Medical Council’s (GMC) Tomorrow’s Doctors document recommends extending intercalated degrees and community based learning (General Medical Council, 2002) This institution has developed a BSc in Primary Health Care, which was launched in October 1997.</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cs="Calibri"/>
                <w:color w:val="000000"/>
                <w:sz w:val="18"/>
                <w:szCs w:val="18"/>
              </w:rPr>
            </w:pPr>
            <w:r>
              <w:rPr>
                <w:rFonts w:cs="Calibri" w:ascii="Calibri" w:hAnsi="Calibri"/>
                <w:color w:val="000000"/>
                <w:sz w:val="18"/>
                <w:szCs w:val="18"/>
              </w:rPr>
              <w:t>NA</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NA</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Merrett et al., 2017 (47)</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Some suggest participants have a positive attitude towards a career in general practice, although others highlight more negative aspects. Lifestyle, organisational factors, and the influence of hospital medicine emerged consistently across these papers. One study that surveyed participants’ future career plans found that only 13% of participants identified general practice as their first career choice, compared with 85% whose first career choice was a hospital specialty.</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Perceived quality of life and job satisfaction were generally viewed positively compared with other specialties, although there were concerns that the advantages, such as work–life balance, were being eroded. The uncertainties around the future of general practice and the NHS were viewed negatively. There was a perceived lack of respect for general practice within the medical profession, among the public, and in the media, which the FY1s saw as a significant deterrent against a career in general practice. Overall, although most participants in this study recognised the importance of general practice, few considered it their first career choice. Potential remedies focused on reducing the uncertainties for the future direction of general practice, increased pay, and decreased managerial and administrative workload.</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15 citations;</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Provided theoretical contexts to the program (N = 1)</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Nicholson et al., 2016 (48)</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While this study focused on career choice for general practice, it was considered important to understand both ‘pushes’ and ‘pulls’ to and from general practice and other disciplines. [...] It has been found that females are more likely to express an intention to enter general or family practice, students and doctors who grew up in a rural environment are more likely to elect to practise in a rural environment, and students’ career intentions before entry to medical school affect career intentions in their final year of study. Students who specifically express intentions to work with disadvantaged or underserved populations are more likely to choose primary care than students not wanting to work with such groups. Goldacre and colleagues have also outlined that those students who state an early primary care preference are likely to retain it. Unfortunately, sometimes the ethos of the educational institution, disparaging remarks from hospital colleagues, observation of poor practice, and perceived tedious, uncompetitive paid work discourages students from this pathway. The school’s culture is important: students attending schools where primary care as a career is ‘badmouthed’ are less likely to state they wish to practise in primary care. Nevertheless, little is known about the factors that help shape students’ career intentions while they are studying. The curriculum itself may be important: there is some evidence that longitudinal placements or community education increase the likelihood of a medical student choosing primary care as a career. Medical students make their career choices for a variety of positive reasons, including: appropriate role modelling by GPs; opportunities for patient contact and good undergraduate experiences; and a preference for more flexible working, thereby providing a better work–life balance. There is also evidence that the medical school attended may influence career preference, although the underpinning reasons for this are not clear.</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Pre-medical school career intentions formed by personal and family experience can be powerfully reinforced by students’ (mis)interpretations of the rationale driving their curriculum and messages from the school. High-quality clinical experience and authentic placement in general practice can be a strong attraction to general practice as a career. Negative role models are powerful repellents, while positive role models are attractants to careers in general practice: although the challenges involved in being a ‘good GP’ was clearly articulated by students. There is a powerful perception of a hierarchy of careers, with general practice at the bottom. This appears to be perpetuated by both the student body and the behaviours of clinical and academic staff.</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35 citations;</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Expanded on the study/findings (N = 2)</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Parker et al., 2014 (49)</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NA</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Contact with general practice, through student placements and as a patient, is the most significant factor influencing attitudes of final year medical students to general practice as a career in New Zealand. Effective positive influences include being made to feel welcome, involved, valued, and given legitimate roles during clinical placements in general practice</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15 citations;</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Informed the study (N = 2)</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Pfarrwaller et al., 2017 (9)</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Medical students’ career choices are influenced by a number of complex factors that extend beyond the formal curriculum. Group-based approach and an iterative process inspired by participatory action research [not explained]; Mitchell's conceptual model</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An expanded conceptual framework of medical students’ primary care career choice. Students enter the process of decision making with their personal characteristics and initial interest in primary care, and they emerge at graduation with a choice for their future career (depicted in the central part of the framework). This process is influenced by various factors, which are grouped into hierarchical systems (depicted in the outer part of the framework as concentric circles). The lower part of the figure is a detailed representation of students’ career choice process. Preexisting personal characteristics influence students’ initial interest in primary care; based on this interest, students fit into one of four distinct groups—primary care (PC) committed, primary care positive, undecided, and non-primary-care (NPC) committed. During this process, students may change career paths, and then they make a career choice at graduation regarding their postgraduate training.</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24 citations;</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Tested the framework (N = 3)</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Applied the framework/methodology (N = 3)</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Utilised the lens of the framework (N = 1)</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Used the framework to conceptualise the results (N = 1)</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 xml:space="preserve">Thistlewaite et al., 2008 (50) </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The wide variation in the number of graduates from different medical schools choosing to enter general practice training suggests that undergraduate experience affects career choice</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Constructivist</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There are a number of factors that contribute to medical students’ and junior doctors’ career choice. Attention needs to be paid to the quality of the general practice learning experience and general practice posts in the early postgraduate years, and the attractions of general practice should be promoted.</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9 citations</w:t>
            </w:r>
          </w:p>
        </w:tc>
      </w:tr>
      <w:tr>
        <w:trPr>
          <w:trHeight w:val="298" w:hRule="atLeast"/>
        </w:trPr>
        <w:tc>
          <w:tcPr>
            <w:tcW w:w="1701"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Tolhurst &amp; Stewart, 2005 (51)</w:t>
            </w:r>
          </w:p>
        </w:tc>
        <w:tc>
          <w:tcPr>
            <w:tcW w:w="3544"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Some areas of Australia experience shortages of general practitioners, and this may become worse and more widespread. Yet only a minority of Australian graduates choose a career in general practice. [...] There remain unfilled vacancies in general practice training programs.</w:t>
            </w:r>
          </w:p>
        </w:tc>
        <w:tc>
          <w:tcPr>
            <w:tcW w:w="1417"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14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Critical theory</w:t>
            </w:r>
          </w:p>
        </w:tc>
        <w:tc>
          <w:tcPr>
            <w:tcW w:w="3118"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We found that most students were deterred from a career in general practice because of negative undergraduate general practice experiences [...] Specialists denigrating GPs [...] influenced some participants, as did the low status of general practice in the community. This may reflect a low morale in general practice, with GPs communicating it realistically.</w:t>
            </w:r>
          </w:p>
        </w:tc>
        <w:tc>
          <w:tcPr>
            <w:tcW w:w="3545" w:type="dxa"/>
            <w:tcBorders>
              <w:top w:val="single" w:sz="4" w:space="0" w:color="000000"/>
              <w:start w:val="single" w:sz="4" w:space="0" w:color="000000"/>
              <w:bottom w:val="single" w:sz="4" w:space="0" w:color="000000"/>
              <w:end w:val="single" w:sz="4" w:space="0" w:color="000000"/>
            </w:tcBorders>
          </w:tcPr>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t>17 citations</w:t>
            </w:r>
          </w:p>
          <w:p>
            <w:pPr>
              <w:pStyle w:val="Normal"/>
              <w:spacing w:lineRule="auto" w:line="240" w:before="0" w:after="0"/>
              <w:jc w:val="both"/>
              <w:rPr>
                <w:rFonts w:ascii="Calibri" w:hAnsi="Calibri" w:eastAsia="Times New Roman" w:cs="Calibri"/>
                <w:color w:val="000000"/>
                <w:sz w:val="18"/>
                <w:szCs w:val="18"/>
                <w:lang w:eastAsia="en-AU"/>
              </w:rPr>
            </w:pPr>
            <w:r>
              <w:rPr>
                <w:rFonts w:eastAsia="Times New Roman" w:cs="Calibri" w:ascii="Calibri" w:hAnsi="Calibri"/>
                <w:color w:val="000000"/>
                <w:sz w:val="18"/>
                <w:szCs w:val="18"/>
                <w:lang w:eastAsia="en-AU"/>
              </w:rPr>
            </w:r>
          </w:p>
        </w:tc>
      </w:tr>
    </w:tbl>
    <w:p>
      <w:pPr>
        <w:pStyle w:val="Normal"/>
        <w:rPr>
          <w:rFonts w:ascii="Calibri" w:hAnsi="Calibri" w:cs="Calibri"/>
          <w:i/>
          <w:iCs/>
        </w:rPr>
      </w:pPr>
      <w:r>
        <w:rPr>
          <w:rFonts w:cs="Calibri" w:ascii="Calibri" w:hAnsi="Calibri"/>
          <w:i/>
          <w:iCs/>
        </w:rPr>
        <w:t>Note: citation details (subsequent studies using outcome) are only provided for subsequent studies have used the frameworks within their research.</w:t>
      </w:r>
    </w:p>
    <w:p>
      <w:pPr>
        <w:pStyle w:val="Normal"/>
        <w:spacing w:before="0" w:after="160"/>
        <w:rPr>
          <w:rFonts w:ascii="Calibri" w:hAnsi="Calibri" w:cs="Calibri"/>
        </w:rPr>
        <w:sectPr>
          <w:type w:val="nextPage"/>
          <w:pgSz w:orient="landscape" w:w="16838" w:h="11906"/>
          <w:pgMar w:left="1440" w:right="1440" w:gutter="0" w:header="0" w:top="1440" w:footer="0" w:bottom="1440"/>
          <w:pgNumType w:fmt="decimal"/>
          <w:formProt w:val="false"/>
          <w:textDirection w:val="lrTb"/>
          <w:docGrid w:type="default" w:linePitch="360" w:charSpace="0"/>
        </w:sectPr>
      </w:pPr>
      <w:r>
        <w:rPr>
          <w:rFonts w:cs="Calibri" w:ascii="Calibri" w:hAnsi="Calibri"/>
        </w:rPr>
      </w:r>
    </w:p>
    <w:p>
      <w:pPr>
        <w:pStyle w:val="Normal"/>
        <w:rPr>
          <w:rFonts w:ascii="Calibri" w:hAnsi="Calibri" w:cs="Calibri"/>
          <w:b/>
          <w:bCs/>
        </w:rPr>
      </w:pPr>
      <w:r>
        <w:rPr>
          <w:rFonts w:cs="Calibri" w:ascii="Calibri" w:hAnsi="Calibri"/>
          <w:b/>
          <w:bCs/>
        </w:rPr>
        <w:t>References (supplementary material)</w:t>
      </w:r>
    </w:p>
    <w:p>
      <w:pPr>
        <w:pStyle w:val="EndNoteBibliography"/>
        <w:spacing w:before="0" w:after="0"/>
        <w:rPr>
          <w:rFonts w:ascii="Calibri" w:hAnsi="Calibri" w:cs="Calibri"/>
        </w:rPr>
      </w:pPr>
      <w:r>
        <w:rPr>
          <w:rFonts w:cs="Calibri" w:ascii="Calibri" w:hAnsi="Calibri"/>
        </w:rPr>
        <w:t>1.</w:t>
        <w:tab/>
        <w:t>Lent RW, Brown SD. Social cognitive model of career self-management: Toward a unifying view of adaptive career behavior across the life span. American Psychological Association; 2013. p. 557-68.</w:t>
      </w:r>
    </w:p>
    <w:p>
      <w:pPr>
        <w:pStyle w:val="EndNoteBibliography"/>
        <w:spacing w:before="0" w:after="0"/>
        <w:rPr>
          <w:rFonts w:ascii="Calibri" w:hAnsi="Calibri" w:cs="Calibri"/>
        </w:rPr>
      </w:pPr>
      <w:r>
        <w:rPr>
          <w:rFonts w:cs="Calibri" w:ascii="Calibri" w:hAnsi="Calibri"/>
        </w:rPr>
        <w:t>2.</w:t>
        <w:tab/>
        <w:t>Brooker R, Hu W, Reath J, Abbott P. Medical student experiences in prison health services and social cognitive career choice: a qualitative study. BMC Med Educ. 2018;18(1):3.</w:t>
      </w:r>
    </w:p>
    <w:p>
      <w:pPr>
        <w:pStyle w:val="EndNoteBibliography"/>
        <w:spacing w:before="0" w:after="0"/>
        <w:rPr>
          <w:rFonts w:ascii="Calibri" w:hAnsi="Calibri" w:cs="Calibri"/>
        </w:rPr>
      </w:pPr>
      <w:r>
        <w:rPr>
          <w:rFonts w:cs="Calibri" w:ascii="Calibri" w:hAnsi="Calibri"/>
        </w:rPr>
        <w:t>3.</w:t>
        <w:tab/>
        <w:t>Bandura A. Social foundations of thought and action. Englewood Cliffs, NJ. 1986;1986(23-28):2.</w:t>
      </w:r>
    </w:p>
    <w:p>
      <w:pPr>
        <w:pStyle w:val="EndNoteBibliography"/>
        <w:spacing w:before="0" w:after="0"/>
        <w:rPr>
          <w:rFonts w:ascii="Calibri" w:hAnsi="Calibri" w:cs="Calibri"/>
        </w:rPr>
      </w:pPr>
      <w:r>
        <w:rPr>
          <w:rFonts w:cs="Calibri" w:ascii="Calibri" w:hAnsi="Calibri"/>
        </w:rPr>
        <w:t>4.</w:t>
        <w:tab/>
        <w:t>Lent RW, Brown SD, Brenner B, Chopra SB, Davis T, Talleyrand R, et al. The role of contextual supports and barriers in the choice of math/science educational options: A test of social cognitive hypotheses. Journal of counseling psychology. 2001;48(4):474.</w:t>
      </w:r>
    </w:p>
    <w:p>
      <w:pPr>
        <w:pStyle w:val="EndNoteBibliography"/>
        <w:spacing w:before="0" w:after="0"/>
        <w:rPr>
          <w:rFonts w:ascii="Calibri" w:hAnsi="Calibri" w:cs="Calibri"/>
        </w:rPr>
      </w:pPr>
      <w:r>
        <w:rPr>
          <w:rFonts w:cs="Calibri" w:ascii="Calibri" w:hAnsi="Calibri"/>
        </w:rPr>
        <w:t>5.</w:t>
        <w:tab/>
        <w:t>Lent RW, Brown SD. On Conceptualizing and Assessing Social Cognitive Constructs in Career Research: A Measurement Guide. Journal of Career Assessment. 2006;14:12 - 35.</w:t>
      </w:r>
    </w:p>
    <w:p>
      <w:pPr>
        <w:pStyle w:val="EndNoteBibliography"/>
        <w:spacing w:before="0" w:after="0"/>
        <w:rPr>
          <w:rFonts w:ascii="Calibri" w:hAnsi="Calibri" w:cs="Calibri"/>
        </w:rPr>
      </w:pPr>
      <w:r>
        <w:rPr>
          <w:rFonts w:cs="Calibri" w:ascii="Calibri" w:hAnsi="Calibri"/>
        </w:rPr>
        <w:t>6.</w:t>
        <w:tab/>
        <w:t>O'Sullivan B, McGrail M, Gurney T, Martin P. A Realist Evaluation of Theory about Triggers for Doctors Choosing a Generalist or Specialist Medical Career. Int J Environ Res Public Health. 2020;17(22).</w:t>
      </w:r>
    </w:p>
    <w:p>
      <w:pPr>
        <w:pStyle w:val="EndNoteBibliography"/>
        <w:spacing w:before="0" w:after="0"/>
        <w:rPr>
          <w:rFonts w:ascii="Calibri" w:hAnsi="Calibri" w:cs="Calibri"/>
        </w:rPr>
      </w:pPr>
      <w:r>
        <w:rPr>
          <w:rFonts w:cs="Calibri" w:ascii="Calibri" w:hAnsi="Calibri"/>
        </w:rPr>
        <w:t>7.</w:t>
        <w:tab/>
        <w:t>Kotter JP. Leading change: Harvard business press; 2012.</w:t>
      </w:r>
    </w:p>
    <w:p>
      <w:pPr>
        <w:pStyle w:val="EndNoteBibliography"/>
        <w:spacing w:before="0" w:after="0"/>
        <w:rPr>
          <w:rFonts w:ascii="Calibri" w:hAnsi="Calibri" w:cs="Calibri"/>
        </w:rPr>
      </w:pPr>
      <w:r>
        <w:rPr>
          <w:rFonts w:cs="Calibri" w:ascii="Calibri" w:hAnsi="Calibri"/>
        </w:rPr>
        <w:t>8.</w:t>
        <w:tab/>
        <w:t>Cole SR, Harding A, Pereira Gray D. What factors influence the introduction of a national undergraduate general practice curriculum in the UK? Educ Prim Care. 2020;31(5):270-80.</w:t>
      </w:r>
    </w:p>
    <w:p>
      <w:pPr>
        <w:pStyle w:val="EndNoteBibliography"/>
        <w:spacing w:before="0" w:after="0"/>
        <w:rPr>
          <w:rFonts w:ascii="Calibri" w:hAnsi="Calibri" w:cs="Calibri"/>
        </w:rPr>
      </w:pPr>
      <w:r>
        <w:rPr>
          <w:rFonts w:cs="Calibri" w:ascii="Calibri" w:hAnsi="Calibri"/>
        </w:rPr>
        <w:t>9.</w:t>
        <w:tab/>
        <w:t>Pfarrwaller E, Audétat MC, Sommer J, Maisonneuve H, Bischoff T, Nendaz M, et al. An Expanded Conceptual Framework of Medical Students' Primary Care Career Choice. Acad Med. 2017;92(11):1536-42.</w:t>
      </w:r>
    </w:p>
    <w:p>
      <w:pPr>
        <w:pStyle w:val="EndNoteBibliography"/>
        <w:spacing w:before="0" w:after="0"/>
        <w:rPr>
          <w:rFonts w:ascii="Calibri" w:hAnsi="Calibri" w:cs="Calibri"/>
        </w:rPr>
      </w:pPr>
      <w:r>
        <w:rPr>
          <w:rFonts w:cs="Calibri" w:ascii="Calibri" w:hAnsi="Calibri"/>
        </w:rPr>
        <w:t>10.</w:t>
        <w:tab/>
        <w:t>Lent RW, Brown SD, Hackett G. Toward a unifying social cognitive theory of career and academic interest, choice, and performance. Journal of vocational behavior. 1994;45(1):79-122.</w:t>
      </w:r>
    </w:p>
    <w:p>
      <w:pPr>
        <w:pStyle w:val="EndNoteBibliography"/>
        <w:spacing w:before="0" w:after="0"/>
        <w:rPr>
          <w:rFonts w:ascii="Calibri" w:hAnsi="Calibri" w:cs="Calibri"/>
        </w:rPr>
      </w:pPr>
      <w:r>
        <w:rPr>
          <w:rFonts w:cs="Calibri" w:ascii="Calibri" w:hAnsi="Calibri"/>
        </w:rPr>
        <w:t>11.</w:t>
        <w:tab/>
        <w:t>Bronfenbrenner U. Toward an experimental ecology of human development. American psychologist. 1977;32(7):513.</w:t>
      </w:r>
    </w:p>
    <w:p>
      <w:pPr>
        <w:pStyle w:val="EndNoteBibliography"/>
        <w:spacing w:before="0" w:after="0"/>
        <w:rPr>
          <w:rFonts w:ascii="Calibri" w:hAnsi="Calibri" w:cs="Calibri"/>
        </w:rPr>
      </w:pPr>
      <w:r>
        <w:rPr>
          <w:rFonts w:cs="Calibri" w:ascii="Calibri" w:hAnsi="Calibri"/>
        </w:rPr>
        <w:t>12.</w:t>
        <w:tab/>
        <w:t>Cuesta-Briand B, Coleman M, Ledingham R, Moore S, Wright H, Oldham D, et al. Understanding the Factors Influencing Junior Doctors' Career Decision-Making to Address Rural Workforce Issues: Testing a Conceptual Framework. Int J Environ Res Public Health. 2020;17(2).</w:t>
      </w:r>
    </w:p>
    <w:p>
      <w:pPr>
        <w:pStyle w:val="EndNoteBibliography"/>
        <w:spacing w:before="0" w:after="0"/>
        <w:rPr>
          <w:rFonts w:ascii="Calibri" w:hAnsi="Calibri" w:cs="Calibri"/>
        </w:rPr>
      </w:pPr>
      <w:r>
        <w:rPr>
          <w:rFonts w:cs="Calibri" w:ascii="Calibri" w:hAnsi="Calibri"/>
        </w:rPr>
        <w:t>13.</w:t>
        <w:tab/>
        <w:t>Bland CJ, Meurer LN, Maldonado G. Determinants of primary care specialty choice: a non-statistical meta-analysis of the literature. Academic Medicine. 1995;70(7):620-41.</w:t>
      </w:r>
    </w:p>
    <w:p>
      <w:pPr>
        <w:pStyle w:val="EndNoteBibliography"/>
        <w:spacing w:before="0" w:after="0"/>
        <w:rPr>
          <w:rFonts w:ascii="Calibri" w:hAnsi="Calibri" w:cs="Calibri"/>
        </w:rPr>
      </w:pPr>
      <w:r>
        <w:rPr>
          <w:rFonts w:cs="Calibri" w:ascii="Calibri" w:hAnsi="Calibri"/>
        </w:rPr>
        <w:t>14.</w:t>
        <w:tab/>
        <w:t>Johnson AL, Sharma J, Chinchilli VM, Emery SE, Evarts CM, Floyd MW, et al. Why do medical students choose orthopaedics as a career? JBJS. 2012;94(11):e78.</w:t>
      </w:r>
    </w:p>
    <w:p>
      <w:pPr>
        <w:pStyle w:val="EndNoteBibliography"/>
        <w:spacing w:before="0" w:after="0"/>
        <w:rPr>
          <w:rFonts w:ascii="Calibri" w:hAnsi="Calibri" w:cs="Calibri"/>
        </w:rPr>
      </w:pPr>
      <w:r>
        <w:rPr>
          <w:rFonts w:cs="Calibri" w:ascii="Calibri" w:hAnsi="Calibri"/>
        </w:rPr>
        <w:t>15.</w:t>
        <w:tab/>
        <w:t>Farooq K, Lydall GJ, Malik A, Ndetei DM, Group I, Bhugra D. Why medical students choose psychiatry-a 20 country cross-sectional survey. BMC medical education. 2014;14:1-13.</w:t>
      </w:r>
    </w:p>
    <w:p>
      <w:pPr>
        <w:pStyle w:val="EndNoteBibliography"/>
        <w:spacing w:before="0" w:after="0"/>
        <w:rPr>
          <w:rFonts w:ascii="Calibri" w:hAnsi="Calibri" w:cs="Calibri"/>
        </w:rPr>
      </w:pPr>
      <w:r>
        <w:rPr>
          <w:rFonts w:cs="Calibri" w:ascii="Calibri" w:hAnsi="Calibri"/>
        </w:rPr>
        <w:t>16.</w:t>
        <w:tab/>
        <w:t>Avery DM, Wheat JR, McKnight JT, Leeper JD. Factors associated with choosing family medicine as a career specialty: what can we use. Am J Clin Med. 2009;6(4):54-8.</w:t>
      </w:r>
    </w:p>
    <w:p>
      <w:pPr>
        <w:pStyle w:val="EndNoteBibliography"/>
        <w:spacing w:before="0" w:after="0"/>
        <w:rPr>
          <w:rFonts w:ascii="Calibri" w:hAnsi="Calibri" w:cs="Calibri"/>
        </w:rPr>
      </w:pPr>
      <w:r>
        <w:rPr>
          <w:rFonts w:cs="Calibri" w:ascii="Calibri" w:hAnsi="Calibri"/>
        </w:rPr>
        <w:t>17.</w:t>
        <w:tab/>
        <w:t>Harris M, Wainwright D, Wainwright E. What influences young doctors in their decision-making about general practice as a possible career? A qualitative study. Education for Primary Care. 2020;31(1):15-23.</w:t>
      </w:r>
    </w:p>
    <w:p>
      <w:pPr>
        <w:pStyle w:val="EndNoteBibliography"/>
        <w:spacing w:before="0" w:after="0"/>
        <w:rPr>
          <w:rFonts w:ascii="Calibri" w:hAnsi="Calibri" w:cs="Calibri"/>
        </w:rPr>
      </w:pPr>
      <w:r>
        <w:rPr>
          <w:rFonts w:cs="Calibri" w:ascii="Calibri" w:hAnsi="Calibri"/>
        </w:rPr>
        <w:t>18.</w:t>
        <w:tab/>
        <w:t>Schneider B. Fits About Fit. Applied Psychology. 2001;50(1):141-52.</w:t>
      </w:r>
    </w:p>
    <w:p>
      <w:pPr>
        <w:pStyle w:val="EndNoteBibliography"/>
        <w:spacing w:before="0" w:after="0"/>
        <w:rPr>
          <w:rFonts w:ascii="Calibri" w:hAnsi="Calibri" w:cs="Calibri"/>
        </w:rPr>
      </w:pPr>
      <w:r>
        <w:rPr>
          <w:rFonts w:cs="Calibri" w:ascii="Calibri" w:hAnsi="Calibri"/>
        </w:rPr>
        <w:t>19.</w:t>
        <w:tab/>
        <w:t>Kristof‐Brown AL, Zimmerman RD, Johnson EC. Consequences OF INDIVIDUALS'FIT at work: A meta‐analysis OF person–job, person–organization, person–group, and person–supervisor fit. Personnel psychology. 2005;58(2):281-342.</w:t>
      </w:r>
    </w:p>
    <w:p>
      <w:pPr>
        <w:pStyle w:val="EndNoteBibliography"/>
        <w:spacing w:before="0" w:after="0"/>
        <w:rPr>
          <w:rFonts w:ascii="Calibri" w:hAnsi="Calibri" w:cs="Calibri"/>
        </w:rPr>
      </w:pPr>
      <w:r>
        <w:rPr>
          <w:rFonts w:cs="Calibri" w:ascii="Calibri" w:hAnsi="Calibri"/>
        </w:rPr>
        <w:t>20.</w:t>
        <w:tab/>
        <w:t>Wainwright D, Harris M, Wainwright E. How does 'banter' influence trainee doctors' choice of career? A qualitative study. BMC Med Educ. 2019;19(1):104.</w:t>
      </w:r>
    </w:p>
    <w:p>
      <w:pPr>
        <w:pStyle w:val="EndNoteBibliography"/>
        <w:spacing w:before="0" w:after="0"/>
        <w:rPr>
          <w:rFonts w:ascii="Calibri" w:hAnsi="Calibri" w:cs="Calibri"/>
        </w:rPr>
      </w:pPr>
      <w:r>
        <w:rPr>
          <w:rFonts w:cs="Calibri" w:ascii="Calibri" w:hAnsi="Calibri"/>
        </w:rPr>
        <w:t>21.</w:t>
        <w:tab/>
        <w:t>Land R, editor Threshold Concepts and Troublesome Knowledge (1): linkages to ways of thinking and practising within the disciplines2003.</w:t>
      </w:r>
    </w:p>
    <w:p>
      <w:pPr>
        <w:pStyle w:val="EndNoteBibliography"/>
        <w:spacing w:before="0" w:after="0"/>
        <w:rPr>
          <w:rFonts w:ascii="Calibri" w:hAnsi="Calibri" w:cs="Calibri"/>
        </w:rPr>
      </w:pPr>
      <w:r>
        <w:rPr>
          <w:rFonts w:cs="Calibri" w:ascii="Calibri" w:hAnsi="Calibri"/>
        </w:rPr>
        <w:t>22.</w:t>
        <w:tab/>
        <w:t>Neve H. Learning to become a primary care professional: insights from threshold concept theory. Educ Prim Care. 2019;30(1):5-8.</w:t>
      </w:r>
    </w:p>
    <w:p>
      <w:pPr>
        <w:pStyle w:val="EndNoteBibliography"/>
        <w:spacing w:before="0" w:after="0"/>
        <w:rPr>
          <w:rFonts w:ascii="Calibri" w:hAnsi="Calibri" w:cs="Calibri"/>
        </w:rPr>
      </w:pPr>
      <w:r>
        <w:rPr>
          <w:rFonts w:cs="Calibri" w:ascii="Calibri" w:hAnsi="Calibri"/>
        </w:rPr>
        <w:t>23.</w:t>
        <w:tab/>
        <w:t>Petty NJ, Thomson OP, Stew G. Ready for a paradigm shift? Part 2: Introducing qualitative research methodologies and methods. Manual therapy. 2012;17(5):378-84.</w:t>
      </w:r>
    </w:p>
    <w:p>
      <w:pPr>
        <w:pStyle w:val="EndNoteBibliography"/>
        <w:spacing w:before="0" w:after="0"/>
        <w:rPr>
          <w:rFonts w:ascii="Calibri" w:hAnsi="Calibri" w:cs="Calibri"/>
        </w:rPr>
      </w:pPr>
      <w:r>
        <w:rPr>
          <w:rFonts w:cs="Calibri" w:ascii="Calibri" w:hAnsi="Calibri"/>
        </w:rPr>
        <w:t>24.</w:t>
        <w:tab/>
        <w:t>Van Manen M. Researching lived experience: Human science for an action sensitive pedagogy: Routledge; 2016.</w:t>
      </w:r>
    </w:p>
    <w:p>
      <w:pPr>
        <w:pStyle w:val="EndNoteBibliography"/>
        <w:spacing w:before="0" w:after="0"/>
        <w:rPr>
          <w:rFonts w:ascii="Calibri" w:hAnsi="Calibri" w:cs="Calibri"/>
        </w:rPr>
      </w:pPr>
      <w:r>
        <w:rPr>
          <w:rFonts w:cs="Calibri" w:ascii="Calibri" w:hAnsi="Calibri"/>
        </w:rPr>
        <w:t>25.</w:t>
        <w:tab/>
        <w:t>Reid K, Alberti H. Medical students' perceptions of general practice as a career; a phenomenological study using socialisation theory. Educ Prim Care. 2018;29(4):208-14.</w:t>
      </w:r>
    </w:p>
    <w:p>
      <w:pPr>
        <w:pStyle w:val="EndNoteBibliography"/>
        <w:spacing w:before="0" w:after="0"/>
        <w:rPr>
          <w:rFonts w:ascii="Calibri" w:hAnsi="Calibri" w:cs="Calibri"/>
        </w:rPr>
      </w:pPr>
      <w:r>
        <w:rPr>
          <w:rFonts w:cs="Calibri" w:ascii="Calibri" w:hAnsi="Calibri"/>
        </w:rPr>
        <w:t>26.</w:t>
        <w:tab/>
        <w:t>Weidman JC, Twale DJ, Stein EL. Socialization of Graduate and Professional Students in Higher Education: A Perilous Passage? ASHE-ERIC Higher Education Report, Volume 28, Number 3. Jossey-Bass Higher and Adult Education Series: ERIC; 2001.</w:t>
      </w:r>
    </w:p>
    <w:p>
      <w:pPr>
        <w:pStyle w:val="EndNoteBibliography"/>
        <w:spacing w:before="0" w:after="0"/>
        <w:rPr>
          <w:rFonts w:ascii="Calibri" w:hAnsi="Calibri" w:cs="Calibri"/>
        </w:rPr>
      </w:pPr>
      <w:r>
        <w:rPr>
          <w:rFonts w:cs="Calibri" w:ascii="Calibri" w:hAnsi="Calibri"/>
        </w:rPr>
        <w:t>27.</w:t>
        <w:tab/>
        <w:t>Wong G, Westhorp G, Manzano A, Greenhalgh J, Jagosh J, Greenhalgh T. RAMESES II reporting standards for realist evaluations. BMC medicine. 2016;14:1-18.</w:t>
      </w:r>
    </w:p>
    <w:p>
      <w:pPr>
        <w:pStyle w:val="EndNoteBibliography"/>
        <w:spacing w:before="0" w:after="0"/>
        <w:rPr>
          <w:rFonts w:ascii="Calibri" w:hAnsi="Calibri" w:cs="Calibri"/>
        </w:rPr>
      </w:pPr>
      <w:r>
        <w:rPr>
          <w:rFonts w:cs="Calibri" w:ascii="Calibri" w:hAnsi="Calibri"/>
        </w:rPr>
        <w:t>28.</w:t>
        <w:tab/>
        <w:t>Jagosh J, Macaulay AC, Pluye P, Salsberg J, Bush PL, Henderson J, et al. Uncovering the benefits of participatory research: implications of a realist review for health research and practice. The Milbank Quarterly. 2012;90(2):311-46.</w:t>
      </w:r>
    </w:p>
    <w:p>
      <w:pPr>
        <w:pStyle w:val="EndNoteBibliography"/>
        <w:spacing w:before="0" w:after="0"/>
        <w:rPr>
          <w:rFonts w:ascii="Calibri" w:hAnsi="Calibri" w:cs="Calibri"/>
        </w:rPr>
      </w:pPr>
      <w:r>
        <w:rPr>
          <w:rFonts w:cs="Calibri" w:ascii="Calibri" w:hAnsi="Calibri"/>
        </w:rPr>
        <w:t>29.</w:t>
        <w:tab/>
        <w:t>Pawson R, Tilley N. Realistic Evaluation: SAGE Publications; 1997.</w:t>
      </w:r>
    </w:p>
    <w:p>
      <w:pPr>
        <w:pStyle w:val="EndNoteBibliography"/>
        <w:spacing w:before="0" w:after="0"/>
        <w:rPr>
          <w:rFonts w:ascii="Calibri" w:hAnsi="Calibri" w:cs="Calibri"/>
        </w:rPr>
      </w:pPr>
      <w:r>
        <w:rPr>
          <w:rFonts w:cs="Calibri" w:ascii="Calibri" w:hAnsi="Calibri"/>
        </w:rPr>
        <w:t>30.</w:t>
        <w:tab/>
        <w:t>Robinson T, Lefroy J. How do medical students' experiences inform their opinions of general practice and its potential as a future career choice? Educ Prim Care. 2022;33(3):156-64.</w:t>
      </w:r>
    </w:p>
    <w:p>
      <w:pPr>
        <w:pStyle w:val="EndNoteBibliography"/>
        <w:spacing w:before="0" w:after="0"/>
        <w:rPr>
          <w:rFonts w:ascii="Calibri" w:hAnsi="Calibri" w:cs="Calibri"/>
        </w:rPr>
      </w:pPr>
      <w:r>
        <w:rPr>
          <w:rFonts w:cs="Calibri" w:ascii="Calibri" w:hAnsi="Calibri"/>
        </w:rPr>
        <w:t>31.</w:t>
        <w:tab/>
        <w:t>Chang KM. Influence of non-cognitive factors on complex dynamic decision-making using computer-based simulations: University of Minnesota; 2000.</w:t>
      </w:r>
    </w:p>
    <w:p>
      <w:pPr>
        <w:pStyle w:val="EndNoteBibliography"/>
        <w:spacing w:before="0" w:after="0"/>
        <w:rPr>
          <w:rFonts w:ascii="Calibri" w:hAnsi="Calibri" w:cs="Calibri"/>
        </w:rPr>
      </w:pPr>
      <w:r>
        <w:rPr>
          <w:rFonts w:cs="Calibri" w:ascii="Calibri" w:hAnsi="Calibri"/>
        </w:rPr>
        <w:t>32.</w:t>
        <w:tab/>
        <w:t>Vohra A, Ladyshewsky R, Trumble S. Factors that affect general practice as a choice of medical speciality: implications for policy development. Australian Health Review. 2017;43(2):230-7.</w:t>
      </w:r>
    </w:p>
    <w:p>
      <w:pPr>
        <w:pStyle w:val="EndNoteBibliography"/>
        <w:spacing w:before="0" w:after="0"/>
        <w:rPr>
          <w:rFonts w:ascii="Calibri" w:hAnsi="Calibri" w:cs="Calibri"/>
        </w:rPr>
      </w:pPr>
      <w:r>
        <w:rPr>
          <w:rFonts w:cs="Calibri" w:ascii="Calibri" w:hAnsi="Calibri"/>
        </w:rPr>
        <w:t>33.</w:t>
        <w:tab/>
        <w:t>Ashley L, McDonald I. When the Penny Drops: Understanding how social class influences speciality careers in the UK medical profession. Social Science &amp; Medicine. 2024;348:116747.</w:t>
      </w:r>
    </w:p>
    <w:p>
      <w:pPr>
        <w:pStyle w:val="EndNoteBibliography"/>
        <w:spacing w:before="0" w:after="0"/>
        <w:rPr>
          <w:rFonts w:ascii="Calibri" w:hAnsi="Calibri" w:cs="Calibri"/>
        </w:rPr>
      </w:pPr>
      <w:r>
        <w:rPr>
          <w:rFonts w:cs="Calibri" w:ascii="Calibri" w:hAnsi="Calibri"/>
        </w:rPr>
        <w:t>34.</w:t>
        <w:tab/>
        <w:t>Egan A, Hayes P, O’Regan A. What motivates general practitioners of the future: qualitative study of Irish trainees. BMC Primary Care. 2025;26(1):176.</w:t>
      </w:r>
    </w:p>
    <w:p>
      <w:pPr>
        <w:pStyle w:val="EndNoteBibliography"/>
        <w:spacing w:before="0" w:after="0"/>
        <w:rPr>
          <w:rFonts w:ascii="Calibri" w:hAnsi="Calibri" w:cs="Calibri"/>
        </w:rPr>
      </w:pPr>
      <w:r>
        <w:rPr>
          <w:rFonts w:cs="Calibri" w:ascii="Calibri" w:hAnsi="Calibri"/>
        </w:rPr>
        <w:t>35.</w:t>
        <w:tab/>
        <w:t>MacIver E, Ovseiko PV, Barry E, Greenhalgh T. Exploring the lived experiences of early/mid-career female academic GPs in the UK: A Biographical Narrative Interview study. British Journal of General Practice. 2025.</w:t>
      </w:r>
    </w:p>
    <w:p>
      <w:pPr>
        <w:pStyle w:val="EndNoteBibliography"/>
        <w:spacing w:before="0" w:after="0"/>
        <w:rPr>
          <w:rFonts w:ascii="Calibri" w:hAnsi="Calibri" w:cs="Calibri"/>
        </w:rPr>
      </w:pPr>
      <w:r>
        <w:rPr>
          <w:rFonts w:cs="Calibri" w:ascii="Calibri" w:hAnsi="Calibri"/>
        </w:rPr>
        <w:t>36.</w:t>
        <w:tab/>
        <w:t>Sutcliffe H, Odonnell P, Andrews J. Learning from the best: How medical-students construct role models in general practice during the COVID-19 pandemic and what factors influence this process, a qualitative study. MedEdPublish. 2025;14:278.</w:t>
      </w:r>
    </w:p>
    <w:p>
      <w:pPr>
        <w:pStyle w:val="EndNoteBibliography"/>
        <w:spacing w:before="0" w:after="0"/>
        <w:rPr>
          <w:rFonts w:ascii="Calibri" w:hAnsi="Calibri" w:cs="Calibri"/>
        </w:rPr>
      </w:pPr>
      <w:r>
        <w:rPr>
          <w:rFonts w:cs="Calibri" w:ascii="Calibri" w:hAnsi="Calibri"/>
        </w:rPr>
        <w:t>37.</w:t>
        <w:tab/>
        <w:t>Beattie J, Binder M, Beks H, Fuller L. Influence of a rural Longitudinal Integrated Clerkship on medical graduates’ geographic and specialty decisions: a constructivist grounded theory study. BMC Medical Education. 2024;24(1):795.</w:t>
      </w:r>
    </w:p>
    <w:p>
      <w:pPr>
        <w:pStyle w:val="EndNoteBibliography"/>
        <w:spacing w:before="0" w:after="0"/>
        <w:rPr>
          <w:rFonts w:ascii="Calibri" w:hAnsi="Calibri" w:cs="Calibri"/>
        </w:rPr>
      </w:pPr>
      <w:r>
        <w:rPr>
          <w:rFonts w:cs="Calibri" w:ascii="Calibri" w:hAnsi="Calibri"/>
        </w:rPr>
        <w:t>38.</w:t>
        <w:tab/>
        <w:t>Alberti H, Banner K, Collingwood H, Merritt K. ‘Just a GP’: a mixed method study of undermining of general practice as a career choice in the UK. BMJ open. 2017;7(11):e018520.</w:t>
      </w:r>
    </w:p>
    <w:p>
      <w:pPr>
        <w:pStyle w:val="EndNoteBibliography"/>
        <w:spacing w:before="0" w:after="0"/>
        <w:rPr>
          <w:rFonts w:ascii="Calibri" w:hAnsi="Calibri" w:cs="Calibri"/>
        </w:rPr>
      </w:pPr>
      <w:r>
        <w:rPr>
          <w:rFonts w:cs="Calibri" w:ascii="Calibri" w:hAnsi="Calibri"/>
        </w:rPr>
        <w:t>39.</w:t>
        <w:tab/>
        <w:t>Chellappah M, Garnham L. Medical students’ attitudes towards general practice and factors affecting career choice: a questionnaire study. London Journal of Primary Care. 2014;6(6):117-23.</w:t>
      </w:r>
    </w:p>
    <w:p>
      <w:pPr>
        <w:pStyle w:val="EndNoteBibliography"/>
        <w:spacing w:before="0" w:after="0"/>
        <w:rPr>
          <w:rFonts w:ascii="Calibri" w:hAnsi="Calibri" w:cs="Calibri"/>
        </w:rPr>
      </w:pPr>
      <w:r>
        <w:rPr>
          <w:rFonts w:cs="Calibri" w:ascii="Calibri" w:hAnsi="Calibri"/>
        </w:rPr>
        <w:t>40.</w:t>
        <w:tab/>
        <w:t>Hogg R, Spriggs B, Cook V. Do medical students want a career in general practice? A rich mix of influences! Education for Primary Care. 2008;19(1):54-64.</w:t>
      </w:r>
    </w:p>
    <w:p>
      <w:pPr>
        <w:pStyle w:val="EndNoteBibliography"/>
        <w:spacing w:before="0" w:after="0"/>
        <w:rPr>
          <w:rFonts w:ascii="Calibri" w:hAnsi="Calibri" w:cs="Calibri"/>
        </w:rPr>
      </w:pPr>
      <w:r>
        <w:rPr>
          <w:rFonts w:cs="Calibri" w:ascii="Calibri" w:hAnsi="Calibri"/>
        </w:rPr>
        <w:t>41.</w:t>
        <w:tab/>
        <w:t>Howe A, Ives G. Does community‐based experience alter career preference? New evidence from a prospective longitudinal cohort study of undergraduate medical students. Medical education. 2001;35(4):391-7.</w:t>
      </w:r>
    </w:p>
    <w:p>
      <w:pPr>
        <w:pStyle w:val="EndNoteBibliography"/>
        <w:spacing w:before="0" w:after="0"/>
        <w:rPr>
          <w:rFonts w:ascii="Calibri" w:hAnsi="Calibri" w:cs="Calibri"/>
        </w:rPr>
      </w:pPr>
      <w:r>
        <w:rPr>
          <w:rFonts w:cs="Calibri" w:ascii="Calibri" w:hAnsi="Calibri"/>
        </w:rPr>
        <w:t>42.</w:t>
        <w:tab/>
        <w:t>Rogers ME, Creed PA, Searle J. The Development and Initial Validation of Social Cognitive Career Theory Instruments to Measure Choice of Medical Specialty and Practice Location. Journal of Career Assessment. 2009;17(3):324-37.</w:t>
      </w:r>
    </w:p>
    <w:p>
      <w:pPr>
        <w:pStyle w:val="EndNoteBibliography"/>
        <w:spacing w:before="0" w:after="0"/>
        <w:rPr>
          <w:rFonts w:ascii="Calibri" w:hAnsi="Calibri" w:cs="Calibri"/>
        </w:rPr>
      </w:pPr>
      <w:r>
        <w:rPr>
          <w:rFonts w:cs="Calibri" w:ascii="Calibri" w:hAnsi="Calibri"/>
        </w:rPr>
        <w:t>43.</w:t>
        <w:tab/>
        <w:t>Edgcumbe DP, Lillicrap MS, Benson JA. A qualitative study of medical students’ attitudes to careers in general practice. Education for Primary Care. 2008;19(1):65-73.</w:t>
      </w:r>
    </w:p>
    <w:p>
      <w:pPr>
        <w:pStyle w:val="EndNoteBibliography"/>
        <w:spacing w:before="0" w:after="0"/>
        <w:rPr>
          <w:rFonts w:ascii="Calibri" w:hAnsi="Calibri" w:cs="Calibri"/>
        </w:rPr>
      </w:pPr>
      <w:r>
        <w:rPr>
          <w:rFonts w:cs="Calibri" w:ascii="Calibri" w:hAnsi="Calibri"/>
        </w:rPr>
        <w:t>44.</w:t>
        <w:tab/>
        <w:t>Firth A, Wass V. Medical students’ perceptions of primary care: the influence of tutors, peers and the curriculum. Education for Primary Care. 2007;18(3):364-72.</w:t>
      </w:r>
    </w:p>
    <w:p>
      <w:pPr>
        <w:pStyle w:val="EndNoteBibliography"/>
        <w:spacing w:before="0" w:after="0"/>
        <w:rPr>
          <w:rFonts w:ascii="Calibri" w:hAnsi="Calibri" w:cs="Calibri"/>
        </w:rPr>
      </w:pPr>
      <w:r>
        <w:rPr>
          <w:rFonts w:cs="Calibri" w:ascii="Calibri" w:hAnsi="Calibri"/>
        </w:rPr>
        <w:t>45.</w:t>
        <w:tab/>
        <w:t>Firth A, Wass V. The impact of general practice attachments on foundation doctors: achieving the goals of Modernising medical careers. Education for Primary Care. 2011;22(5):314-20.</w:t>
      </w:r>
    </w:p>
    <w:p>
      <w:pPr>
        <w:pStyle w:val="EndNoteBibliography"/>
        <w:spacing w:before="0" w:after="0"/>
        <w:rPr>
          <w:rFonts w:ascii="Calibri" w:hAnsi="Calibri" w:cs="Calibri"/>
        </w:rPr>
      </w:pPr>
      <w:r>
        <w:rPr>
          <w:rFonts w:cs="Calibri" w:ascii="Calibri" w:hAnsi="Calibri"/>
        </w:rPr>
        <w:t>46.</w:t>
        <w:tab/>
        <w:t>Jones M, Singh S, Lloyd M. “It isn’t just consultants that need a BSc”: student experiences of an Intercalated BSc in Primary Health Care. Medical Teacher. 2005;27(2):164-8.</w:t>
      </w:r>
    </w:p>
    <w:p>
      <w:pPr>
        <w:pStyle w:val="EndNoteBibliography"/>
        <w:spacing w:before="0" w:after="0"/>
        <w:rPr>
          <w:rFonts w:ascii="Calibri" w:hAnsi="Calibri" w:cs="Calibri"/>
        </w:rPr>
      </w:pPr>
      <w:r>
        <w:rPr>
          <w:rFonts w:cs="Calibri" w:ascii="Calibri" w:hAnsi="Calibri"/>
        </w:rPr>
        <w:t>47.</w:t>
        <w:tab/>
        <w:t>Merrett A, Jones D, Sein K, Green T, Macleod U. Attitudes of newly qualified doctors towards a career in general practice: a qualitative focus group study. British Journal of General Practice. 2017;67(657):e253-e9.</w:t>
      </w:r>
    </w:p>
    <w:p>
      <w:pPr>
        <w:pStyle w:val="EndNoteBibliography"/>
        <w:spacing w:before="0" w:after="0"/>
        <w:rPr>
          <w:rFonts w:ascii="Calibri" w:hAnsi="Calibri" w:cs="Calibri"/>
        </w:rPr>
      </w:pPr>
      <w:r>
        <w:rPr>
          <w:rFonts w:cs="Calibri" w:ascii="Calibri" w:hAnsi="Calibri"/>
        </w:rPr>
        <w:t>48.</w:t>
        <w:tab/>
        <w:t>Nicholson S, Hastings AM, McKinley RK. Influences on students’ career decisions concerning general practice: a focus group study. British Journal of General Practice. 2016;66(651):e768.</w:t>
      </w:r>
    </w:p>
    <w:p>
      <w:pPr>
        <w:pStyle w:val="EndNoteBibliography"/>
        <w:spacing w:before="0" w:after="0"/>
        <w:rPr>
          <w:rFonts w:ascii="Calibri" w:hAnsi="Calibri" w:cs="Calibri"/>
        </w:rPr>
      </w:pPr>
      <w:r>
        <w:rPr>
          <w:rFonts w:cs="Calibri" w:ascii="Calibri" w:hAnsi="Calibri"/>
        </w:rPr>
        <w:t>49.</w:t>
        <w:tab/>
        <w:t>Parker JE, Hudson B, Wilkinson TJ. Influences on final year medical students' attitudes to general practice as a career. J Prim Health Care. 2014;6(1):56-63.</w:t>
      </w:r>
    </w:p>
    <w:p>
      <w:pPr>
        <w:pStyle w:val="EndNoteBibliography"/>
        <w:spacing w:before="0" w:after="0"/>
        <w:rPr>
          <w:rFonts w:ascii="Calibri" w:hAnsi="Calibri" w:cs="Calibri"/>
        </w:rPr>
      </w:pPr>
      <w:r>
        <w:rPr>
          <w:rFonts w:cs="Calibri" w:ascii="Calibri" w:hAnsi="Calibri"/>
        </w:rPr>
        <w:t>50.</w:t>
        <w:tab/>
        <w:t>Thistlethwaite J, Kidd MR, Leeder S. Enhancing the choice of general practice as a career. Australian Family Physician. 2008;37(11):964.</w:t>
      </w:r>
    </w:p>
    <w:p>
      <w:pPr>
        <w:pStyle w:val="EndNoteBibliography"/>
        <w:rPr>
          <w:rFonts w:ascii="Calibri" w:hAnsi="Calibri" w:cs="Calibri"/>
        </w:rPr>
      </w:pPr>
      <w:r>
        <w:rPr>
          <w:rFonts w:cs="Calibri" w:ascii="Calibri" w:hAnsi="Calibri"/>
        </w:rPr>
        <w:t>51.</w:t>
        <w:tab/>
        <w:t>Tolhurst H, Stewart M. Becoming a GP: a qualitative study of the career interests of medical students. Australian Family Physician. 2005;34(3):204.</w:t>
      </w:r>
    </w:p>
    <w:p>
      <w:pPr>
        <w:pStyle w:val="Normal"/>
        <w:spacing w:before="0" w:after="160"/>
        <w:rPr>
          <w:rFonts w:ascii="Calibri" w:hAnsi="Calibri" w:cs="Calibri"/>
        </w:rPr>
      </w:pPr>
      <w:r>
        <w:rPr>
          <w:rFonts w:cs="Calibri" w:ascii="Calibri" w:hAnsi="Calibri"/>
        </w:rPr>
      </w:r>
    </w:p>
    <w:sectPr>
      <w:type w:val="nextPage"/>
      <w:pgSz w:w="11906" w:h="16838"/>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Aptos">
    <w:charset w:val="00" w:characterSet="windows-1252"/>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2">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3">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4">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5">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6">
    <w:lvl w:ilvl="0">
      <w:start w:val="1"/>
      <w:numFmt w:val="bullet"/>
      <w:lvlText w:val=""/>
      <w:lvlJc w:val="start"/>
      <w:pPr>
        <w:tabs>
          <w:tab w:val="num" w:pos="0"/>
        </w:tabs>
        <w:ind w:start="360" w:hanging="360"/>
      </w:pPr>
      <w:rPr>
        <w:rFonts w:ascii="Symbol" w:hAnsi="Symbol" w:cs="Symbol" w:hint="default"/>
      </w:rPr>
    </w:lvl>
    <w:lvl w:ilvl="1">
      <w:start w:val="1"/>
      <w:numFmt w:val="bullet"/>
      <w:lvlText w:val="o"/>
      <w:lvlJc w:val="start"/>
      <w:pPr>
        <w:tabs>
          <w:tab w:val="num" w:pos="0"/>
        </w:tabs>
        <w:ind w:start="1080" w:hanging="360"/>
      </w:pPr>
      <w:rPr>
        <w:rFonts w:ascii="Courier New" w:hAnsi="Courier New" w:cs="Courier New" w:hint="default"/>
      </w:rPr>
    </w:lvl>
    <w:lvl w:ilvl="2">
      <w:start w:val="1"/>
      <w:numFmt w:val="bullet"/>
      <w:lvlText w:val=""/>
      <w:lvlJc w:val="start"/>
      <w:pPr>
        <w:tabs>
          <w:tab w:val="num" w:pos="0"/>
        </w:tabs>
        <w:ind w:start="1800" w:hanging="360"/>
      </w:pPr>
      <w:rPr>
        <w:rFonts w:ascii="Wingdings" w:hAnsi="Wingdings" w:cs="Wingdings" w:hint="default"/>
      </w:rPr>
    </w:lvl>
    <w:lvl w:ilvl="3">
      <w:start w:val="1"/>
      <w:numFmt w:val="bullet"/>
      <w:lvlText w:val=""/>
      <w:lvlJc w:val="start"/>
      <w:pPr>
        <w:tabs>
          <w:tab w:val="num" w:pos="0"/>
        </w:tabs>
        <w:ind w:start="2520" w:hanging="360"/>
      </w:pPr>
      <w:rPr>
        <w:rFonts w:ascii="Symbol" w:hAnsi="Symbol" w:cs="Symbol" w:hint="default"/>
      </w:rPr>
    </w:lvl>
    <w:lvl w:ilvl="4">
      <w:start w:val="1"/>
      <w:numFmt w:val="bullet"/>
      <w:lvlText w:val="o"/>
      <w:lvlJc w:val="start"/>
      <w:pPr>
        <w:tabs>
          <w:tab w:val="num" w:pos="0"/>
        </w:tabs>
        <w:ind w:start="3240" w:hanging="360"/>
      </w:pPr>
      <w:rPr>
        <w:rFonts w:ascii="Courier New" w:hAnsi="Courier New" w:cs="Courier New" w:hint="default"/>
      </w:rPr>
    </w:lvl>
    <w:lvl w:ilvl="5">
      <w:start w:val="1"/>
      <w:numFmt w:val="bullet"/>
      <w:lvlText w:val=""/>
      <w:lvlJc w:val="start"/>
      <w:pPr>
        <w:tabs>
          <w:tab w:val="num" w:pos="0"/>
        </w:tabs>
        <w:ind w:start="3960" w:hanging="360"/>
      </w:pPr>
      <w:rPr>
        <w:rFonts w:ascii="Wingdings" w:hAnsi="Wingdings" w:cs="Wingdings" w:hint="default"/>
      </w:rPr>
    </w:lvl>
    <w:lvl w:ilvl="6">
      <w:start w:val="1"/>
      <w:numFmt w:val="bullet"/>
      <w:lvlText w:val=""/>
      <w:lvlJc w:val="start"/>
      <w:pPr>
        <w:tabs>
          <w:tab w:val="num" w:pos="0"/>
        </w:tabs>
        <w:ind w:start="4680" w:hanging="360"/>
      </w:pPr>
      <w:rPr>
        <w:rFonts w:ascii="Symbol" w:hAnsi="Symbol" w:cs="Symbol" w:hint="default"/>
      </w:rPr>
    </w:lvl>
    <w:lvl w:ilvl="7">
      <w:start w:val="1"/>
      <w:numFmt w:val="bullet"/>
      <w:lvlText w:val="o"/>
      <w:lvlJc w:val="start"/>
      <w:pPr>
        <w:tabs>
          <w:tab w:val="num" w:pos="0"/>
        </w:tabs>
        <w:ind w:start="5400" w:hanging="360"/>
      </w:pPr>
      <w:rPr>
        <w:rFonts w:ascii="Courier New" w:hAnsi="Courier New" w:cs="Courier New" w:hint="default"/>
      </w:rPr>
    </w:lvl>
    <w:lvl w:ilvl="8">
      <w:start w:val="1"/>
      <w:numFmt w:val="bullet"/>
      <w:lvlText w:val=""/>
      <w:lvlJc w:val="start"/>
      <w:pPr>
        <w:tabs>
          <w:tab w:val="num" w:pos="0"/>
        </w:tabs>
        <w:ind w:start="6120" w:hanging="360"/>
      </w:pPr>
      <w:rPr>
        <w:rFonts w:ascii="Wingdings" w:hAnsi="Wingdings" w:cs="Wingdings"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6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AU"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72087"/>
    <w:pPr>
      <w:widowControl/>
      <w:bidi w:val="0"/>
      <w:spacing w:lineRule="auto" w:line="259" w:before="0" w:after="160"/>
      <w:jc w:val="start"/>
    </w:pPr>
    <w:rPr>
      <w:rFonts w:ascii="Aptos" w:hAnsi="Aptos" w:eastAsia="Aptos" w:cs=""/>
      <w:color w:val="auto"/>
      <w:kern w:val="0"/>
      <w:sz w:val="22"/>
      <w:szCs w:val="22"/>
      <w:lang w:val="en-AU" w:eastAsia="en-US" w:bidi="ar-SA"/>
      <w14:ligatures w14:val="none"/>
    </w:rPr>
  </w:style>
  <w:style w:type="paragraph" w:styleId="Heading1">
    <w:name w:val="heading 1"/>
    <w:basedOn w:val="Normal"/>
    <w:next w:val="Normal"/>
    <w:link w:val="Heading1Char"/>
    <w:uiPriority w:val="9"/>
    <w:qFormat/>
    <w:rsid w:val="00372087"/>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372087"/>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372087"/>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372087"/>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372087"/>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372087"/>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372087"/>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372087"/>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372087"/>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unhideWhenUsed/>
    <w:qFormat/>
    <w:rsid w:val="00372087"/>
    <w:rPr/>
  </w:style>
  <w:style w:type="character" w:styleId="Heading1Char" w:customStyle="1">
    <w:name w:val="Heading 1 Char"/>
    <w:basedOn w:val="DefaultParagraphFont"/>
    <w:link w:val="Heading1"/>
    <w:uiPriority w:val="9"/>
    <w:qFormat/>
    <w:rsid w:val="00372087"/>
    <w:rPr>
      <w:rFonts w:ascii="Aptos Display" w:hAnsi="Aptos Display" w:eastAsia="" w:cs="" w:asciiTheme="majorHAnsi" w:cstheme="majorBidi" w:eastAsiaTheme="majorEastAsia" w:hAnsiTheme="majorHAnsi"/>
      <w:color w:themeColor="accent1" w:themeShade="bf" w:val="0F4761"/>
      <w:kern w:val="0"/>
      <w:sz w:val="40"/>
      <w:szCs w:val="40"/>
      <w14:ligatures w14:val="none"/>
    </w:rPr>
  </w:style>
  <w:style w:type="character" w:styleId="Heading2Char" w:customStyle="1">
    <w:name w:val="Heading 2 Char"/>
    <w:basedOn w:val="DefaultParagraphFont"/>
    <w:link w:val="Heading2"/>
    <w:uiPriority w:val="9"/>
    <w:semiHidden/>
    <w:qFormat/>
    <w:rsid w:val="00372087"/>
    <w:rPr>
      <w:rFonts w:ascii="Aptos Display" w:hAnsi="Aptos Display" w:eastAsia="" w:cs="" w:asciiTheme="majorHAnsi" w:cstheme="majorBidi" w:eastAsiaTheme="majorEastAsia" w:hAnsiTheme="majorHAnsi"/>
      <w:color w:themeColor="accent1" w:themeShade="bf" w:val="0F4761"/>
      <w:kern w:val="0"/>
      <w:sz w:val="32"/>
      <w:szCs w:val="32"/>
      <w14:ligatures w14:val="none"/>
    </w:rPr>
  </w:style>
  <w:style w:type="character" w:styleId="Heading3Char" w:customStyle="1">
    <w:name w:val="Heading 3 Char"/>
    <w:basedOn w:val="DefaultParagraphFont"/>
    <w:link w:val="Heading3"/>
    <w:uiPriority w:val="9"/>
    <w:semiHidden/>
    <w:qFormat/>
    <w:rsid w:val="00372087"/>
    <w:rPr>
      <w:rFonts w:eastAsia="" w:cs="" w:cstheme="majorBidi" w:eastAsiaTheme="majorEastAsia"/>
      <w:color w:themeColor="accent1" w:themeShade="bf" w:val="0F4761"/>
      <w:kern w:val="0"/>
      <w:sz w:val="28"/>
      <w:szCs w:val="28"/>
      <w14:ligatures w14:val="none"/>
    </w:rPr>
  </w:style>
  <w:style w:type="character" w:styleId="Heading4Char" w:customStyle="1">
    <w:name w:val="Heading 4 Char"/>
    <w:basedOn w:val="DefaultParagraphFont"/>
    <w:link w:val="Heading4"/>
    <w:uiPriority w:val="9"/>
    <w:semiHidden/>
    <w:qFormat/>
    <w:rsid w:val="00372087"/>
    <w:rPr>
      <w:rFonts w:eastAsia="" w:cs="" w:cstheme="majorBidi" w:eastAsiaTheme="majorEastAsia"/>
      <w:i/>
      <w:iCs/>
      <w:color w:themeColor="accent1" w:themeShade="bf" w:val="0F4761"/>
      <w:kern w:val="0"/>
      <w:sz w:val="22"/>
      <w:szCs w:val="22"/>
      <w14:ligatures w14:val="none"/>
    </w:rPr>
  </w:style>
  <w:style w:type="character" w:styleId="Heading5Char" w:customStyle="1">
    <w:name w:val="Heading 5 Char"/>
    <w:basedOn w:val="DefaultParagraphFont"/>
    <w:link w:val="Heading5"/>
    <w:uiPriority w:val="9"/>
    <w:semiHidden/>
    <w:qFormat/>
    <w:rsid w:val="00372087"/>
    <w:rPr>
      <w:rFonts w:eastAsia="" w:cs="" w:cstheme="majorBidi" w:eastAsiaTheme="majorEastAsia"/>
      <w:color w:themeColor="accent1" w:themeShade="bf" w:val="0F4761"/>
      <w:kern w:val="0"/>
      <w:sz w:val="22"/>
      <w:szCs w:val="22"/>
      <w14:ligatures w14:val="none"/>
    </w:rPr>
  </w:style>
  <w:style w:type="character" w:styleId="Heading6Char" w:customStyle="1">
    <w:name w:val="Heading 6 Char"/>
    <w:basedOn w:val="DefaultParagraphFont"/>
    <w:link w:val="Heading6"/>
    <w:uiPriority w:val="9"/>
    <w:semiHidden/>
    <w:qFormat/>
    <w:rsid w:val="00372087"/>
    <w:rPr>
      <w:rFonts w:eastAsia="" w:cs="" w:cstheme="majorBidi" w:eastAsiaTheme="majorEastAsia"/>
      <w:i/>
      <w:iCs/>
      <w:color w:themeColor="text1" w:themeTint="a6" w:val="595959"/>
      <w:kern w:val="0"/>
      <w:sz w:val="22"/>
      <w:szCs w:val="22"/>
      <w14:ligatures w14:val="none"/>
    </w:rPr>
  </w:style>
  <w:style w:type="character" w:styleId="Heading7Char" w:customStyle="1">
    <w:name w:val="Heading 7 Char"/>
    <w:basedOn w:val="DefaultParagraphFont"/>
    <w:link w:val="Heading7"/>
    <w:uiPriority w:val="9"/>
    <w:semiHidden/>
    <w:qFormat/>
    <w:rsid w:val="00372087"/>
    <w:rPr>
      <w:rFonts w:eastAsia="" w:cs="" w:cstheme="majorBidi" w:eastAsiaTheme="majorEastAsia"/>
      <w:color w:themeColor="text1" w:themeTint="a6" w:val="595959"/>
      <w:kern w:val="0"/>
      <w:sz w:val="22"/>
      <w:szCs w:val="22"/>
      <w14:ligatures w14:val="none"/>
    </w:rPr>
  </w:style>
  <w:style w:type="character" w:styleId="Heading8Char" w:customStyle="1">
    <w:name w:val="Heading 8 Char"/>
    <w:basedOn w:val="DefaultParagraphFont"/>
    <w:link w:val="Heading8"/>
    <w:uiPriority w:val="9"/>
    <w:semiHidden/>
    <w:qFormat/>
    <w:rsid w:val="00372087"/>
    <w:rPr>
      <w:rFonts w:eastAsia="" w:cs="" w:cstheme="majorBidi" w:eastAsiaTheme="majorEastAsia"/>
      <w:i/>
      <w:iCs/>
      <w:color w:themeColor="text1" w:themeTint="d8" w:val="272727"/>
      <w:kern w:val="0"/>
      <w:sz w:val="22"/>
      <w:szCs w:val="22"/>
      <w14:ligatures w14:val="none"/>
    </w:rPr>
  </w:style>
  <w:style w:type="character" w:styleId="Heading9Char" w:customStyle="1">
    <w:name w:val="Heading 9 Char"/>
    <w:basedOn w:val="DefaultParagraphFont"/>
    <w:link w:val="Heading9"/>
    <w:uiPriority w:val="9"/>
    <w:semiHidden/>
    <w:qFormat/>
    <w:rsid w:val="00372087"/>
    <w:rPr>
      <w:rFonts w:eastAsia="" w:cs="" w:cstheme="majorBidi" w:eastAsiaTheme="majorEastAsia"/>
      <w:color w:themeColor="text1" w:themeTint="d8" w:val="272727"/>
      <w:kern w:val="0"/>
      <w:sz w:val="22"/>
      <w:szCs w:val="22"/>
      <w14:ligatures w14:val="none"/>
    </w:rPr>
  </w:style>
  <w:style w:type="character" w:styleId="TitleChar" w:customStyle="1">
    <w:name w:val="Title Char"/>
    <w:basedOn w:val="DefaultParagraphFont"/>
    <w:link w:val="Title"/>
    <w:uiPriority w:val="10"/>
    <w:qFormat/>
    <w:rsid w:val="00372087"/>
    <w:rPr>
      <w:rFonts w:ascii="Aptos Display" w:hAnsi="Aptos Display" w:eastAsia="" w:cs="" w:asciiTheme="majorHAnsi" w:cstheme="majorBidi" w:eastAsiaTheme="majorEastAsia" w:hAnsiTheme="majorHAnsi"/>
      <w:spacing w:val="-10"/>
      <w:kern w:val="2"/>
      <w:sz w:val="56"/>
      <w:szCs w:val="56"/>
      <w14:ligatures w14:val="none"/>
    </w:rPr>
  </w:style>
  <w:style w:type="character" w:styleId="SubtitleChar" w:customStyle="1">
    <w:name w:val="Subtitle Char"/>
    <w:basedOn w:val="DefaultParagraphFont"/>
    <w:link w:val="Subtitle"/>
    <w:uiPriority w:val="11"/>
    <w:qFormat/>
    <w:rsid w:val="00372087"/>
    <w:rPr>
      <w:rFonts w:eastAsia="" w:cs="" w:cstheme="majorBidi" w:eastAsiaTheme="majorEastAsia"/>
      <w:color w:themeColor="text1" w:themeTint="a6" w:val="595959"/>
      <w:spacing w:val="15"/>
      <w:kern w:val="0"/>
      <w:sz w:val="28"/>
      <w:szCs w:val="28"/>
      <w14:ligatures w14:val="none"/>
    </w:rPr>
  </w:style>
  <w:style w:type="character" w:styleId="QuoteChar" w:customStyle="1">
    <w:name w:val="Quote Char"/>
    <w:basedOn w:val="DefaultParagraphFont"/>
    <w:link w:val="Quote"/>
    <w:uiPriority w:val="29"/>
    <w:qFormat/>
    <w:rsid w:val="00372087"/>
    <w:rPr>
      <w:i/>
      <w:iCs/>
      <w:color w:themeColor="text1" w:themeTint="bf" w:val="404040"/>
      <w:kern w:val="0"/>
      <w:sz w:val="22"/>
      <w:szCs w:val="22"/>
      <w14:ligatures w14:val="none"/>
    </w:rPr>
  </w:style>
  <w:style w:type="character" w:styleId="IntenseEmphasis">
    <w:name w:val="Intense Emphasis"/>
    <w:basedOn w:val="DefaultParagraphFont"/>
    <w:uiPriority w:val="21"/>
    <w:qFormat/>
    <w:rsid w:val="00372087"/>
    <w:rPr>
      <w:i/>
      <w:iCs/>
      <w:color w:themeColor="accent1" w:themeShade="bf" w:val="0F4761"/>
    </w:rPr>
  </w:style>
  <w:style w:type="character" w:styleId="IntenseQuoteChar" w:customStyle="1">
    <w:name w:val="Intense Quote Char"/>
    <w:basedOn w:val="DefaultParagraphFont"/>
    <w:link w:val="IntenseQuote"/>
    <w:uiPriority w:val="30"/>
    <w:qFormat/>
    <w:rsid w:val="00372087"/>
    <w:rPr>
      <w:i/>
      <w:iCs/>
      <w:color w:themeColor="accent1" w:themeShade="bf" w:val="0F4761"/>
      <w:kern w:val="0"/>
      <w:sz w:val="22"/>
      <w:szCs w:val="22"/>
      <w14:ligatures w14:val="none"/>
    </w:rPr>
  </w:style>
  <w:style w:type="character" w:styleId="IntenseReference">
    <w:name w:val="Intense Reference"/>
    <w:basedOn w:val="DefaultParagraphFont"/>
    <w:uiPriority w:val="32"/>
    <w:qFormat/>
    <w:rsid w:val="00372087"/>
    <w:rPr>
      <w:b/>
      <w:bCs/>
      <w:smallCaps/>
      <w:color w:themeColor="accent1" w:themeShade="bf" w:val="0F4761"/>
      <w:spacing w:val="5"/>
    </w:rPr>
  </w:style>
  <w:style w:type="character" w:styleId="EndNoteBibliographyTitleChar" w:customStyle="1">
    <w:name w:val="EndNote Bibliography Title Char"/>
    <w:basedOn w:val="DefaultParagraphFont"/>
    <w:link w:val="EndNoteBibliographyTitle"/>
    <w:qFormat/>
    <w:rsid w:val="00372087"/>
    <w:rPr>
      <w:rFonts w:ascii="Aptos" w:hAnsi="Aptos"/>
      <w:kern w:val="0"/>
      <w:sz w:val="22"/>
      <w:szCs w:val="22"/>
      <w:lang w:val="en-US"/>
      <w14:ligatures w14:val="none"/>
    </w:rPr>
  </w:style>
  <w:style w:type="character" w:styleId="EndNoteBibliographyChar" w:customStyle="1">
    <w:name w:val="EndNote Bibliography Char"/>
    <w:basedOn w:val="DefaultParagraphFont"/>
    <w:link w:val="EndNoteBibliography"/>
    <w:qFormat/>
    <w:rsid w:val="00372087"/>
    <w:rPr>
      <w:rFonts w:ascii="Aptos" w:hAnsi="Aptos"/>
      <w:kern w:val="0"/>
      <w:sz w:val="22"/>
      <w:szCs w:val="22"/>
      <w:lang w:val="en-US"/>
      <w14:ligatures w14:val="none"/>
    </w:rPr>
  </w:style>
  <w:style w:type="character" w:styleId="CommentReference">
    <w:name w:val="annotation reference"/>
    <w:basedOn w:val="DefaultParagraphFont"/>
    <w:uiPriority w:val="99"/>
    <w:semiHidden/>
    <w:unhideWhenUsed/>
    <w:qFormat/>
    <w:rsid w:val="00372087"/>
    <w:rPr>
      <w:sz w:val="16"/>
      <w:szCs w:val="16"/>
    </w:rPr>
  </w:style>
  <w:style w:type="character" w:styleId="CommentTextChar" w:customStyle="1">
    <w:name w:val="Comment Text Char"/>
    <w:basedOn w:val="DefaultParagraphFont"/>
    <w:link w:val="CommentText"/>
    <w:uiPriority w:val="99"/>
    <w:qFormat/>
    <w:rsid w:val="00372087"/>
    <w:rPr>
      <w:kern w:val="0"/>
      <w:sz w:val="20"/>
      <w:szCs w:val="20"/>
      <w14:ligatures w14:val="none"/>
    </w:rPr>
  </w:style>
  <w:style w:type="character" w:styleId="PlaceholderText">
    <w:name w:val="Placeholder Text"/>
    <w:basedOn w:val="DefaultParagraphFont"/>
    <w:uiPriority w:val="99"/>
    <w:semiHidden/>
    <w:qFormat/>
    <w:rsid w:val="00372087"/>
    <w:rPr>
      <w:color w:val="808080"/>
    </w:rPr>
  </w:style>
  <w:style w:type="character" w:styleId="CommentSubjectChar" w:customStyle="1">
    <w:name w:val="Comment Subject Char"/>
    <w:basedOn w:val="CommentTextChar"/>
    <w:link w:val="annotationsubject"/>
    <w:uiPriority w:val="99"/>
    <w:semiHidden/>
    <w:qFormat/>
    <w:rsid w:val="00372087"/>
    <w:rPr>
      <w:b/>
      <w:bCs/>
      <w:kern w:val="0"/>
      <w:sz w:val="20"/>
      <w:szCs w:val="20"/>
      <w14:ligatures w14:val="none"/>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372087"/>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372087"/>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372087"/>
    <w:pPr>
      <w:spacing w:before="160" w:after="160"/>
      <w:jc w:val="center"/>
    </w:pPr>
    <w:rPr>
      <w:i/>
      <w:iCs/>
      <w:color w:themeColor="text1" w:themeTint="bf" w:val="404040"/>
    </w:rPr>
  </w:style>
  <w:style w:type="paragraph" w:styleId="ListParagraph">
    <w:name w:val="List Paragraph"/>
    <w:basedOn w:val="Normal"/>
    <w:uiPriority w:val="34"/>
    <w:qFormat/>
    <w:rsid w:val="00372087"/>
    <w:pPr>
      <w:spacing w:before="0" w:after="160"/>
      <w:ind w:start="720"/>
      <w:contextualSpacing/>
    </w:pPr>
    <w:rPr/>
  </w:style>
  <w:style w:type="paragraph" w:styleId="IntenseQuote">
    <w:name w:val="Intense Quote"/>
    <w:basedOn w:val="Normal"/>
    <w:next w:val="Normal"/>
    <w:link w:val="IntenseQuoteChar"/>
    <w:uiPriority w:val="30"/>
    <w:qFormat/>
    <w:rsid w:val="00372087"/>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EndNoteBibliographyTitle" w:customStyle="1">
    <w:name w:val="EndNote Bibliography Title"/>
    <w:basedOn w:val="Normal"/>
    <w:link w:val="EndNoteBibliographyTitleChar"/>
    <w:qFormat/>
    <w:rsid w:val="00372087"/>
    <w:pPr>
      <w:spacing w:before="0" w:after="0"/>
      <w:jc w:val="center"/>
    </w:pPr>
    <w:rPr>
      <w:rFonts w:ascii="Aptos" w:hAnsi="Aptos"/>
      <w:lang w:val="en-US"/>
    </w:rPr>
  </w:style>
  <w:style w:type="paragraph" w:styleId="EndNoteBibliography" w:customStyle="1">
    <w:name w:val="EndNote Bibliography"/>
    <w:basedOn w:val="Normal"/>
    <w:link w:val="EndNoteBibliographyChar"/>
    <w:qFormat/>
    <w:rsid w:val="00372087"/>
    <w:pPr>
      <w:spacing w:lineRule="auto" w:line="240"/>
    </w:pPr>
    <w:rPr>
      <w:rFonts w:ascii="Aptos" w:hAnsi="Aptos"/>
      <w:lang w:val="en-US"/>
    </w:rPr>
  </w:style>
  <w:style w:type="paragraph" w:styleId="CommentText">
    <w:name w:val="annotation text"/>
    <w:basedOn w:val="Normal"/>
    <w:link w:val="CommentTextChar"/>
    <w:uiPriority w:val="99"/>
    <w:unhideWhenUsed/>
    <w:rsid w:val="00372087"/>
    <w:pPr>
      <w:spacing w:lineRule="auto" w:line="240"/>
    </w:pPr>
    <w:rPr>
      <w:sz w:val="20"/>
      <w:szCs w:val="20"/>
    </w:rPr>
  </w:style>
  <w:style w:type="paragraph" w:styleId="annotationsubject">
    <w:name w:val="annotation subject"/>
    <w:basedOn w:val="CommentText"/>
    <w:next w:val="CommentText"/>
    <w:link w:val="CommentSubjectChar"/>
    <w:uiPriority w:val="99"/>
    <w:semiHidden/>
    <w:unhideWhenUsed/>
    <w:qFormat/>
    <w:rsid w:val="00372087"/>
    <w:pPr/>
    <w:rPr>
      <w:b/>
      <w:bCs/>
    </w:rPr>
  </w:style>
  <w:style w:type="paragraph" w:styleId="Revision">
    <w:name w:val="Revision"/>
    <w:uiPriority w:val="99"/>
    <w:semiHidden/>
    <w:qFormat/>
    <w:rsid w:val="00372087"/>
    <w:pPr>
      <w:widowControl/>
      <w:bidi w:val="0"/>
      <w:spacing w:lineRule="auto" w:line="240" w:before="0" w:after="0"/>
      <w:jc w:val="start"/>
    </w:pPr>
    <w:rPr>
      <w:rFonts w:ascii="Aptos" w:hAnsi="Aptos" w:eastAsia="Aptos" w:cs=""/>
      <w:color w:val="auto"/>
      <w:kern w:val="0"/>
      <w:sz w:val="22"/>
      <w:szCs w:val="22"/>
      <w:lang w:val="en-AU" w:eastAsia="en-US" w:bidi="ar-SA"/>
      <w14:ligatures w14:val="none"/>
    </w:rPr>
  </w:style>
  <w:style w:type="numbering" w:styleId="NoList" w:default="1">
    <w:name w:val="No List"/>
    <w:uiPriority w:val="99"/>
    <w:semiHidden/>
    <w:unhideWhenUsed/>
    <w:qFormat/>
    <w:rsid w:val="00372087"/>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372087"/>
    <w:pPr>
      <w:spacing w:after="0" w:line="240" w:lineRule="auto"/>
    </w:pPr>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TableGridLight1">
    <w:name w:val="Table Grid Light1"/>
    <w:basedOn w:val="TableNormal"/>
    <w:uiPriority w:val="40"/>
    <w:rsid w:val="00372087"/>
    <w:pPr>
      <w:spacing w:after="0" w:line="240" w:lineRule="auto"/>
    </w:pPr>
    <w:rPr>
      <w:sz w:val="22"/>
      <w:szCs w:val="22"/>
      <w:lang w:val="en-US"/>
    </w:rPr>
    <w:tblPr>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glossaryDocument" Target="glossary/document.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E43AA615EB4701A7C51296BD5480EB"/>
        <w:category>
          <w:name w:val="General"/>
          <w:gallery w:val="placeholder"/>
        </w:category>
        <w:types>
          <w:type w:val="bbPlcHdr"/>
        </w:types>
        <w:behaviors>
          <w:behavior w:val="content"/>
        </w:behaviors>
        <w:guid w:val="{F12A2B6E-D8A1-4E6D-9BB4-63B6165E2797}"/>
      </w:docPartPr>
      <w:docPartBody>
        <w:p w:rsidR="00DA0CA8" w:rsidRDefault="004904F5" w:rsidP="004904F5">
          <w:pPr>
            <w:pStyle w:val="FCE43AA615EB4701A7C51296BD5480EB"/>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4F5"/>
    <w:rsid w:val="004904F5"/>
    <w:rsid w:val="00680EDF"/>
    <w:rsid w:val="00DA0C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04F5"/>
    <w:rPr>
      <w:color w:val="808080"/>
    </w:rPr>
  </w:style>
  <w:style w:type="paragraph" w:customStyle="1" w:styleId="FCE43AA615EB4701A7C51296BD5480EB">
    <w:name w:val="FCE43AA615EB4701A7C51296BD5480EB"/>
    <w:rsid w:val="004904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TotalTime>
  <Application>LibreOffice/26.2.2.2$Windows_X86_64 LibreOffice_project/1f77d10d6938fd34972958f64b2bcfa54f8b1ba5</Application>
  <AppVersion>15.0000</AppVersion>
  <Pages>23</Pages>
  <Words>8566</Words>
  <Characters>51533</Characters>
  <CharactersWithSpaces>59741</CharactersWithSpaces>
  <Paragraphs>377</Paragraphs>
  <Company>The University of Queensland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2026-06-05T03:47:00Z</dcterms:created>
  <dc:creator>Matthew McGrail</dc:creator>
  <dc:description/>
  <dc:language>en-US</dc:language>
  <cp:lastModifiedBy/>
  <dcterms:modified xsi:type="dcterms:W3CDTF">2026-07-16T16:56:16Z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ActionId">
    <vt:lpwstr>600b17eb-457c-491f-83f7-ed0d0aa98866</vt:lpwstr>
  </property>
  <property fmtid="{D5CDD505-2E9C-101B-9397-08002B2CF9AE}" pid="3" name="MSIP_Label_0f488380-630a-4f55-a077-a19445e3f360_ContentBits">
    <vt:lpwstr>0</vt:lpwstr>
  </property>
  <property fmtid="{D5CDD505-2E9C-101B-9397-08002B2CF9AE}" pid="4" name="MSIP_Label_0f488380-630a-4f55-a077-a19445e3f360_Enabled">
    <vt:lpwstr>true</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etDate">
    <vt:lpwstr>2026-06-05T03:47:42Z</vt:lpwstr>
  </property>
  <property fmtid="{D5CDD505-2E9C-101B-9397-08002B2CF9AE}" pid="8" name="MSIP_Label_0f488380-630a-4f55-a077-a19445e3f360_SiteId">
    <vt:lpwstr>b6e377cf-9db3-46cb-91a2-fad9605bb15c</vt:lpwstr>
  </property>
  <property fmtid="{D5CDD505-2E9C-101B-9397-08002B2CF9AE}" pid="9" name="MSIP_Label_0f488380-630a-4f55-a077-a19445e3f360_Tag">
    <vt:lpwstr>10, 3, 0, 1</vt:lpwstr>
  </property>
</Properties>
</file>