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after="40"/>
      </w:pPr>
      <w:r>
        <w:rPr>
          <w:b/>
          <w:i w:val="0"/>
        </w:rPr>
        <w:t>Additional file 2</w:t>
      </w:r>
    </w:p>
    <w:p>
      <w:pPr>
        <w:spacing w:line="240" w:lineRule="auto" w:after="80"/>
      </w:pPr>
      <w:r>
        <w:rPr>
          <w:b/>
          <w:i w:val="0"/>
        </w:rPr>
        <w:t>STROBE Statement — checklist of items for cross-sectional studies</w:t>
      </w:r>
    </w:p>
    <w:p>
      <w:pPr>
        <w:spacing w:line="240" w:lineRule="auto" w:after="200"/>
      </w:pPr>
      <w:r>
        <w:rPr>
          <w:b w:val="0"/>
          <w:i/>
        </w:rPr>
        <w:t>Manuscript: "In-Home and Away-from-Home Falls Among Older Adults in Türkiye: A Nationally Representative Cross-Sectional Study"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2" w:color="000000"/>
          <w:bottom w:val="single" w:sz="12" w:color="000000"/>
          <w:left w:val="none"/>
          <w:right w:val="none"/>
          <w:insideH w:val="none"/>
          <w:insideV w:val="none"/>
        </w:tblBorders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Item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No.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Recommendation</w:t>
            </w:r>
          </w:p>
        </w:tc>
        <w:tc>
          <w:tcPr>
            <w:tcW w:type="dxa" w:w="2268"/>
            <w:tcBorders>
              <w:bottom w:val="single" w:sz="8" w:color="000000"/>
            </w:tcBorders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/>
                <w:i w:val="0"/>
                <w:sz w:val="18"/>
              </w:rPr>
              <w:t>Location in manuscript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Title and abstract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Indicate the study design and provide an informative, balanced summary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1-2, lines 1-29: title states “Nationally Representative Cross-Sectional Study”; structured Abstract reports design, sample, methods, results, and limitations.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Background/rationale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Explain the scientific background and rationale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2-3, lines 32-52.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Objectives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State specific objectives and prespecified hypotheses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p. 3, lines 53-59; four descriptive and association objectives.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Study design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Present key elements of study design early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3-4, lines 61-79; cross-sectional secondary analysis stated at line 62.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Setting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5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Describe setting, locations, and relevant dates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p. 3, lines 62-73; Türkiye, household frame, and fieldwork dates.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Participants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6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Give eligibility, source population, selection, and follow-up criteria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3-4, lines 62-79; Fig. 1 legend, p. 8, lines 175-180; Additional file 1, Table S2, pp. 1-2.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Variables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7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Clearly define outcomes, exposures, predictors, confounders, and effect modifiers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4-5, lines 80-116, and p. 6, lines 133-145.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Data sources and measurement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8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Give data sources and assessment details for each variable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3-5, lines 62-116; exact translated fall question at lines 80-81 and respondent mode at lines 69-70.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Bias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9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Describe efforts to address potential sources of bias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6-7, lines 133-154; pp. 14-15, lines 261-269; pp. 17-18, lines 320-343.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Study size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10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Explain how the study size was arrived at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3-4, lines 73-79; Fig. 1 legend, p. 8, lines 175-180; Additional file 1, Table S2, pp. 1-2.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Quantitative variables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11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Explain handling of quantitative variables and groupings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4-5, lines 97-116; age, walking/vision, ADL/IADL, and GDS-30 groupings defined.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Statistical methods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12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Describe adjustment, subgroups, missing data, sampling strategy, sensitivity analyses, and applicable methods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5-7, lines 117-154. Additional file 1: Table S3, pp. 2-3; Table S4, pp. 3-4; Tables S5-S7, p. 4; Tables S8-S9, p. 5.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Participants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13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Report numbers at each stage, reasons for non-participation, and consider a flow diagram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7-8, lines 161-180, including the Fig. 1 analytic flow diagram and legend; Additional file 1, Table S2, pp. 1-2.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Descriptive data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14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Give participant characteristics, missing data, and follow-up time where applicable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Table 1 and note, pp. 8-9, lines 181-186; Additional file 1, Table S3, pp. 2-3. Follow-up is not applicable.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Outcome data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15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Report numbers of outcome events or summary measures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7-14, lines 169-267; Tables 2-3; Additional file 1, Tables S1-S2 and S7-S8.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Main results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16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Give unadjusted and adjusted estimates with precision and explain category boundaries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11-14, lines 210-251; Table 3, p. 12. For Model B, same-sample crude and mutually adjusted estimates are in Additional file 1, Table S9, p. 5; crude estimates were not produced for every secondary model.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Other analyses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17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Report subgroup, interaction, and sensitivity analyses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14-15, lines 261-269; Additional file 1, Table S4, pp. 3-4; Tables S5-S7, p. 4; Table S8, p. 5.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Key results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18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Summarise key results with reference to objectives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p. 15, lines 271-279.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Limitations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19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Discuss limitations, including direction and magnitude of potential bias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17-18, lines 320-343; covers retrospective self-report, definition, period prevalence, proxy/GDS structure, temporality, location, environment, survey variance, and generalisability.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Interpretation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20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Give a cautious overall interpretation considering objectives, limitations, multiplicity, and other evidence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pp. 15-17, lines 281-319; Conclusions, p. 18, lines 344-351.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Generalisability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21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Discuss external validity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p. 18, lines 341-343; inference limited to the non-institutional household population represented by the TYPA frame.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Funding</w:t>
            </w:r>
          </w:p>
        </w:tc>
        <w:tc>
          <w:tcPr>
            <w:tcW w:type="dxa" w:w="2268"/>
          </w:tcPr>
          <w:p>
            <w:pPr>
              <w:spacing w:line="240" w:lineRule="auto" w:after="20"/>
              <w:jc w:val="center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22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State funding source and role of funders</w:t>
            </w:r>
          </w:p>
        </w:tc>
        <w:tc>
          <w:tcPr>
            <w:tcW w:type="dxa" w:w="2268"/>
          </w:tcPr>
          <w:p>
            <w:pPr>
              <w:spacing w:line="240" w:lineRule="auto" w:after="20"/>
            </w:pPr>
            <w:r/>
            <w:r>
              <w:rPr>
                <w:rFonts w:ascii="Times New Roman" w:hAnsi="Times New Roman"/>
                <w:b w:val="0"/>
                <w:i w:val="0"/>
                <w:sz w:val="18"/>
              </w:rPr>
              <w:t>Manuscript p. 20, lines 392-394; no specific funding.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