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00A9C" w14:textId="77777777" w:rsidR="00567E34" w:rsidRDefault="00567E34" w:rsidP="00567E34">
      <w:pPr>
        <w:rPr>
          <w:rFonts w:ascii="Times New Roman" w:hAnsi="Times New Roman" w:cs="Times New Roman"/>
          <w:b/>
          <w:bCs/>
        </w:rPr>
      </w:pPr>
      <w:r w:rsidRPr="00FE359D">
        <w:rPr>
          <w:rFonts w:ascii="Times New Roman" w:hAnsi="Times New Roman" w:cs="Times New Roman"/>
          <w:b/>
          <w:bCs/>
        </w:rPr>
        <w:t>Supplementary Table 1. Extended multivariable linear regression analysis of factors associated with illness perception score, including communication-related research questions</w:t>
      </w:r>
    </w:p>
    <w:p w14:paraId="56C3DB63" w14:textId="77777777" w:rsidR="00567E34" w:rsidRDefault="00567E34" w:rsidP="00567E34"/>
    <w:tbl>
      <w:tblPr>
        <w:tblStyle w:val="TabloKlavuzu"/>
        <w:tblW w:w="14312" w:type="dxa"/>
        <w:tblLook w:val="04A0" w:firstRow="1" w:lastRow="0" w:firstColumn="1" w:lastColumn="0" w:noHBand="0" w:noVBand="1"/>
      </w:tblPr>
      <w:tblGrid>
        <w:gridCol w:w="5665"/>
        <w:gridCol w:w="1418"/>
        <w:gridCol w:w="1559"/>
        <w:gridCol w:w="2126"/>
        <w:gridCol w:w="2410"/>
        <w:gridCol w:w="1134"/>
      </w:tblGrid>
      <w:tr w:rsidR="00567E34" w:rsidRPr="00FE359D" w14:paraId="3FA56F40" w14:textId="77777777" w:rsidTr="000F699A">
        <w:trPr>
          <w:trHeight w:val="399"/>
        </w:trPr>
        <w:tc>
          <w:tcPr>
            <w:tcW w:w="5665" w:type="dxa"/>
            <w:vAlign w:val="center"/>
          </w:tcPr>
          <w:p w14:paraId="32C44134" w14:textId="77777777" w:rsidR="00567E34" w:rsidRPr="00FE359D" w:rsidRDefault="00567E34" w:rsidP="000F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 xml:space="preserve">Features </w:t>
            </w:r>
          </w:p>
        </w:tc>
        <w:tc>
          <w:tcPr>
            <w:tcW w:w="1418" w:type="dxa"/>
            <w:vAlign w:val="center"/>
          </w:tcPr>
          <w:p w14:paraId="2E06325F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β</w:t>
            </w:r>
          </w:p>
        </w:tc>
        <w:tc>
          <w:tcPr>
            <w:tcW w:w="1559" w:type="dxa"/>
            <w:vAlign w:val="center"/>
          </w:tcPr>
          <w:p w14:paraId="3EC72F1E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</w:p>
        </w:tc>
        <w:tc>
          <w:tcPr>
            <w:tcW w:w="2126" w:type="dxa"/>
            <w:vAlign w:val="center"/>
          </w:tcPr>
          <w:p w14:paraId="7A676C1C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Standardized β</w:t>
            </w:r>
          </w:p>
        </w:tc>
        <w:tc>
          <w:tcPr>
            <w:tcW w:w="2410" w:type="dxa"/>
            <w:vAlign w:val="center"/>
          </w:tcPr>
          <w:p w14:paraId="6CAB62AF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  <w:tc>
          <w:tcPr>
            <w:tcW w:w="1134" w:type="dxa"/>
            <w:vAlign w:val="center"/>
          </w:tcPr>
          <w:p w14:paraId="05F5BECD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567E34" w:rsidRPr="00FE359D" w14:paraId="76F8321B" w14:textId="77777777" w:rsidTr="000F699A">
        <w:trPr>
          <w:trHeight w:val="381"/>
        </w:trPr>
        <w:tc>
          <w:tcPr>
            <w:tcW w:w="5665" w:type="dxa"/>
            <w:vAlign w:val="center"/>
          </w:tcPr>
          <w:p w14:paraId="48A9CD9B" w14:textId="77777777" w:rsidR="00567E34" w:rsidRPr="00FE359D" w:rsidRDefault="00567E34" w:rsidP="000F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 xml:space="preserve">Age (ref: </w:t>
            </w:r>
            <w:r w:rsidRPr="00FE359D">
              <w:rPr>
                <w:rFonts w:ascii="Times New Roman" w:hAnsi="Times New Roman" w:cs="Times New Roman"/>
                <w:sz w:val="24"/>
                <w:szCs w:val="24"/>
              </w:rPr>
              <w:sym w:font="Symbol" w:char="F0B3"/>
            </w: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60 years)</w:t>
            </w:r>
          </w:p>
        </w:tc>
        <w:tc>
          <w:tcPr>
            <w:tcW w:w="1418" w:type="dxa"/>
            <w:vAlign w:val="center"/>
          </w:tcPr>
          <w:p w14:paraId="3541879B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2.689</w:t>
            </w:r>
          </w:p>
        </w:tc>
        <w:tc>
          <w:tcPr>
            <w:tcW w:w="1559" w:type="dxa"/>
            <w:vAlign w:val="center"/>
          </w:tcPr>
          <w:p w14:paraId="2DFC060C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2.351</w:t>
            </w:r>
          </w:p>
        </w:tc>
        <w:tc>
          <w:tcPr>
            <w:tcW w:w="2126" w:type="dxa"/>
            <w:vAlign w:val="center"/>
          </w:tcPr>
          <w:p w14:paraId="3880D1CD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0.139</w:t>
            </w:r>
          </w:p>
        </w:tc>
        <w:tc>
          <w:tcPr>
            <w:tcW w:w="2410" w:type="dxa"/>
            <w:vAlign w:val="center"/>
          </w:tcPr>
          <w:p w14:paraId="40FD7E56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-0.085 to 5.464</w:t>
            </w:r>
          </w:p>
        </w:tc>
        <w:tc>
          <w:tcPr>
            <w:tcW w:w="1134" w:type="dxa"/>
            <w:vAlign w:val="center"/>
          </w:tcPr>
          <w:p w14:paraId="57E4936A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0.057</w:t>
            </w:r>
          </w:p>
        </w:tc>
      </w:tr>
      <w:tr w:rsidR="00567E34" w:rsidRPr="00FE359D" w14:paraId="2829DF77" w14:textId="77777777" w:rsidTr="000F699A">
        <w:trPr>
          <w:trHeight w:val="399"/>
        </w:trPr>
        <w:tc>
          <w:tcPr>
            <w:tcW w:w="5665" w:type="dxa"/>
            <w:vAlign w:val="center"/>
          </w:tcPr>
          <w:p w14:paraId="2AA72587" w14:textId="77777777" w:rsidR="00567E34" w:rsidRPr="00FE359D" w:rsidRDefault="00567E34" w:rsidP="000F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Diabetes duration (ref: &lt;10 years)</w:t>
            </w:r>
          </w:p>
        </w:tc>
        <w:tc>
          <w:tcPr>
            <w:tcW w:w="1418" w:type="dxa"/>
            <w:vAlign w:val="center"/>
          </w:tcPr>
          <w:p w14:paraId="69577F49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0.942</w:t>
            </w:r>
          </w:p>
        </w:tc>
        <w:tc>
          <w:tcPr>
            <w:tcW w:w="1559" w:type="dxa"/>
            <w:vAlign w:val="center"/>
          </w:tcPr>
          <w:p w14:paraId="5CBB0C27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1.405</w:t>
            </w:r>
          </w:p>
        </w:tc>
        <w:tc>
          <w:tcPr>
            <w:tcW w:w="2126" w:type="dxa"/>
            <w:vAlign w:val="center"/>
          </w:tcPr>
          <w:p w14:paraId="0ECE1EF2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0.048</w:t>
            </w:r>
          </w:p>
        </w:tc>
        <w:tc>
          <w:tcPr>
            <w:tcW w:w="2410" w:type="dxa"/>
            <w:vAlign w:val="center"/>
          </w:tcPr>
          <w:p w14:paraId="1485D72C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-1.998 to 3.881</w:t>
            </w:r>
          </w:p>
        </w:tc>
        <w:tc>
          <w:tcPr>
            <w:tcW w:w="1134" w:type="dxa"/>
            <w:vAlign w:val="center"/>
          </w:tcPr>
          <w:p w14:paraId="6D9C81BB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0.528</w:t>
            </w:r>
          </w:p>
        </w:tc>
      </w:tr>
      <w:tr w:rsidR="00567E34" w:rsidRPr="00FE359D" w14:paraId="60F7830B" w14:textId="77777777" w:rsidTr="000F699A">
        <w:trPr>
          <w:trHeight w:val="381"/>
        </w:trPr>
        <w:tc>
          <w:tcPr>
            <w:tcW w:w="5665" w:type="dxa"/>
            <w:vAlign w:val="center"/>
          </w:tcPr>
          <w:p w14:paraId="696EADB9" w14:textId="77777777" w:rsidR="00567E34" w:rsidRPr="00FE359D" w:rsidRDefault="00567E34" w:rsidP="000F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Treatment (ref: oral antidiabetic drugs only)</w:t>
            </w:r>
          </w:p>
        </w:tc>
        <w:tc>
          <w:tcPr>
            <w:tcW w:w="1418" w:type="dxa"/>
            <w:vAlign w:val="center"/>
          </w:tcPr>
          <w:p w14:paraId="560B75B6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4.902</w:t>
            </w:r>
          </w:p>
        </w:tc>
        <w:tc>
          <w:tcPr>
            <w:tcW w:w="1559" w:type="dxa"/>
            <w:vAlign w:val="center"/>
          </w:tcPr>
          <w:p w14:paraId="10AFA95A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1.488</w:t>
            </w:r>
          </w:p>
        </w:tc>
        <w:tc>
          <w:tcPr>
            <w:tcW w:w="2126" w:type="dxa"/>
            <w:vAlign w:val="center"/>
          </w:tcPr>
          <w:p w14:paraId="3E009A31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0.220</w:t>
            </w:r>
          </w:p>
        </w:tc>
        <w:tc>
          <w:tcPr>
            <w:tcW w:w="2410" w:type="dxa"/>
            <w:vAlign w:val="center"/>
          </w:tcPr>
          <w:p w14:paraId="382821FE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1.401 to 8.403</w:t>
            </w:r>
          </w:p>
        </w:tc>
        <w:tc>
          <w:tcPr>
            <w:tcW w:w="1134" w:type="dxa"/>
            <w:vAlign w:val="center"/>
          </w:tcPr>
          <w:p w14:paraId="76ACDF18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</w:tr>
      <w:tr w:rsidR="00567E34" w:rsidRPr="00FE359D" w14:paraId="1C1E4974" w14:textId="77777777" w:rsidTr="000F699A">
        <w:trPr>
          <w:trHeight w:val="399"/>
        </w:trPr>
        <w:tc>
          <w:tcPr>
            <w:tcW w:w="5665" w:type="dxa"/>
            <w:vAlign w:val="center"/>
          </w:tcPr>
          <w:p w14:paraId="126B296C" w14:textId="77777777" w:rsidR="00567E34" w:rsidRPr="00FE359D" w:rsidRDefault="00567E34" w:rsidP="000F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Diabetes-related complications (ref: no)</w:t>
            </w:r>
          </w:p>
        </w:tc>
        <w:tc>
          <w:tcPr>
            <w:tcW w:w="1418" w:type="dxa"/>
            <w:vAlign w:val="center"/>
          </w:tcPr>
          <w:p w14:paraId="3420C158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5.959</w:t>
            </w:r>
          </w:p>
        </w:tc>
        <w:tc>
          <w:tcPr>
            <w:tcW w:w="1559" w:type="dxa"/>
            <w:vAlign w:val="center"/>
          </w:tcPr>
          <w:p w14:paraId="67A60DC8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1.772</w:t>
            </w:r>
          </w:p>
        </w:tc>
        <w:tc>
          <w:tcPr>
            <w:tcW w:w="2126" w:type="dxa"/>
            <w:vAlign w:val="center"/>
          </w:tcPr>
          <w:p w14:paraId="686B9010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0.270</w:t>
            </w:r>
          </w:p>
        </w:tc>
        <w:tc>
          <w:tcPr>
            <w:tcW w:w="2410" w:type="dxa"/>
            <w:vAlign w:val="center"/>
          </w:tcPr>
          <w:p w14:paraId="0182B0EC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2.445 to 9.472</w:t>
            </w:r>
          </w:p>
        </w:tc>
        <w:tc>
          <w:tcPr>
            <w:tcW w:w="1134" w:type="dxa"/>
            <w:vAlign w:val="center"/>
          </w:tcPr>
          <w:p w14:paraId="0DCA11EC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567E34" w:rsidRPr="00FE359D" w14:paraId="0A0EE7B3" w14:textId="77777777" w:rsidTr="000F699A">
        <w:trPr>
          <w:trHeight w:val="381"/>
        </w:trPr>
        <w:tc>
          <w:tcPr>
            <w:tcW w:w="5665" w:type="dxa"/>
            <w:vAlign w:val="center"/>
          </w:tcPr>
          <w:p w14:paraId="50F4A764" w14:textId="77777777" w:rsidR="00567E34" w:rsidRPr="00FE359D" w:rsidRDefault="00567E34" w:rsidP="000F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Follow-up physician (ref: family physician)</w:t>
            </w:r>
          </w:p>
        </w:tc>
        <w:tc>
          <w:tcPr>
            <w:tcW w:w="1418" w:type="dxa"/>
            <w:vAlign w:val="center"/>
          </w:tcPr>
          <w:p w14:paraId="54C68B05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0.166</w:t>
            </w:r>
          </w:p>
        </w:tc>
        <w:tc>
          <w:tcPr>
            <w:tcW w:w="1559" w:type="dxa"/>
            <w:vAlign w:val="center"/>
          </w:tcPr>
          <w:p w14:paraId="5FD01F53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1.779</w:t>
            </w:r>
          </w:p>
        </w:tc>
        <w:tc>
          <w:tcPr>
            <w:tcW w:w="2126" w:type="dxa"/>
            <w:vAlign w:val="center"/>
          </w:tcPr>
          <w:p w14:paraId="4E4E8B31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0.007</w:t>
            </w:r>
          </w:p>
        </w:tc>
        <w:tc>
          <w:tcPr>
            <w:tcW w:w="2410" w:type="dxa"/>
            <w:vAlign w:val="center"/>
          </w:tcPr>
          <w:p w14:paraId="363EC10D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-3.359 to 3.691</w:t>
            </w:r>
          </w:p>
        </w:tc>
        <w:tc>
          <w:tcPr>
            <w:tcW w:w="1134" w:type="dxa"/>
            <w:vAlign w:val="center"/>
          </w:tcPr>
          <w:p w14:paraId="2080D8EE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0.926</w:t>
            </w:r>
          </w:p>
        </w:tc>
      </w:tr>
      <w:tr w:rsidR="00567E34" w:rsidRPr="00FE359D" w14:paraId="26AFE0DF" w14:textId="77777777" w:rsidTr="000F699A">
        <w:trPr>
          <w:trHeight w:val="399"/>
        </w:trPr>
        <w:tc>
          <w:tcPr>
            <w:tcW w:w="5665" w:type="dxa"/>
            <w:vAlign w:val="center"/>
          </w:tcPr>
          <w:p w14:paraId="78DB6B35" w14:textId="77777777" w:rsidR="00567E34" w:rsidRPr="00FE359D" w:rsidRDefault="00567E34" w:rsidP="000F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Residence (ref: city center)</w:t>
            </w:r>
          </w:p>
        </w:tc>
        <w:tc>
          <w:tcPr>
            <w:tcW w:w="1418" w:type="dxa"/>
            <w:vAlign w:val="center"/>
          </w:tcPr>
          <w:p w14:paraId="14ACBE67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3.326</w:t>
            </w:r>
          </w:p>
        </w:tc>
        <w:tc>
          <w:tcPr>
            <w:tcW w:w="1559" w:type="dxa"/>
            <w:vAlign w:val="center"/>
          </w:tcPr>
          <w:p w14:paraId="42112958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1.785</w:t>
            </w:r>
          </w:p>
        </w:tc>
        <w:tc>
          <w:tcPr>
            <w:tcW w:w="2126" w:type="dxa"/>
            <w:vAlign w:val="center"/>
          </w:tcPr>
          <w:p w14:paraId="276BEA17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0.126</w:t>
            </w:r>
          </w:p>
        </w:tc>
        <w:tc>
          <w:tcPr>
            <w:tcW w:w="2410" w:type="dxa"/>
            <w:vAlign w:val="center"/>
          </w:tcPr>
          <w:p w14:paraId="72003504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-0.288 to 6.939</w:t>
            </w:r>
          </w:p>
        </w:tc>
        <w:tc>
          <w:tcPr>
            <w:tcW w:w="1134" w:type="dxa"/>
            <w:vAlign w:val="center"/>
          </w:tcPr>
          <w:p w14:paraId="0CFED14B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0.071</w:t>
            </w:r>
          </w:p>
        </w:tc>
      </w:tr>
      <w:tr w:rsidR="00567E34" w:rsidRPr="00FE359D" w14:paraId="08251D1E" w14:textId="77777777" w:rsidTr="000F699A">
        <w:trPr>
          <w:trHeight w:val="381"/>
        </w:trPr>
        <w:tc>
          <w:tcPr>
            <w:tcW w:w="5665" w:type="dxa"/>
            <w:vAlign w:val="center"/>
          </w:tcPr>
          <w:p w14:paraId="44528E72" w14:textId="77777777" w:rsidR="00567E34" w:rsidRPr="00FE359D" w:rsidRDefault="00567E34" w:rsidP="000F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Gender (ref: male)</w:t>
            </w:r>
          </w:p>
        </w:tc>
        <w:tc>
          <w:tcPr>
            <w:tcW w:w="1418" w:type="dxa"/>
            <w:vAlign w:val="center"/>
          </w:tcPr>
          <w:p w14:paraId="2E2F9789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3.975</w:t>
            </w:r>
          </w:p>
        </w:tc>
        <w:tc>
          <w:tcPr>
            <w:tcW w:w="1559" w:type="dxa"/>
            <w:vAlign w:val="center"/>
          </w:tcPr>
          <w:p w14:paraId="72D540BA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1.830</w:t>
            </w:r>
          </w:p>
        </w:tc>
        <w:tc>
          <w:tcPr>
            <w:tcW w:w="2126" w:type="dxa"/>
            <w:vAlign w:val="center"/>
          </w:tcPr>
          <w:p w14:paraId="7A21173A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0.204</w:t>
            </w:r>
          </w:p>
        </w:tc>
        <w:tc>
          <w:tcPr>
            <w:tcW w:w="2410" w:type="dxa"/>
            <w:vAlign w:val="center"/>
          </w:tcPr>
          <w:p w14:paraId="62850F6B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1.225 to 6.725</w:t>
            </w:r>
          </w:p>
        </w:tc>
        <w:tc>
          <w:tcPr>
            <w:tcW w:w="1134" w:type="dxa"/>
            <w:vAlign w:val="center"/>
          </w:tcPr>
          <w:p w14:paraId="25AD65BF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</w:tr>
      <w:tr w:rsidR="00567E34" w:rsidRPr="00FE359D" w14:paraId="1799A4D3" w14:textId="77777777" w:rsidTr="000F699A">
        <w:trPr>
          <w:trHeight w:val="381"/>
        </w:trPr>
        <w:tc>
          <w:tcPr>
            <w:tcW w:w="5665" w:type="dxa"/>
            <w:vAlign w:val="center"/>
          </w:tcPr>
          <w:p w14:paraId="12DABB61" w14:textId="77777777" w:rsidR="00567E34" w:rsidRPr="00FE359D" w:rsidRDefault="00567E34" w:rsidP="000F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Education (ref: below high school)</w:t>
            </w:r>
          </w:p>
        </w:tc>
        <w:tc>
          <w:tcPr>
            <w:tcW w:w="1418" w:type="dxa"/>
            <w:vAlign w:val="center"/>
          </w:tcPr>
          <w:p w14:paraId="6C53238B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1.934</w:t>
            </w:r>
          </w:p>
        </w:tc>
        <w:tc>
          <w:tcPr>
            <w:tcW w:w="1559" w:type="dxa"/>
            <w:vAlign w:val="center"/>
          </w:tcPr>
          <w:p w14:paraId="4C878B40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1.392</w:t>
            </w:r>
          </w:p>
        </w:tc>
        <w:tc>
          <w:tcPr>
            <w:tcW w:w="2126" w:type="dxa"/>
            <w:vAlign w:val="center"/>
          </w:tcPr>
          <w:p w14:paraId="06F5E48E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0.097</w:t>
            </w:r>
          </w:p>
        </w:tc>
        <w:tc>
          <w:tcPr>
            <w:tcW w:w="2410" w:type="dxa"/>
            <w:vAlign w:val="center"/>
          </w:tcPr>
          <w:p w14:paraId="224DC7F2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-0.824 to 4.691</w:t>
            </w:r>
          </w:p>
        </w:tc>
        <w:tc>
          <w:tcPr>
            <w:tcW w:w="1134" w:type="dxa"/>
            <w:vAlign w:val="center"/>
          </w:tcPr>
          <w:p w14:paraId="1CFC56C6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0.168</w:t>
            </w:r>
          </w:p>
        </w:tc>
      </w:tr>
      <w:tr w:rsidR="00567E34" w:rsidRPr="00FE359D" w14:paraId="142D0E54" w14:textId="77777777" w:rsidTr="000F699A">
        <w:trPr>
          <w:trHeight w:val="399"/>
        </w:trPr>
        <w:tc>
          <w:tcPr>
            <w:tcW w:w="5665" w:type="dxa"/>
            <w:vAlign w:val="center"/>
          </w:tcPr>
          <w:p w14:paraId="7C5503A5" w14:textId="77777777" w:rsidR="00567E34" w:rsidRPr="00FE359D" w:rsidRDefault="00567E34" w:rsidP="000F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Comorbid chronic disease (ref: no)</w:t>
            </w:r>
          </w:p>
        </w:tc>
        <w:tc>
          <w:tcPr>
            <w:tcW w:w="1418" w:type="dxa"/>
            <w:vAlign w:val="center"/>
          </w:tcPr>
          <w:p w14:paraId="6479DEB4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-1.560</w:t>
            </w:r>
          </w:p>
        </w:tc>
        <w:tc>
          <w:tcPr>
            <w:tcW w:w="1559" w:type="dxa"/>
            <w:vAlign w:val="center"/>
          </w:tcPr>
          <w:p w14:paraId="326192B5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1.396</w:t>
            </w:r>
          </w:p>
        </w:tc>
        <w:tc>
          <w:tcPr>
            <w:tcW w:w="2126" w:type="dxa"/>
            <w:vAlign w:val="center"/>
          </w:tcPr>
          <w:p w14:paraId="6445F222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-0.065</w:t>
            </w:r>
          </w:p>
        </w:tc>
        <w:tc>
          <w:tcPr>
            <w:tcW w:w="2410" w:type="dxa"/>
            <w:vAlign w:val="center"/>
          </w:tcPr>
          <w:p w14:paraId="6A66EE05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-4.918 to 1.798</w:t>
            </w:r>
          </w:p>
        </w:tc>
        <w:tc>
          <w:tcPr>
            <w:tcW w:w="1134" w:type="dxa"/>
            <w:vAlign w:val="center"/>
          </w:tcPr>
          <w:p w14:paraId="09C636B2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0.360</w:t>
            </w:r>
          </w:p>
        </w:tc>
      </w:tr>
      <w:tr w:rsidR="00567E34" w:rsidRPr="00FE359D" w14:paraId="0F481541" w14:textId="77777777" w:rsidTr="000F699A">
        <w:trPr>
          <w:trHeight w:val="399"/>
        </w:trPr>
        <w:tc>
          <w:tcPr>
            <w:tcW w:w="5665" w:type="dxa"/>
            <w:vAlign w:val="center"/>
          </w:tcPr>
          <w:p w14:paraId="1F8B60D1" w14:textId="77777777" w:rsidR="00567E34" w:rsidRPr="00FE359D" w:rsidRDefault="00567E34" w:rsidP="000F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Outpatient clinic environment not suitable (ref: yes)</w:t>
            </w:r>
          </w:p>
        </w:tc>
        <w:tc>
          <w:tcPr>
            <w:tcW w:w="1418" w:type="dxa"/>
            <w:vAlign w:val="center"/>
          </w:tcPr>
          <w:p w14:paraId="410E0386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0.362</w:t>
            </w:r>
          </w:p>
        </w:tc>
        <w:tc>
          <w:tcPr>
            <w:tcW w:w="1559" w:type="dxa"/>
            <w:vAlign w:val="center"/>
          </w:tcPr>
          <w:p w14:paraId="51A9FE1A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1.700</w:t>
            </w:r>
          </w:p>
        </w:tc>
        <w:tc>
          <w:tcPr>
            <w:tcW w:w="2126" w:type="dxa"/>
            <w:vAlign w:val="center"/>
          </w:tcPr>
          <w:p w14:paraId="0185FDCC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0.006</w:t>
            </w:r>
          </w:p>
        </w:tc>
        <w:tc>
          <w:tcPr>
            <w:tcW w:w="2410" w:type="dxa"/>
            <w:vAlign w:val="center"/>
          </w:tcPr>
          <w:p w14:paraId="0C662021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-8.536 to 9.261</w:t>
            </w:r>
          </w:p>
        </w:tc>
        <w:tc>
          <w:tcPr>
            <w:tcW w:w="1134" w:type="dxa"/>
            <w:vAlign w:val="center"/>
          </w:tcPr>
          <w:p w14:paraId="44EB3B20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0.936</w:t>
            </w:r>
          </w:p>
        </w:tc>
      </w:tr>
      <w:tr w:rsidR="00567E34" w:rsidRPr="00FE359D" w14:paraId="35598BF0" w14:textId="77777777" w:rsidTr="000F699A">
        <w:trPr>
          <w:trHeight w:val="399"/>
        </w:trPr>
        <w:tc>
          <w:tcPr>
            <w:tcW w:w="5665" w:type="dxa"/>
            <w:vAlign w:val="center"/>
          </w:tcPr>
          <w:p w14:paraId="5B641995" w14:textId="77777777" w:rsidR="00567E34" w:rsidRPr="00FE359D" w:rsidRDefault="00567E34" w:rsidP="000F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Not comfortable speaking with a physician (ref: yes)</w:t>
            </w:r>
          </w:p>
        </w:tc>
        <w:tc>
          <w:tcPr>
            <w:tcW w:w="1418" w:type="dxa"/>
            <w:vAlign w:val="center"/>
          </w:tcPr>
          <w:p w14:paraId="2A364119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2.523</w:t>
            </w:r>
          </w:p>
        </w:tc>
        <w:tc>
          <w:tcPr>
            <w:tcW w:w="1559" w:type="dxa"/>
            <w:vAlign w:val="center"/>
          </w:tcPr>
          <w:p w14:paraId="7E6C18FF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4.505</w:t>
            </w:r>
          </w:p>
        </w:tc>
        <w:tc>
          <w:tcPr>
            <w:tcW w:w="2126" w:type="dxa"/>
            <w:vAlign w:val="center"/>
          </w:tcPr>
          <w:p w14:paraId="1407E254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0.078</w:t>
            </w:r>
          </w:p>
        </w:tc>
        <w:tc>
          <w:tcPr>
            <w:tcW w:w="2410" w:type="dxa"/>
            <w:vAlign w:val="center"/>
          </w:tcPr>
          <w:p w14:paraId="0D827561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-2.267 to 7.312</w:t>
            </w:r>
          </w:p>
        </w:tc>
        <w:tc>
          <w:tcPr>
            <w:tcW w:w="1134" w:type="dxa"/>
            <w:vAlign w:val="center"/>
          </w:tcPr>
          <w:p w14:paraId="60DDBAF1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0.300</w:t>
            </w:r>
          </w:p>
        </w:tc>
      </w:tr>
      <w:tr w:rsidR="00567E34" w:rsidRPr="00FE359D" w14:paraId="09C34600" w14:textId="77777777" w:rsidTr="000F699A">
        <w:trPr>
          <w:trHeight w:val="399"/>
        </w:trPr>
        <w:tc>
          <w:tcPr>
            <w:tcW w:w="5665" w:type="dxa"/>
            <w:vAlign w:val="center"/>
          </w:tcPr>
          <w:p w14:paraId="475A4E9A" w14:textId="77777777" w:rsidR="00567E34" w:rsidRPr="00FE359D" w:rsidRDefault="00567E34" w:rsidP="000F6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Insufficient consultation time (ref: yes)</w:t>
            </w:r>
          </w:p>
        </w:tc>
        <w:tc>
          <w:tcPr>
            <w:tcW w:w="1418" w:type="dxa"/>
            <w:vAlign w:val="center"/>
          </w:tcPr>
          <w:p w14:paraId="6E8650AB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2.226</w:t>
            </w:r>
          </w:p>
        </w:tc>
        <w:tc>
          <w:tcPr>
            <w:tcW w:w="1559" w:type="dxa"/>
            <w:vAlign w:val="center"/>
          </w:tcPr>
          <w:p w14:paraId="31D1B173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2.425</w:t>
            </w:r>
          </w:p>
        </w:tc>
        <w:tc>
          <w:tcPr>
            <w:tcW w:w="2126" w:type="dxa"/>
            <w:vAlign w:val="center"/>
          </w:tcPr>
          <w:p w14:paraId="54914FE2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0.102</w:t>
            </w:r>
          </w:p>
        </w:tc>
        <w:tc>
          <w:tcPr>
            <w:tcW w:w="2410" w:type="dxa"/>
            <w:vAlign w:val="center"/>
          </w:tcPr>
          <w:p w14:paraId="65B27966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-1.048 to 5.501</w:t>
            </w:r>
          </w:p>
        </w:tc>
        <w:tc>
          <w:tcPr>
            <w:tcW w:w="1134" w:type="dxa"/>
            <w:vAlign w:val="center"/>
          </w:tcPr>
          <w:p w14:paraId="0AE83844" w14:textId="77777777" w:rsidR="00567E34" w:rsidRPr="00FE359D" w:rsidRDefault="00567E34" w:rsidP="000F69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59D">
              <w:rPr>
                <w:rFonts w:ascii="Times New Roman" w:hAnsi="Times New Roman" w:cs="Times New Roman"/>
                <w:sz w:val="24"/>
                <w:szCs w:val="24"/>
              </w:rPr>
              <w:t>0.181</w:t>
            </w:r>
          </w:p>
        </w:tc>
      </w:tr>
    </w:tbl>
    <w:p w14:paraId="23611171" w14:textId="77777777" w:rsidR="00567E34" w:rsidRDefault="00567E34" w:rsidP="00567E34"/>
    <w:p w14:paraId="5DE6F2AB" w14:textId="77777777" w:rsidR="00567E34" w:rsidRPr="00BF4AFE" w:rsidRDefault="00567E34" w:rsidP="00567E34">
      <w:pPr>
        <w:rPr>
          <w:rFonts w:ascii="Times New Roman" w:hAnsi="Times New Roman" w:cs="Times New Roman"/>
        </w:rPr>
      </w:pPr>
      <w:r w:rsidRPr="00FE359D">
        <w:rPr>
          <w:rFonts w:ascii="Times New Roman" w:hAnsi="Times New Roman" w:cs="Times New Roman"/>
        </w:rPr>
        <w:t>β</w:t>
      </w:r>
      <w:r w:rsidRPr="00BF4AFE">
        <w:rPr>
          <w:rFonts w:ascii="Times New Roman" w:hAnsi="Times New Roman" w:cs="Times New Roman"/>
        </w:rPr>
        <w:t xml:space="preserve"> indicates the unstandardized regression coefficient; SE, standard error; CI, confidence interval.</w:t>
      </w:r>
    </w:p>
    <w:p w14:paraId="1147F460" w14:textId="77777777" w:rsidR="00567E34" w:rsidRDefault="00567E34"/>
    <w:sectPr w:rsidR="00567E34" w:rsidSect="00567E3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E34"/>
    <w:rsid w:val="00567E34"/>
    <w:rsid w:val="00C96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50CF02"/>
  <w15:chartTrackingRefBased/>
  <w15:docId w15:val="{F00CA909-F5ED-AE40-B7E0-33575E710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7E34"/>
    <w:pPr>
      <w:spacing w:after="0" w:line="240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567E3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67E3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67E3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67E3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67E3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67E34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67E34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67E34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67E34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67E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67E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67E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67E34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67E34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67E3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67E3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67E3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67E3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67E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67E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67E3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67E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67E34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67E3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67E34"/>
    <w:pPr>
      <w:spacing w:after="160" w:line="278" w:lineRule="auto"/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67E34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67E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67E34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67E34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59"/>
    <w:rsid w:val="00567E34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Hüseyin ELBİ</dc:creator>
  <cp:keywords/>
  <dc:description/>
  <cp:lastModifiedBy>Hüseyin ELBİ</cp:lastModifiedBy>
  <cp:revision>1</cp:revision>
  <dcterms:created xsi:type="dcterms:W3CDTF">2026-05-05T09:37:00Z</dcterms:created>
  <dcterms:modified xsi:type="dcterms:W3CDTF">2026-05-05T09:38:00Z</dcterms:modified>
</cp:coreProperties>
</file>