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858F" w14:textId="76273F63" w:rsidR="009F6A2D" w:rsidRPr="00106B30" w:rsidRDefault="00407E1F" w:rsidP="00354554">
      <w:pPr>
        <w:rPr>
          <w:b/>
          <w:bCs/>
        </w:rPr>
      </w:pPr>
      <w:r>
        <w:rPr>
          <w:b/>
          <w:bCs/>
        </w:rPr>
        <w:t>A</w:t>
      </w:r>
      <w:r w:rsidR="003456D9">
        <w:rPr>
          <w:b/>
          <w:bCs/>
        </w:rPr>
        <w:t xml:space="preserve">dditional file </w:t>
      </w:r>
      <w:r w:rsidR="009F6A2D" w:rsidRPr="00106B30">
        <w:rPr>
          <w:b/>
          <w:bCs/>
        </w:rPr>
        <w:t xml:space="preserve">2 Methods </w:t>
      </w:r>
    </w:p>
    <w:p w14:paraId="2C817EF1" w14:textId="77777777" w:rsidR="009F6A2D" w:rsidRDefault="009F6A2D" w:rsidP="00354554"/>
    <w:p w14:paraId="7EEF9BAB" w14:textId="77777777" w:rsidR="009F6A2D" w:rsidRPr="0062421C" w:rsidRDefault="009F6A2D" w:rsidP="003E15E3">
      <w:pPr>
        <w:rPr>
          <w:i/>
          <w:iCs/>
        </w:rPr>
      </w:pPr>
      <w:r w:rsidRPr="0062421C">
        <w:rPr>
          <w:i/>
          <w:iCs/>
        </w:rPr>
        <w:t>The Australian New Zealand Clinical Trial Registry (ANZCTR) search query</w:t>
      </w:r>
    </w:p>
    <w:p w14:paraId="54883A95" w14:textId="4C241C59" w:rsidR="005C6B74" w:rsidRPr="005C6B74" w:rsidRDefault="009F6A2D" w:rsidP="005C6B74">
      <w:r>
        <w:t xml:space="preserve">The ANZCTR search query to identify potential general practice trials was as follows: "general practice" OR "general practices" OR "GP" OR "GPs" OR "general practitioner". The quotation marks around the search term specified that trials must match the exact phrase in the query. Additional search criteria were recruitment in Australia and date registered between 1 July 2005 and 30 June 2024. The query was performed on 5 July </w:t>
      </w:r>
      <w:proofErr w:type="gramStart"/>
      <w:r>
        <w:t>2024</w:t>
      </w:r>
      <w:proofErr w:type="gramEnd"/>
      <w:r>
        <w:t xml:space="preserve"> and records (from an Excel file) were imported into REDCap. </w:t>
      </w:r>
      <w:r w:rsidR="005C6B74" w:rsidRPr="005C6B74">
        <w:t>All ANZCTR data fields were extracted and loaded to REDCap. A full description of the ANZCTR data fields can be found at</w:t>
      </w:r>
      <w:r w:rsidR="005C6B74">
        <w:t xml:space="preserve">: </w:t>
      </w:r>
      <w:hyperlink r:id="rId5" w:history="1">
        <w:r w:rsidR="005C6B74" w:rsidRPr="00E77BFC">
          <w:rPr>
            <w:rStyle w:val="Hyperlink"/>
          </w:rPr>
          <w:t>https://www.anzctr.org.au/docs/ANZCTR%20Data%20field%20explanation.pdf?</w:t>
        </w:r>
      </w:hyperlink>
    </w:p>
    <w:p w14:paraId="51B2EF2C" w14:textId="77777777" w:rsidR="005C6B74" w:rsidRDefault="005C6B74" w:rsidP="003E15E3"/>
    <w:p w14:paraId="1A191350" w14:textId="77777777" w:rsidR="009F6A2D" w:rsidRPr="008F4385" w:rsidRDefault="009F6A2D" w:rsidP="00354554">
      <w:pPr>
        <w:rPr>
          <w:i/>
          <w:iCs/>
        </w:rPr>
      </w:pPr>
      <w:r w:rsidRPr="008F4385">
        <w:rPr>
          <w:i/>
          <w:iCs/>
        </w:rPr>
        <w:t xml:space="preserve">Record review to identify general practice </w:t>
      </w:r>
      <w:r>
        <w:rPr>
          <w:i/>
          <w:iCs/>
        </w:rPr>
        <w:t>RCTs</w:t>
      </w:r>
    </w:p>
    <w:p w14:paraId="4F06954A" w14:textId="6BB83886" w:rsidR="009F6A2D" w:rsidRDefault="009F6A2D" w:rsidP="00354554">
      <w:pPr>
        <w:pStyle w:val="Default"/>
        <w:rPr>
          <w:rFonts w:asciiTheme="minorHAnsi" w:hAnsiTheme="minorHAnsi" w:cstheme="minorBidi"/>
          <w:color w:val="auto"/>
          <w:kern w:val="2"/>
          <w:sz w:val="22"/>
          <w:szCs w:val="22"/>
        </w:rPr>
      </w:pPr>
      <w:r>
        <w:rPr>
          <w:rFonts w:asciiTheme="minorHAnsi" w:hAnsiTheme="minorHAnsi" w:cstheme="minorBidi"/>
          <w:color w:val="auto"/>
          <w:kern w:val="2"/>
          <w:sz w:val="22"/>
          <w:szCs w:val="22"/>
        </w:rPr>
        <w:t>B</w:t>
      </w:r>
      <w:r w:rsidRPr="00515400">
        <w:rPr>
          <w:rFonts w:asciiTheme="minorHAnsi" w:hAnsiTheme="minorHAnsi" w:cstheme="minorBidi"/>
          <w:color w:val="auto"/>
          <w:kern w:val="2"/>
          <w:sz w:val="22"/>
          <w:szCs w:val="22"/>
        </w:rPr>
        <w:t>oth authors (RR &amp; LR)</w:t>
      </w:r>
      <w:r w:rsidR="00562646">
        <w:rPr>
          <w:rFonts w:asciiTheme="minorHAnsi" w:hAnsiTheme="minorHAnsi" w:cstheme="minorBidi"/>
          <w:color w:val="auto"/>
          <w:kern w:val="2"/>
          <w:sz w:val="22"/>
          <w:szCs w:val="22"/>
        </w:rPr>
        <w:t>, very experienced general practice academic researchers,</w:t>
      </w:r>
      <w:r w:rsidRPr="00515400">
        <w:rPr>
          <w:rFonts w:asciiTheme="minorHAnsi" w:hAnsiTheme="minorHAnsi" w:cstheme="minorBidi"/>
          <w:color w:val="auto"/>
          <w:kern w:val="2"/>
          <w:sz w:val="22"/>
          <w:szCs w:val="22"/>
        </w:rPr>
        <w:t xml:space="preserve"> reviewed the extracted records focussing on the </w:t>
      </w:r>
      <w:r>
        <w:rPr>
          <w:rFonts w:asciiTheme="minorHAnsi" w:hAnsiTheme="minorHAnsi" w:cstheme="minorBidi"/>
          <w:color w:val="auto"/>
          <w:kern w:val="2"/>
          <w:sz w:val="22"/>
          <w:szCs w:val="22"/>
        </w:rPr>
        <w:t>“T</w:t>
      </w:r>
      <w:r w:rsidRPr="00515400">
        <w:rPr>
          <w:rFonts w:asciiTheme="minorHAnsi" w:hAnsiTheme="minorHAnsi" w:cstheme="minorBidi"/>
          <w:color w:val="auto"/>
          <w:kern w:val="2"/>
          <w:sz w:val="22"/>
          <w:szCs w:val="22"/>
        </w:rPr>
        <w:t>itle</w:t>
      </w:r>
      <w:r>
        <w:rPr>
          <w:rFonts w:asciiTheme="minorHAnsi" w:hAnsiTheme="minorHAnsi" w:cstheme="minorBidi"/>
          <w:color w:val="auto"/>
          <w:kern w:val="2"/>
          <w:sz w:val="22"/>
          <w:szCs w:val="22"/>
        </w:rPr>
        <w:t>”</w:t>
      </w:r>
      <w:r w:rsidRPr="00515400">
        <w:rPr>
          <w:rFonts w:asciiTheme="minorHAnsi" w:hAnsiTheme="minorHAnsi" w:cstheme="minorBidi"/>
          <w:color w:val="auto"/>
          <w:kern w:val="2"/>
          <w:sz w:val="22"/>
          <w:szCs w:val="22"/>
        </w:rPr>
        <w:t xml:space="preserve">, </w:t>
      </w:r>
      <w:r>
        <w:rPr>
          <w:rFonts w:asciiTheme="minorHAnsi" w:hAnsiTheme="minorHAnsi" w:cstheme="minorBidi"/>
          <w:color w:val="auto"/>
          <w:kern w:val="2"/>
          <w:sz w:val="22"/>
          <w:szCs w:val="22"/>
        </w:rPr>
        <w:t xml:space="preserve">“Brief </w:t>
      </w:r>
      <w:r w:rsidRPr="00515400">
        <w:rPr>
          <w:rFonts w:asciiTheme="minorHAnsi" w:hAnsiTheme="minorHAnsi" w:cstheme="minorBidi"/>
          <w:color w:val="auto"/>
          <w:kern w:val="2"/>
          <w:sz w:val="22"/>
          <w:szCs w:val="22"/>
        </w:rPr>
        <w:t>summary</w:t>
      </w:r>
      <w:r>
        <w:rPr>
          <w:rFonts w:asciiTheme="minorHAnsi" w:hAnsiTheme="minorHAnsi" w:cstheme="minorBidi"/>
          <w:color w:val="auto"/>
          <w:kern w:val="2"/>
          <w:sz w:val="22"/>
          <w:szCs w:val="22"/>
        </w:rPr>
        <w:t>”</w:t>
      </w:r>
      <w:r w:rsidRPr="00515400">
        <w:rPr>
          <w:rFonts w:asciiTheme="minorHAnsi" w:hAnsiTheme="minorHAnsi" w:cstheme="minorBidi"/>
          <w:color w:val="auto"/>
          <w:kern w:val="2"/>
          <w:sz w:val="22"/>
          <w:szCs w:val="22"/>
        </w:rPr>
        <w:t xml:space="preserve"> </w:t>
      </w:r>
      <w:r>
        <w:rPr>
          <w:rFonts w:asciiTheme="minorHAnsi" w:hAnsiTheme="minorHAnsi" w:cstheme="minorBidi"/>
          <w:color w:val="auto"/>
          <w:kern w:val="2"/>
          <w:sz w:val="22"/>
          <w:szCs w:val="22"/>
        </w:rPr>
        <w:t xml:space="preserve">fields together with the </w:t>
      </w:r>
      <w:r w:rsidRPr="00515400">
        <w:rPr>
          <w:rFonts w:asciiTheme="minorHAnsi" w:hAnsiTheme="minorHAnsi" w:cstheme="minorBidi"/>
          <w:color w:val="auto"/>
          <w:kern w:val="2"/>
          <w:sz w:val="22"/>
          <w:szCs w:val="22"/>
        </w:rPr>
        <w:t xml:space="preserve">contexts in which the search term(s) </w:t>
      </w:r>
      <w:r>
        <w:rPr>
          <w:rFonts w:asciiTheme="minorHAnsi" w:hAnsiTheme="minorHAnsi" w:cstheme="minorBidi"/>
          <w:color w:val="auto"/>
          <w:kern w:val="2"/>
          <w:sz w:val="22"/>
          <w:szCs w:val="22"/>
        </w:rPr>
        <w:t xml:space="preserve">had </w:t>
      </w:r>
      <w:r w:rsidRPr="00515400">
        <w:rPr>
          <w:rFonts w:asciiTheme="minorHAnsi" w:hAnsiTheme="minorHAnsi" w:cstheme="minorBidi"/>
          <w:color w:val="auto"/>
          <w:kern w:val="2"/>
          <w:sz w:val="22"/>
          <w:szCs w:val="22"/>
        </w:rPr>
        <w:t xml:space="preserve">appeared in the </w:t>
      </w:r>
      <w:r>
        <w:rPr>
          <w:rFonts w:asciiTheme="minorHAnsi" w:hAnsiTheme="minorHAnsi" w:cstheme="minorBidi"/>
          <w:color w:val="auto"/>
          <w:kern w:val="2"/>
          <w:sz w:val="22"/>
          <w:szCs w:val="22"/>
        </w:rPr>
        <w:t xml:space="preserve">registration </w:t>
      </w:r>
      <w:r w:rsidRPr="00515400">
        <w:rPr>
          <w:rFonts w:asciiTheme="minorHAnsi" w:hAnsiTheme="minorHAnsi" w:cstheme="minorBidi"/>
          <w:color w:val="auto"/>
          <w:kern w:val="2"/>
          <w:sz w:val="22"/>
          <w:szCs w:val="22"/>
        </w:rPr>
        <w:t>record</w:t>
      </w:r>
      <w:r>
        <w:rPr>
          <w:rFonts w:asciiTheme="minorHAnsi" w:hAnsiTheme="minorHAnsi" w:cstheme="minorBidi"/>
          <w:color w:val="auto"/>
          <w:kern w:val="2"/>
          <w:sz w:val="22"/>
          <w:szCs w:val="22"/>
        </w:rPr>
        <w:t xml:space="preserve">. </w:t>
      </w:r>
      <w:r w:rsidRPr="00515400">
        <w:rPr>
          <w:rFonts w:asciiTheme="minorHAnsi" w:hAnsiTheme="minorHAnsi" w:cstheme="minorBidi"/>
          <w:color w:val="auto"/>
          <w:kern w:val="2"/>
          <w:sz w:val="22"/>
          <w:szCs w:val="22"/>
        </w:rPr>
        <w:t xml:space="preserve">Records were marked </w:t>
      </w:r>
      <w:r>
        <w:rPr>
          <w:rFonts w:asciiTheme="minorHAnsi" w:hAnsiTheme="minorHAnsi" w:cstheme="minorBidi"/>
          <w:color w:val="auto"/>
          <w:kern w:val="2"/>
          <w:sz w:val="22"/>
          <w:szCs w:val="22"/>
        </w:rPr>
        <w:t xml:space="preserve">as </w:t>
      </w:r>
      <w:r w:rsidRPr="00515400">
        <w:rPr>
          <w:rFonts w:asciiTheme="minorHAnsi" w:hAnsiTheme="minorHAnsi" w:cstheme="minorBidi"/>
          <w:color w:val="auto"/>
          <w:kern w:val="2"/>
          <w:sz w:val="22"/>
          <w:szCs w:val="22"/>
        </w:rPr>
        <w:t>“in-scope”</w:t>
      </w:r>
      <w:r>
        <w:rPr>
          <w:rFonts w:asciiTheme="minorHAnsi" w:hAnsiTheme="minorHAnsi" w:cstheme="minorBidi"/>
          <w:color w:val="auto"/>
          <w:kern w:val="2"/>
          <w:sz w:val="22"/>
          <w:szCs w:val="22"/>
        </w:rPr>
        <w:t xml:space="preserve"> if the trial met our criteria for a general practice trial, “not in-scope” or “uncertain”. Trials coded as “uncertain” or discordantly were </w:t>
      </w:r>
      <w:r w:rsidRPr="00515400">
        <w:rPr>
          <w:rFonts w:asciiTheme="minorHAnsi" w:hAnsiTheme="minorHAnsi" w:cstheme="minorBidi"/>
          <w:color w:val="auto"/>
          <w:kern w:val="2"/>
          <w:sz w:val="22"/>
          <w:szCs w:val="22"/>
        </w:rPr>
        <w:t xml:space="preserve">resolved </w:t>
      </w:r>
      <w:r>
        <w:rPr>
          <w:rFonts w:asciiTheme="minorHAnsi" w:hAnsiTheme="minorHAnsi" w:cstheme="minorBidi"/>
          <w:color w:val="auto"/>
          <w:kern w:val="2"/>
          <w:sz w:val="22"/>
          <w:szCs w:val="22"/>
        </w:rPr>
        <w:t xml:space="preserve">by </w:t>
      </w:r>
      <w:r w:rsidRPr="00515400">
        <w:rPr>
          <w:rFonts w:asciiTheme="minorHAnsi" w:hAnsiTheme="minorHAnsi" w:cstheme="minorBidi"/>
          <w:color w:val="auto"/>
          <w:kern w:val="2"/>
          <w:sz w:val="22"/>
          <w:szCs w:val="22"/>
        </w:rPr>
        <w:t>review of the full record</w:t>
      </w:r>
      <w:r>
        <w:rPr>
          <w:rFonts w:asciiTheme="minorHAnsi" w:hAnsiTheme="minorHAnsi" w:cstheme="minorBidi"/>
          <w:color w:val="auto"/>
          <w:kern w:val="2"/>
          <w:sz w:val="22"/>
          <w:szCs w:val="22"/>
        </w:rPr>
        <w:t xml:space="preserve"> by both authors. </w:t>
      </w:r>
      <w:r w:rsidR="00167443">
        <w:rPr>
          <w:rFonts w:asciiTheme="minorHAnsi" w:hAnsiTheme="minorHAnsi" w:cstheme="minorBidi"/>
          <w:color w:val="auto"/>
          <w:kern w:val="2"/>
          <w:sz w:val="22"/>
          <w:szCs w:val="22"/>
        </w:rPr>
        <w:t xml:space="preserve">Investigators were not contacted to provide additional information regarding their trial registration record. </w:t>
      </w:r>
    </w:p>
    <w:p w14:paraId="4A9A1EAF" w14:textId="77777777" w:rsidR="009F6A2D" w:rsidRDefault="009F6A2D" w:rsidP="00354554">
      <w:pPr>
        <w:pStyle w:val="Default"/>
        <w:rPr>
          <w:rFonts w:asciiTheme="minorHAnsi" w:hAnsiTheme="minorHAnsi" w:cstheme="minorBidi"/>
          <w:color w:val="auto"/>
          <w:kern w:val="2"/>
          <w:sz w:val="22"/>
          <w:szCs w:val="22"/>
        </w:rPr>
      </w:pPr>
    </w:p>
    <w:p w14:paraId="15980182" w14:textId="73AC78DF" w:rsidR="009F6A2D" w:rsidRDefault="009F6A2D" w:rsidP="00354554">
      <w:pPr>
        <w:pStyle w:val="Default"/>
        <w:rPr>
          <w:rFonts w:asciiTheme="minorHAnsi" w:hAnsiTheme="minorHAnsi" w:cstheme="minorBidi"/>
          <w:color w:val="auto"/>
          <w:kern w:val="2"/>
          <w:sz w:val="22"/>
          <w:szCs w:val="22"/>
        </w:rPr>
      </w:pPr>
      <w:r>
        <w:rPr>
          <w:rFonts w:asciiTheme="minorHAnsi" w:hAnsiTheme="minorHAnsi" w:cstheme="minorBidi"/>
          <w:color w:val="auto"/>
          <w:kern w:val="2"/>
          <w:sz w:val="22"/>
          <w:szCs w:val="22"/>
        </w:rPr>
        <w:t xml:space="preserve">From the dataset of trials which had been identified as meeting the definition of a general practice trial the “Study type” and “Allocation to intervention” fields were used to exclude observational and non-randomised trials. </w:t>
      </w:r>
      <w:r w:rsidR="0054202E">
        <w:rPr>
          <w:rFonts w:asciiTheme="minorHAnsi" w:hAnsiTheme="minorHAnsi" w:cstheme="minorBidi"/>
          <w:color w:val="auto"/>
          <w:kern w:val="2"/>
          <w:sz w:val="22"/>
          <w:szCs w:val="22"/>
        </w:rPr>
        <w:t xml:space="preserve">All phases of trials were included. </w:t>
      </w:r>
      <w:r>
        <w:rPr>
          <w:rFonts w:asciiTheme="minorHAnsi" w:hAnsiTheme="minorHAnsi" w:cstheme="minorBidi"/>
          <w:color w:val="auto"/>
          <w:kern w:val="2"/>
          <w:sz w:val="22"/>
          <w:szCs w:val="22"/>
        </w:rPr>
        <w:t>In addition, pilot, feasibility or proof of concept studies were excluded by manually searching the “Scientific title” and “Brief summary” fields for these terms.</w:t>
      </w:r>
    </w:p>
    <w:p w14:paraId="037E9B37" w14:textId="77777777" w:rsidR="009F6A2D" w:rsidRDefault="009F6A2D" w:rsidP="00354554">
      <w:pPr>
        <w:pStyle w:val="Default"/>
        <w:rPr>
          <w:rFonts w:asciiTheme="minorHAnsi" w:hAnsiTheme="minorHAnsi" w:cstheme="minorBidi"/>
          <w:color w:val="auto"/>
          <w:kern w:val="2"/>
          <w:sz w:val="22"/>
          <w:szCs w:val="22"/>
        </w:rPr>
      </w:pPr>
    </w:p>
    <w:p w14:paraId="2B154F4B" w14:textId="77777777" w:rsidR="009F6A2D" w:rsidRPr="00020A49" w:rsidRDefault="009F6A2D" w:rsidP="00354554">
      <w:pPr>
        <w:pStyle w:val="Default"/>
        <w:rPr>
          <w:rFonts w:asciiTheme="minorHAnsi" w:hAnsiTheme="minorHAnsi" w:cstheme="minorBidi"/>
          <w:i/>
          <w:iCs/>
          <w:color w:val="auto"/>
          <w:kern w:val="2"/>
          <w:sz w:val="22"/>
          <w:szCs w:val="22"/>
        </w:rPr>
      </w:pPr>
      <w:r w:rsidRPr="00020A49">
        <w:rPr>
          <w:rFonts w:asciiTheme="minorHAnsi" w:hAnsiTheme="minorHAnsi" w:cstheme="minorBidi"/>
          <w:i/>
          <w:iCs/>
          <w:color w:val="auto"/>
          <w:kern w:val="2"/>
          <w:sz w:val="22"/>
          <w:szCs w:val="22"/>
        </w:rPr>
        <w:t xml:space="preserve">Outcomes </w:t>
      </w:r>
      <w:r>
        <w:rPr>
          <w:rFonts w:asciiTheme="minorHAnsi" w:hAnsiTheme="minorHAnsi" w:cstheme="minorBidi"/>
          <w:i/>
          <w:iCs/>
          <w:color w:val="auto"/>
          <w:kern w:val="2"/>
          <w:sz w:val="22"/>
          <w:szCs w:val="22"/>
        </w:rPr>
        <w:t xml:space="preserve">dataset </w:t>
      </w:r>
    </w:p>
    <w:p w14:paraId="6B8FC091" w14:textId="1E3F9661" w:rsidR="009F6A2D" w:rsidRDefault="009F6A2D">
      <w:r>
        <w:t>An outcomes subset was created comprising general practice RCTs that had completed data collection prior to 1 July 2022 to allow at least two years for publication</w:t>
      </w:r>
      <w:r w:rsidR="00CE33C9">
        <w:t xml:space="preserve"> in a peer reviewed journal</w:t>
      </w:r>
      <w:r w:rsidR="00221D31">
        <w:t xml:space="preserve"> [11-13]</w:t>
      </w:r>
      <w:r w:rsidR="00CB5CB2">
        <w:t>.</w:t>
      </w:r>
      <w:r>
        <w:t xml:space="preserve"> Excluding trials that had been stopped early / withdrawn the PubMed database (using the clinical trial identifier (ACTRN) or the trial title (or trial acronym)) was manually searched for the primary publication from the trial. In addition, citation lists from trial protocol papers were searched. </w:t>
      </w:r>
      <w:r w:rsidR="00FD6E8A">
        <w:t>T</w:t>
      </w:r>
      <w:r w:rsidR="00FD6E8A" w:rsidRPr="00F50B63">
        <w:t xml:space="preserve">rials were </w:t>
      </w:r>
      <w:r w:rsidR="00FD6E8A">
        <w:t xml:space="preserve">classified as </w:t>
      </w:r>
      <w:r w:rsidR="00FD6E8A" w:rsidRPr="00F50B63">
        <w:t xml:space="preserve">having a positive </w:t>
      </w:r>
      <w:r w:rsidR="00FD6E8A">
        <w:t xml:space="preserve">result if the prespecified </w:t>
      </w:r>
      <w:r w:rsidR="00FD6E8A" w:rsidRPr="00F50B63">
        <w:t>primary outcome</w:t>
      </w:r>
      <w:r w:rsidR="00FD6E8A">
        <w:t xml:space="preserve"> u</w:t>
      </w:r>
      <w:r w:rsidR="00FD6E8A" w:rsidRPr="00F50B63">
        <w:t xml:space="preserve">nambiguously and unequivocally </w:t>
      </w:r>
      <w:r w:rsidR="00FD6E8A">
        <w:t xml:space="preserve">met its </w:t>
      </w:r>
      <w:r w:rsidR="00FD6E8A" w:rsidRPr="0037070B">
        <w:rPr>
          <w:lang w:val="en-US"/>
        </w:rPr>
        <w:t>statistical significance threshold</w:t>
      </w:r>
      <w:r w:rsidR="00FD6E8A">
        <w:rPr>
          <w:lang w:val="en-US"/>
        </w:rPr>
        <w:t xml:space="preserve">. </w:t>
      </w:r>
      <w:r w:rsidR="00C0473F">
        <w:t>R</w:t>
      </w:r>
      <w:r>
        <w:t>esults presented at conferences or in government reports</w:t>
      </w:r>
      <w:r w:rsidR="00C0473F">
        <w:t xml:space="preserve"> were excluded </w:t>
      </w:r>
      <w:r w:rsidR="00CE33C9">
        <w:t>from the analysis</w:t>
      </w:r>
      <w:r>
        <w:t>.</w:t>
      </w:r>
    </w:p>
    <w:p w14:paraId="6A5C0608" w14:textId="77777777" w:rsidR="00490EA5" w:rsidRDefault="00490EA5"/>
    <w:p w14:paraId="76D94815" w14:textId="45C6BC0E" w:rsidR="00490EA5" w:rsidRDefault="00490EA5">
      <w:r>
        <w:t xml:space="preserve">References </w:t>
      </w:r>
    </w:p>
    <w:p w14:paraId="70091D1E" w14:textId="77777777" w:rsidR="00490EA5" w:rsidRDefault="00490EA5"/>
    <w:p w14:paraId="549C3443" w14:textId="77777777" w:rsidR="00490EA5" w:rsidRPr="000731B8" w:rsidRDefault="00490EA5" w:rsidP="00490EA5">
      <w:pPr>
        <w:pStyle w:val="EndNoteBibliography"/>
        <w:ind w:left="567" w:hanging="567"/>
      </w:pPr>
      <w:r w:rsidRPr="000731B8">
        <w:t>11.</w:t>
      </w:r>
      <w:r w:rsidRPr="000731B8">
        <w:tab/>
        <w:t>Chen R, Desai NR, Ross JS, et al. Publication and reporting of clinical trial results: cross sectional analysis across academic medical centers. BMJ. 2016;352:i637.</w:t>
      </w:r>
    </w:p>
    <w:p w14:paraId="078DD3DF" w14:textId="77777777" w:rsidR="00490EA5" w:rsidRPr="000731B8" w:rsidRDefault="00490EA5" w:rsidP="00490EA5">
      <w:pPr>
        <w:pStyle w:val="EndNoteBibliography"/>
        <w:ind w:left="567" w:hanging="567"/>
      </w:pPr>
      <w:r w:rsidRPr="000731B8">
        <w:t>12.</w:t>
      </w:r>
      <w:r w:rsidRPr="000731B8">
        <w:tab/>
        <w:t>van Heteren JAA, van Beurden I, Peters JPM, et al. Trial registration, publication rate and characteristics in the research field of otology: A cross-sectional study. PLoS One. 2019;14(7):e0219458.</w:t>
      </w:r>
    </w:p>
    <w:p w14:paraId="6705CA35" w14:textId="77777777" w:rsidR="00490EA5" w:rsidRPr="000731B8" w:rsidRDefault="00490EA5" w:rsidP="00490EA5">
      <w:pPr>
        <w:pStyle w:val="EndNoteBibliography"/>
        <w:ind w:left="567" w:hanging="567"/>
      </w:pPr>
      <w:r w:rsidRPr="000731B8">
        <w:t>13.</w:t>
      </w:r>
      <w:r w:rsidRPr="000731B8">
        <w:tab/>
        <w:t>Ross JS, Mulvey GK, Hines EM, et al. Trial publication after registration in ClinicalTrials.Gov: a cross-sectional analysis. PLoS Med. 2009;6(9):e1000144.</w:t>
      </w:r>
    </w:p>
    <w:p w14:paraId="5B24BE3B" w14:textId="77777777" w:rsidR="00490EA5" w:rsidRDefault="00490EA5"/>
    <w:sectPr w:rsidR="00490EA5" w:rsidSect="009F6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47ADF"/>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A04989"/>
    <w:multiLevelType w:val="multilevel"/>
    <w:tmpl w:val="8E9A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9102E"/>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3460400"/>
    <w:multiLevelType w:val="multilevel"/>
    <w:tmpl w:val="3302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E841F2"/>
    <w:multiLevelType w:val="hybridMultilevel"/>
    <w:tmpl w:val="3DB81466"/>
    <w:lvl w:ilvl="0" w:tplc="AE1868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9E2253D"/>
    <w:multiLevelType w:val="hybridMultilevel"/>
    <w:tmpl w:val="5AEA3DA4"/>
    <w:lvl w:ilvl="0" w:tplc="44EA3EE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A4612A4"/>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8069023">
    <w:abstractNumId w:val="3"/>
  </w:num>
  <w:num w:numId="2" w16cid:durableId="1042359899">
    <w:abstractNumId w:val="1"/>
  </w:num>
  <w:num w:numId="3" w16cid:durableId="1960599146">
    <w:abstractNumId w:val="4"/>
  </w:num>
  <w:num w:numId="4" w16cid:durableId="1070154690">
    <w:abstractNumId w:val="5"/>
  </w:num>
  <w:num w:numId="5" w16cid:durableId="1847551035">
    <w:abstractNumId w:val="2"/>
  </w:num>
  <w:num w:numId="6" w16cid:durableId="1527644353">
    <w:abstractNumId w:val="6"/>
  </w:num>
  <w:num w:numId="7" w16cid:durableId="262307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F6A2D"/>
    <w:rsid w:val="00167443"/>
    <w:rsid w:val="00200E5F"/>
    <w:rsid w:val="00213C15"/>
    <w:rsid w:val="00221D31"/>
    <w:rsid w:val="002347D1"/>
    <w:rsid w:val="002523AF"/>
    <w:rsid w:val="00254CB9"/>
    <w:rsid w:val="00282D45"/>
    <w:rsid w:val="003456D9"/>
    <w:rsid w:val="003A0C54"/>
    <w:rsid w:val="00407E1F"/>
    <w:rsid w:val="00490EA5"/>
    <w:rsid w:val="004B483D"/>
    <w:rsid w:val="004E2390"/>
    <w:rsid w:val="0054202E"/>
    <w:rsid w:val="00550CF5"/>
    <w:rsid w:val="00562646"/>
    <w:rsid w:val="005C6B74"/>
    <w:rsid w:val="006918A4"/>
    <w:rsid w:val="006A7E35"/>
    <w:rsid w:val="006E4243"/>
    <w:rsid w:val="00833B10"/>
    <w:rsid w:val="009F6A2D"/>
    <w:rsid w:val="00AD1D2F"/>
    <w:rsid w:val="00B052E9"/>
    <w:rsid w:val="00BA589A"/>
    <w:rsid w:val="00C0473F"/>
    <w:rsid w:val="00CB5CB2"/>
    <w:rsid w:val="00CE33C9"/>
    <w:rsid w:val="00D27653"/>
    <w:rsid w:val="00D718BB"/>
    <w:rsid w:val="00EA0315"/>
    <w:rsid w:val="00EB409A"/>
    <w:rsid w:val="00F11614"/>
    <w:rsid w:val="00FD1772"/>
    <w:rsid w:val="00FD6E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7B786"/>
  <w15:chartTrackingRefBased/>
  <w15:docId w15:val="{D9E9A929-FF9D-4309-91F8-3879720E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A2D"/>
    <w:pPr>
      <w:spacing w:after="0" w:line="240" w:lineRule="auto"/>
    </w:pPr>
    <w:rPr>
      <w:sz w:val="22"/>
      <w:szCs w:val="22"/>
    </w:rPr>
  </w:style>
  <w:style w:type="paragraph" w:styleId="Heading1">
    <w:name w:val="heading 1"/>
    <w:basedOn w:val="Normal"/>
    <w:next w:val="Normal"/>
    <w:link w:val="Heading1Char"/>
    <w:uiPriority w:val="9"/>
    <w:qFormat/>
    <w:rsid w:val="009F6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A2D"/>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9F6A2D"/>
    <w:pPr>
      <w:spacing w:before="100" w:beforeAutospacing="1" w:after="100" w:afterAutospacing="1"/>
      <w:outlineLvl w:val="2"/>
    </w:pPr>
    <w:rPr>
      <w:rFonts w:ascii="Times New Roman" w:eastAsia="Times New Roman" w:hAnsi="Times New Roman" w:cs="Times New Roman"/>
      <w:b/>
      <w:bCs/>
      <w:kern w:val="0"/>
      <w:sz w:val="27"/>
      <w:szCs w:val="27"/>
      <w:lang w:eastAsia="en-AU"/>
      <w14:ligatures w14:val="none"/>
    </w:rPr>
  </w:style>
  <w:style w:type="paragraph" w:styleId="Heading4">
    <w:name w:val="heading 4"/>
    <w:basedOn w:val="Normal"/>
    <w:next w:val="Normal"/>
    <w:link w:val="Heading4Char"/>
    <w:uiPriority w:val="9"/>
    <w:semiHidden/>
    <w:unhideWhenUsed/>
    <w:qFormat/>
    <w:rsid w:val="009F6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A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A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A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A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A2D"/>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9F6A2D"/>
    <w:rPr>
      <w:rFonts w:ascii="Times New Roman" w:eastAsia="Times New Roman" w:hAnsi="Times New Roman" w:cs="Times New Roman"/>
      <w:b/>
      <w:bCs/>
      <w:kern w:val="0"/>
      <w:sz w:val="27"/>
      <w:szCs w:val="27"/>
      <w:lang w:eastAsia="en-AU"/>
      <w14:ligatures w14:val="none"/>
    </w:rPr>
  </w:style>
  <w:style w:type="character" w:customStyle="1" w:styleId="Heading4Char">
    <w:name w:val="Heading 4 Char"/>
    <w:basedOn w:val="DefaultParagraphFont"/>
    <w:link w:val="Heading4"/>
    <w:uiPriority w:val="9"/>
    <w:semiHidden/>
    <w:rsid w:val="009F6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A2D"/>
    <w:rPr>
      <w:rFonts w:eastAsiaTheme="majorEastAsia" w:cstheme="majorBidi"/>
      <w:color w:val="272727" w:themeColor="text1" w:themeTint="D8"/>
    </w:rPr>
  </w:style>
  <w:style w:type="paragraph" w:styleId="Title">
    <w:name w:val="Title"/>
    <w:basedOn w:val="Normal"/>
    <w:next w:val="Normal"/>
    <w:link w:val="TitleChar"/>
    <w:uiPriority w:val="10"/>
    <w:qFormat/>
    <w:rsid w:val="009F6A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A2D"/>
    <w:pPr>
      <w:spacing w:before="160"/>
      <w:jc w:val="center"/>
    </w:pPr>
    <w:rPr>
      <w:i/>
      <w:iCs/>
      <w:color w:val="404040" w:themeColor="text1" w:themeTint="BF"/>
    </w:rPr>
  </w:style>
  <w:style w:type="character" w:customStyle="1" w:styleId="QuoteChar">
    <w:name w:val="Quote Char"/>
    <w:basedOn w:val="DefaultParagraphFont"/>
    <w:link w:val="Quote"/>
    <w:uiPriority w:val="29"/>
    <w:rsid w:val="009F6A2D"/>
    <w:rPr>
      <w:i/>
      <w:iCs/>
      <w:color w:val="404040" w:themeColor="text1" w:themeTint="BF"/>
    </w:rPr>
  </w:style>
  <w:style w:type="paragraph" w:styleId="ListParagraph">
    <w:name w:val="List Paragraph"/>
    <w:basedOn w:val="Normal"/>
    <w:uiPriority w:val="34"/>
    <w:qFormat/>
    <w:rsid w:val="009F6A2D"/>
    <w:pPr>
      <w:ind w:left="720"/>
      <w:contextualSpacing/>
    </w:pPr>
  </w:style>
  <w:style w:type="character" w:styleId="IntenseEmphasis">
    <w:name w:val="Intense Emphasis"/>
    <w:basedOn w:val="DefaultParagraphFont"/>
    <w:uiPriority w:val="21"/>
    <w:qFormat/>
    <w:rsid w:val="009F6A2D"/>
    <w:rPr>
      <w:i/>
      <w:iCs/>
      <w:color w:val="0F4761" w:themeColor="accent1" w:themeShade="BF"/>
    </w:rPr>
  </w:style>
  <w:style w:type="paragraph" w:styleId="IntenseQuote">
    <w:name w:val="Intense Quote"/>
    <w:basedOn w:val="Normal"/>
    <w:next w:val="Normal"/>
    <w:link w:val="IntenseQuoteChar"/>
    <w:uiPriority w:val="30"/>
    <w:qFormat/>
    <w:rsid w:val="009F6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A2D"/>
    <w:rPr>
      <w:i/>
      <w:iCs/>
      <w:color w:val="0F4761" w:themeColor="accent1" w:themeShade="BF"/>
    </w:rPr>
  </w:style>
  <w:style w:type="character" w:styleId="IntenseReference">
    <w:name w:val="Intense Reference"/>
    <w:basedOn w:val="DefaultParagraphFont"/>
    <w:uiPriority w:val="32"/>
    <w:qFormat/>
    <w:rsid w:val="009F6A2D"/>
    <w:rPr>
      <w:b/>
      <w:bCs/>
      <w:smallCaps/>
      <w:color w:val="0F4761" w:themeColor="accent1" w:themeShade="BF"/>
      <w:spacing w:val="5"/>
    </w:rPr>
  </w:style>
  <w:style w:type="character" w:customStyle="1" w:styleId="complextitlesecondary">
    <w:name w:val="complextitle_secondary"/>
    <w:basedOn w:val="DefaultParagraphFont"/>
    <w:rsid w:val="009F6A2D"/>
  </w:style>
  <w:style w:type="character" w:styleId="Hyperlink">
    <w:name w:val="Hyperlink"/>
    <w:basedOn w:val="DefaultParagraphFont"/>
    <w:uiPriority w:val="99"/>
    <w:unhideWhenUsed/>
    <w:rsid w:val="009F6A2D"/>
    <w:rPr>
      <w:color w:val="0000FF"/>
      <w:u w:val="single"/>
    </w:rPr>
  </w:style>
  <w:style w:type="character" w:customStyle="1" w:styleId="complextitleprimary">
    <w:name w:val="complextitle_primary"/>
    <w:basedOn w:val="DefaultParagraphFont"/>
    <w:rsid w:val="009F6A2D"/>
  </w:style>
  <w:style w:type="character" w:styleId="UnresolvedMention">
    <w:name w:val="Unresolved Mention"/>
    <w:basedOn w:val="DefaultParagraphFont"/>
    <w:uiPriority w:val="99"/>
    <w:semiHidden/>
    <w:unhideWhenUsed/>
    <w:rsid w:val="009F6A2D"/>
    <w:rPr>
      <w:color w:val="605E5C"/>
      <w:shd w:val="clear" w:color="auto" w:fill="E1DFDD"/>
    </w:rPr>
  </w:style>
  <w:style w:type="character" w:styleId="FollowedHyperlink">
    <w:name w:val="FollowedHyperlink"/>
    <w:basedOn w:val="DefaultParagraphFont"/>
    <w:uiPriority w:val="99"/>
    <w:semiHidden/>
    <w:unhideWhenUsed/>
    <w:rsid w:val="009F6A2D"/>
    <w:rPr>
      <w:color w:val="96607D" w:themeColor="followedHyperlink"/>
      <w:u w:val="single"/>
    </w:rPr>
  </w:style>
  <w:style w:type="table" w:styleId="TableGrid">
    <w:name w:val="Table Grid"/>
    <w:basedOn w:val="TableNormal"/>
    <w:uiPriority w:val="39"/>
    <w:rsid w:val="009F6A2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6A2D"/>
    <w:pPr>
      <w:autoSpaceDE w:val="0"/>
      <w:autoSpaceDN w:val="0"/>
      <w:adjustRightInd w:val="0"/>
      <w:spacing w:after="0" w:line="240" w:lineRule="auto"/>
    </w:pPr>
    <w:rPr>
      <w:rFonts w:ascii="Arial" w:hAnsi="Arial" w:cs="Arial"/>
      <w:color w:val="000000"/>
      <w:kern w:val="0"/>
    </w:rPr>
  </w:style>
  <w:style w:type="paragraph" w:styleId="NormalWeb">
    <w:name w:val="Normal (Web)"/>
    <w:basedOn w:val="Normal"/>
    <w:uiPriority w:val="99"/>
    <w:semiHidden/>
    <w:unhideWhenUsed/>
    <w:rsid w:val="009F6A2D"/>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customStyle="1" w:styleId="hgkelc">
    <w:name w:val="hgkelc"/>
    <w:basedOn w:val="DefaultParagraphFont"/>
    <w:rsid w:val="009F6A2D"/>
  </w:style>
  <w:style w:type="paragraph" w:customStyle="1" w:styleId="p">
    <w:name w:val="p"/>
    <w:basedOn w:val="Normal"/>
    <w:rsid w:val="009F6A2D"/>
    <w:pPr>
      <w:spacing w:before="100" w:beforeAutospacing="1" w:after="100" w:afterAutospacing="1"/>
    </w:pPr>
    <w:rPr>
      <w:rFonts w:ascii="Times New Roman" w:eastAsia="Times New Roman" w:hAnsi="Times New Roman" w:cs="Times New Roman"/>
      <w:kern w:val="0"/>
      <w:sz w:val="24"/>
      <w:szCs w:val="24"/>
      <w:lang w:eastAsia="en-AU"/>
    </w:rPr>
  </w:style>
  <w:style w:type="paragraph" w:customStyle="1" w:styleId="EndNoteBibliographyTitle">
    <w:name w:val="EndNote Bibliography Title"/>
    <w:basedOn w:val="Normal"/>
    <w:link w:val="EndNoteBibliographyTitleChar"/>
    <w:rsid w:val="009F6A2D"/>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F6A2D"/>
    <w:rPr>
      <w:rFonts w:ascii="Calibri" w:hAnsi="Calibri" w:cs="Calibri"/>
      <w:noProof/>
      <w:sz w:val="22"/>
      <w:szCs w:val="22"/>
      <w:lang w:val="en-US"/>
    </w:rPr>
  </w:style>
  <w:style w:type="paragraph" w:customStyle="1" w:styleId="EndNoteBibliography">
    <w:name w:val="EndNote Bibliography"/>
    <w:basedOn w:val="Normal"/>
    <w:link w:val="EndNoteBibliographyChar"/>
    <w:rsid w:val="009F6A2D"/>
    <w:rPr>
      <w:rFonts w:ascii="Calibri" w:hAnsi="Calibri" w:cs="Calibri"/>
      <w:noProof/>
      <w:lang w:val="en-US"/>
    </w:rPr>
  </w:style>
  <w:style w:type="character" w:customStyle="1" w:styleId="EndNoteBibliographyChar">
    <w:name w:val="EndNote Bibliography Char"/>
    <w:basedOn w:val="DefaultParagraphFont"/>
    <w:link w:val="EndNoteBibliography"/>
    <w:rsid w:val="009F6A2D"/>
    <w:rPr>
      <w:rFonts w:ascii="Calibri" w:hAnsi="Calibri" w:cs="Calibri"/>
      <w:noProof/>
      <w:sz w:val="22"/>
      <w:szCs w:val="22"/>
      <w:lang w:val="en-US"/>
    </w:rPr>
  </w:style>
  <w:style w:type="character" w:styleId="CommentReference">
    <w:name w:val="annotation reference"/>
    <w:basedOn w:val="DefaultParagraphFont"/>
    <w:uiPriority w:val="99"/>
    <w:semiHidden/>
    <w:unhideWhenUsed/>
    <w:rsid w:val="009F6A2D"/>
    <w:rPr>
      <w:sz w:val="16"/>
      <w:szCs w:val="16"/>
    </w:rPr>
  </w:style>
  <w:style w:type="paragraph" w:styleId="CommentText">
    <w:name w:val="annotation text"/>
    <w:basedOn w:val="Normal"/>
    <w:link w:val="CommentTextChar"/>
    <w:uiPriority w:val="99"/>
    <w:semiHidden/>
    <w:unhideWhenUsed/>
    <w:rsid w:val="009F6A2D"/>
    <w:rPr>
      <w:sz w:val="20"/>
      <w:szCs w:val="20"/>
    </w:rPr>
  </w:style>
  <w:style w:type="character" w:customStyle="1" w:styleId="CommentTextChar">
    <w:name w:val="Comment Text Char"/>
    <w:basedOn w:val="DefaultParagraphFont"/>
    <w:link w:val="CommentText"/>
    <w:uiPriority w:val="99"/>
    <w:semiHidden/>
    <w:rsid w:val="009F6A2D"/>
    <w:rPr>
      <w:sz w:val="20"/>
      <w:szCs w:val="20"/>
    </w:rPr>
  </w:style>
  <w:style w:type="paragraph" w:styleId="CommentSubject">
    <w:name w:val="annotation subject"/>
    <w:basedOn w:val="CommentText"/>
    <w:next w:val="CommentText"/>
    <w:link w:val="CommentSubjectChar"/>
    <w:uiPriority w:val="99"/>
    <w:semiHidden/>
    <w:unhideWhenUsed/>
    <w:rsid w:val="009F6A2D"/>
    <w:rPr>
      <w:b/>
      <w:bCs/>
    </w:rPr>
  </w:style>
  <w:style w:type="character" w:customStyle="1" w:styleId="CommentSubjectChar">
    <w:name w:val="Comment Subject Char"/>
    <w:basedOn w:val="CommentTextChar"/>
    <w:link w:val="CommentSubject"/>
    <w:uiPriority w:val="99"/>
    <w:semiHidden/>
    <w:rsid w:val="009F6A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nzctr.org.au/docs/ANZCTR%20Data%20field%20explanatio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Flinders University</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Roeger</dc:creator>
  <cp:keywords/>
  <dc:description/>
  <cp:lastModifiedBy>Leigh Roeger</cp:lastModifiedBy>
  <cp:revision>12</cp:revision>
  <cp:lastPrinted>2025-06-11T02:48:00Z</cp:lastPrinted>
  <dcterms:created xsi:type="dcterms:W3CDTF">2025-09-10T07:25:00Z</dcterms:created>
  <dcterms:modified xsi:type="dcterms:W3CDTF">2026-08-21T06:58:00Z</dcterms:modified>
</cp:coreProperties>
</file>