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09C33" w14:textId="77777777" w:rsidR="002B699E" w:rsidRPr="00D01A51" w:rsidRDefault="002B699E" w:rsidP="002B699E">
      <w:pPr>
        <w:spacing w:line="360" w:lineRule="auto"/>
        <w:rPr>
          <w:rFonts w:ascii="Arial" w:hAnsi="Arial" w:cs="Arial"/>
          <w:b/>
          <w:bCs/>
        </w:rPr>
      </w:pPr>
      <w:r w:rsidRPr="00D01A51">
        <w:rPr>
          <w:rFonts w:ascii="Arial" w:hAnsi="Arial" w:cs="Arial"/>
          <w:b/>
          <w:bCs/>
        </w:rPr>
        <w:t>Title</w:t>
      </w:r>
    </w:p>
    <w:p w14:paraId="5CE53F92" w14:textId="77777777" w:rsidR="002B699E" w:rsidRPr="00D01A51" w:rsidRDefault="002B699E" w:rsidP="002B699E">
      <w:pPr>
        <w:spacing w:line="360" w:lineRule="auto"/>
        <w:rPr>
          <w:rFonts w:ascii="Arial" w:hAnsi="Arial" w:cs="Arial"/>
          <w:iCs/>
        </w:rPr>
      </w:pPr>
      <w:r w:rsidRPr="00D01A51">
        <w:rPr>
          <w:rFonts w:ascii="Arial" w:hAnsi="Arial" w:cs="Arial"/>
          <w:iCs/>
        </w:rPr>
        <w:t>Clinician awareness and implementation of MHRA guidance on vitamin B</w:t>
      </w:r>
      <w:r w:rsidRPr="00D01A51">
        <w:rPr>
          <w:rFonts w:ascii="Arial" w:hAnsi="Arial" w:cs="Arial"/>
          <w:iCs/>
          <w:vertAlign w:val="subscript"/>
        </w:rPr>
        <w:t>12</w:t>
      </w:r>
      <w:r w:rsidRPr="00D01A51">
        <w:rPr>
          <w:rFonts w:ascii="Arial" w:hAnsi="Arial" w:cs="Arial"/>
          <w:iCs/>
        </w:rPr>
        <w:t xml:space="preserve"> monitoring in metformin users: a reflexive thematic analysis of primary care practice</w:t>
      </w:r>
    </w:p>
    <w:p w14:paraId="61C4A538" w14:textId="77777777" w:rsidR="002B699E" w:rsidRPr="00D01A51" w:rsidRDefault="002B699E" w:rsidP="002B699E">
      <w:pPr>
        <w:spacing w:line="360" w:lineRule="auto"/>
        <w:rPr>
          <w:rFonts w:ascii="Arial" w:hAnsi="Arial" w:cs="Arial"/>
          <w:b/>
          <w:bCs/>
          <w:iCs/>
        </w:rPr>
      </w:pPr>
      <w:r w:rsidRPr="00D01A51">
        <w:rPr>
          <w:rFonts w:ascii="Arial" w:hAnsi="Arial" w:cs="Arial"/>
          <w:b/>
          <w:bCs/>
          <w:iCs/>
        </w:rPr>
        <w:t>Authors</w:t>
      </w:r>
    </w:p>
    <w:p w14:paraId="500345BC" w14:textId="77777777" w:rsidR="002B699E" w:rsidRPr="00D01A51" w:rsidRDefault="002B699E" w:rsidP="002B699E">
      <w:pPr>
        <w:spacing w:line="360" w:lineRule="auto"/>
        <w:rPr>
          <w:rFonts w:ascii="Arial" w:hAnsi="Arial" w:cs="Arial"/>
        </w:rPr>
      </w:pPr>
      <w:r w:rsidRPr="00D01A51">
        <w:rPr>
          <w:rFonts w:ascii="Arial" w:hAnsi="Arial" w:cs="Arial"/>
          <w:lang w:val="en-AU"/>
        </w:rPr>
        <w:t>Ian Parsonage- Department of Health, University of Bath, Bath, United Kingdom. ibp25@bath.ac.uk. -</w:t>
      </w:r>
      <w:r w:rsidRPr="00D01A51">
        <w:rPr>
          <w:rFonts w:ascii="Arial" w:hAnsi="Arial" w:cs="Arial"/>
          <w:i/>
          <w:iCs/>
          <w:lang w:val="en-AU"/>
        </w:rPr>
        <w:t>Corresponding author</w:t>
      </w:r>
    </w:p>
    <w:p w14:paraId="289728D2" w14:textId="77777777" w:rsidR="002B699E" w:rsidRPr="00D01A51" w:rsidRDefault="002B699E" w:rsidP="002B699E">
      <w:pPr>
        <w:spacing w:line="360" w:lineRule="auto"/>
        <w:rPr>
          <w:rFonts w:ascii="Arial" w:hAnsi="Arial" w:cs="Arial"/>
          <w:lang w:val="en-AU"/>
        </w:rPr>
      </w:pPr>
      <w:r w:rsidRPr="00D01A51">
        <w:rPr>
          <w:rFonts w:ascii="Arial" w:hAnsi="Arial" w:cs="Arial"/>
          <w:lang w:val="en-AU"/>
        </w:rPr>
        <w:t>Dr David Wainwright- Department for Health, University of Bath, Bath, United Kingdom.</w:t>
      </w:r>
    </w:p>
    <w:p w14:paraId="4A05CCDE" w14:textId="77777777" w:rsidR="002B699E" w:rsidRPr="00D01A51" w:rsidRDefault="002B699E" w:rsidP="002B699E">
      <w:pPr>
        <w:spacing w:line="360" w:lineRule="auto"/>
        <w:rPr>
          <w:rFonts w:ascii="Arial" w:hAnsi="Arial" w:cs="Arial"/>
          <w:lang w:val="en-AU"/>
        </w:rPr>
      </w:pPr>
      <w:r w:rsidRPr="00D01A51">
        <w:rPr>
          <w:rFonts w:ascii="Arial" w:hAnsi="Arial" w:cs="Arial"/>
          <w:lang w:val="en-AU"/>
        </w:rPr>
        <w:t>Professor Julian Barratt- School of Psychology, Health and Clinical Sciences, Aston University, Birmingham, United Kingdom.</w:t>
      </w:r>
    </w:p>
    <w:p w14:paraId="5B912C8D" w14:textId="77777777" w:rsidR="002B699E" w:rsidRPr="00D01A51" w:rsidRDefault="002B699E" w:rsidP="002B699E">
      <w:pPr>
        <w:spacing w:line="360" w:lineRule="auto"/>
        <w:rPr>
          <w:rFonts w:ascii="Arial" w:hAnsi="Arial" w:cs="Arial"/>
          <w:b/>
          <w:bCs/>
          <w:lang w:val="en-AU"/>
        </w:rPr>
      </w:pPr>
      <w:r w:rsidRPr="00D01A51">
        <w:rPr>
          <w:rFonts w:ascii="Arial" w:hAnsi="Arial" w:cs="Arial"/>
          <w:b/>
          <w:bCs/>
          <w:lang w:val="en-AU"/>
        </w:rPr>
        <w:t>Abstract</w:t>
      </w:r>
    </w:p>
    <w:p w14:paraId="6B66F722" w14:textId="77777777" w:rsidR="002D4822" w:rsidRPr="002D4822" w:rsidRDefault="002D4822" w:rsidP="002D4822">
      <w:pPr>
        <w:spacing w:line="360" w:lineRule="auto"/>
        <w:rPr>
          <w:rFonts w:ascii="Arial" w:hAnsi="Arial" w:cs="Arial"/>
          <w:b/>
          <w:bCs/>
          <w:color w:val="FF0000"/>
        </w:rPr>
      </w:pPr>
      <w:commentRangeStart w:id="0"/>
      <w:r w:rsidRPr="002D4822">
        <w:rPr>
          <w:rFonts w:ascii="Arial" w:hAnsi="Arial" w:cs="Arial"/>
          <w:b/>
          <w:bCs/>
        </w:rPr>
        <w:t>Background:</w:t>
      </w:r>
      <w:r w:rsidRPr="002D4822">
        <w:rPr>
          <w:rFonts w:ascii="Arial" w:hAnsi="Arial" w:cs="Arial"/>
          <w:b/>
          <w:bCs/>
        </w:rPr>
        <w:br/>
      </w:r>
      <w:r w:rsidRPr="002D4822">
        <w:rPr>
          <w:rFonts w:ascii="Arial" w:hAnsi="Arial" w:cs="Arial"/>
          <w:color w:val="FF0000"/>
        </w:rPr>
        <w:t>Metformin is the first line pharmacological treatment for type 2 diabetes mellitus (T2DM) but is associated with vitamin B</w:t>
      </w:r>
      <w:r w:rsidRPr="002D4822">
        <w:rPr>
          <w:rFonts w:ascii="Arial" w:hAnsi="Arial" w:cs="Arial"/>
          <w:color w:val="FF0000"/>
          <w:vertAlign w:val="subscript"/>
        </w:rPr>
        <w:t>12</w:t>
      </w:r>
      <w:r w:rsidRPr="002D4822">
        <w:rPr>
          <w:rFonts w:ascii="Arial" w:hAnsi="Arial" w:cs="Arial"/>
          <w:color w:val="FF0000"/>
        </w:rPr>
        <w:t xml:space="preserve"> deficiency. In 2022, the Medicines and Healthcare products Regulatory Agency (MHRA) issued a Drug Safety Update recommending testing in symptomatic patients and consideration of periodic monitoring in those at risk. Earlier quantitative research identified only a modest increase in recorded testing and high clinician awareness alongside inconsistent monitoring. Therefore, this study aimed to explore clinician awareness of the MHRA update and examine how guidance on vitamin B</w:t>
      </w:r>
      <w:r w:rsidRPr="002D4822">
        <w:rPr>
          <w:rFonts w:ascii="Arial" w:hAnsi="Arial" w:cs="Arial"/>
          <w:color w:val="FF0000"/>
          <w:vertAlign w:val="subscript"/>
        </w:rPr>
        <w:t xml:space="preserve">12 </w:t>
      </w:r>
      <w:r w:rsidRPr="002D4822">
        <w:rPr>
          <w:rFonts w:ascii="Arial" w:hAnsi="Arial" w:cs="Arial"/>
          <w:color w:val="FF0000"/>
        </w:rPr>
        <w:t>monitoring was interpreted and implemented within primary care.</w:t>
      </w:r>
      <w:commentRangeEnd w:id="0"/>
      <w:r w:rsidRPr="002D4822">
        <w:rPr>
          <w:rStyle w:val="CommentReference"/>
          <w:rFonts w:ascii="Arial" w:hAnsi="Arial" w:cs="Arial"/>
          <w:b/>
          <w:bCs/>
          <w:color w:val="FF0000"/>
          <w:sz w:val="22"/>
          <w:szCs w:val="22"/>
        </w:rPr>
        <w:commentReference w:id="0"/>
      </w:r>
    </w:p>
    <w:p w14:paraId="6823D25A" w14:textId="77777777" w:rsidR="002D4822" w:rsidRPr="002D4822" w:rsidRDefault="002D4822" w:rsidP="002D4822">
      <w:pPr>
        <w:spacing w:line="360" w:lineRule="auto"/>
        <w:rPr>
          <w:rFonts w:ascii="Arial" w:hAnsi="Arial" w:cs="Arial"/>
          <w:b/>
          <w:bCs/>
          <w:color w:val="FF0000"/>
        </w:rPr>
      </w:pPr>
      <w:r w:rsidRPr="002D4822">
        <w:rPr>
          <w:rFonts w:ascii="Arial" w:hAnsi="Arial" w:cs="Arial"/>
          <w:b/>
          <w:bCs/>
          <w:color w:val="FF0000"/>
        </w:rPr>
        <w:t>Methods:</w:t>
      </w:r>
      <w:r w:rsidRPr="002D4822">
        <w:rPr>
          <w:rFonts w:ascii="Arial" w:hAnsi="Arial" w:cs="Arial"/>
          <w:b/>
          <w:bCs/>
          <w:color w:val="FF0000"/>
        </w:rPr>
        <w:br/>
      </w:r>
      <w:r w:rsidRPr="002D4822">
        <w:rPr>
          <w:rFonts w:ascii="Arial" w:hAnsi="Arial" w:cs="Arial"/>
          <w:color w:val="FF0000"/>
        </w:rPr>
        <w:t>A qualitative study using semi-structured interviews was conducted with clinicians involved in diabetes care within general practice in the South-West of England. Participants were recruited from respondents to a preceding survey who had expressed an interest in follow-up interviews. The interviews were conducted remotely between October 2025 and January 2026 and transcribed verbatim, with the data analysed using reflexive thematic analysis.</w:t>
      </w:r>
    </w:p>
    <w:p w14:paraId="4149C267" w14:textId="77777777" w:rsidR="002D4822" w:rsidRPr="002D4822" w:rsidRDefault="002D4822" w:rsidP="002D4822">
      <w:pPr>
        <w:spacing w:line="360" w:lineRule="auto"/>
        <w:rPr>
          <w:rFonts w:ascii="Arial" w:hAnsi="Arial" w:cs="Arial"/>
          <w:b/>
          <w:bCs/>
          <w:color w:val="FF0000"/>
        </w:rPr>
      </w:pPr>
      <w:r w:rsidRPr="002D4822">
        <w:rPr>
          <w:rFonts w:ascii="Arial" w:hAnsi="Arial" w:cs="Arial"/>
          <w:b/>
          <w:bCs/>
          <w:color w:val="FF0000"/>
        </w:rPr>
        <w:t>Results:</w:t>
      </w:r>
      <w:r w:rsidRPr="002D4822">
        <w:rPr>
          <w:rFonts w:ascii="Arial" w:hAnsi="Arial" w:cs="Arial"/>
          <w:b/>
          <w:bCs/>
          <w:color w:val="FF0000"/>
        </w:rPr>
        <w:br/>
      </w:r>
      <w:r w:rsidRPr="002D4822">
        <w:rPr>
          <w:rFonts w:ascii="Arial" w:hAnsi="Arial" w:cs="Arial"/>
          <w:color w:val="FF0000"/>
        </w:rPr>
        <w:t>Eighteen clinicians participated, including general practitioners, nurses and pharmacy professionals. Four themes were developed: preventive monitoring under service pressure, navigating roles and responsibility in diabetes care, translating guidance into practice, and pragmatic decision-making under uncertainty. Monitoring was described more consistently where vitamin B</w:t>
      </w:r>
      <w:r w:rsidRPr="002D4822">
        <w:rPr>
          <w:rFonts w:ascii="Arial" w:hAnsi="Arial" w:cs="Arial"/>
          <w:color w:val="FF0000"/>
          <w:vertAlign w:val="subscript"/>
        </w:rPr>
        <w:t>12</w:t>
      </w:r>
      <w:r w:rsidRPr="002D4822">
        <w:rPr>
          <w:rFonts w:ascii="Arial" w:hAnsi="Arial" w:cs="Arial"/>
          <w:color w:val="FF0000"/>
        </w:rPr>
        <w:t xml:space="preserve"> testing had been included within an existing diabetes care process. However, where no process had been established, testing remained dependent on the </w:t>
      </w:r>
      <w:r w:rsidRPr="002D4822">
        <w:rPr>
          <w:rFonts w:ascii="Arial" w:hAnsi="Arial" w:cs="Arial"/>
          <w:color w:val="FF0000"/>
        </w:rPr>
        <w:lastRenderedPageBreak/>
        <w:t>clinician identifying the need, interpreting the guidance and deciding who was responsible for acting.</w:t>
      </w:r>
    </w:p>
    <w:p w14:paraId="45B3BEFC" w14:textId="77777777" w:rsidR="002D4822" w:rsidRPr="002D4822" w:rsidRDefault="002D4822" w:rsidP="002D4822">
      <w:pPr>
        <w:spacing w:line="360" w:lineRule="auto"/>
        <w:rPr>
          <w:rFonts w:ascii="Arial" w:hAnsi="Arial" w:cs="Arial"/>
          <w:b/>
          <w:bCs/>
          <w:color w:val="FF0000"/>
        </w:rPr>
      </w:pPr>
      <w:r w:rsidRPr="002D4822">
        <w:rPr>
          <w:rFonts w:ascii="Arial" w:hAnsi="Arial" w:cs="Arial"/>
          <w:b/>
          <w:bCs/>
          <w:color w:val="FF0000"/>
        </w:rPr>
        <w:t>Conclusions:</w:t>
      </w:r>
      <w:r w:rsidRPr="002D4822">
        <w:rPr>
          <w:rFonts w:ascii="Arial" w:hAnsi="Arial" w:cs="Arial"/>
          <w:b/>
          <w:bCs/>
          <w:color w:val="FF0000"/>
        </w:rPr>
        <w:br/>
      </w:r>
      <w:r w:rsidRPr="002D4822">
        <w:rPr>
          <w:rFonts w:ascii="Arial" w:hAnsi="Arial" w:cs="Arial"/>
          <w:color w:val="FF0000"/>
        </w:rPr>
        <w:t>The findings show that variation in vitamin B</w:t>
      </w:r>
      <w:r w:rsidRPr="002D4822">
        <w:rPr>
          <w:rFonts w:ascii="Arial" w:hAnsi="Arial" w:cs="Arial"/>
          <w:color w:val="FF0000"/>
          <w:vertAlign w:val="subscript"/>
        </w:rPr>
        <w:t>12</w:t>
      </w:r>
      <w:r w:rsidRPr="002D4822">
        <w:rPr>
          <w:rFonts w:ascii="Arial" w:hAnsi="Arial" w:cs="Arial"/>
          <w:color w:val="FF0000"/>
        </w:rPr>
        <w:t xml:space="preserve"> monitoring was not explained by clinician awareness alone, as the MHRA alert communicated the risk without establishing how monitoring should be organised within primary care. Where testing had not been incorporated into an existing diabetes care process, the frequency of monitoring and professional responsibility remained uncertain. Improving implementation may therefore require an agreed process through which monitoring can be included within routine diabetes care, although further evaluation is required to determine which approach would be effective</w:t>
      </w:r>
      <w:r w:rsidRPr="002D4822">
        <w:rPr>
          <w:rFonts w:ascii="Arial" w:hAnsi="Arial" w:cs="Arial"/>
          <w:b/>
          <w:bCs/>
          <w:color w:val="FF0000"/>
        </w:rPr>
        <w:t>.</w:t>
      </w:r>
    </w:p>
    <w:p w14:paraId="1BB2B406" w14:textId="77777777" w:rsidR="002B699E" w:rsidRPr="00D01A51" w:rsidRDefault="002B699E" w:rsidP="002B699E">
      <w:pPr>
        <w:spacing w:line="360" w:lineRule="auto"/>
        <w:rPr>
          <w:rFonts w:ascii="Arial" w:hAnsi="Arial" w:cs="Arial"/>
          <w:b/>
          <w:bCs/>
        </w:rPr>
      </w:pPr>
      <w:r w:rsidRPr="00D01A51">
        <w:rPr>
          <w:rFonts w:ascii="Arial" w:hAnsi="Arial" w:cs="Arial"/>
          <w:b/>
          <w:bCs/>
        </w:rPr>
        <w:t>Keywords</w:t>
      </w:r>
    </w:p>
    <w:p w14:paraId="31B101ED" w14:textId="77777777" w:rsidR="002B699E" w:rsidRPr="00D01A51" w:rsidRDefault="002B699E" w:rsidP="002B699E">
      <w:pPr>
        <w:spacing w:line="360" w:lineRule="auto"/>
        <w:rPr>
          <w:rFonts w:ascii="Arial" w:hAnsi="Arial" w:cs="Arial"/>
        </w:rPr>
      </w:pPr>
      <w:r w:rsidRPr="00D01A51">
        <w:rPr>
          <w:rFonts w:ascii="Arial" w:hAnsi="Arial" w:cs="Arial"/>
        </w:rPr>
        <w:t>Vitamin B</w:t>
      </w:r>
      <w:r w:rsidRPr="00D01A51">
        <w:rPr>
          <w:rFonts w:ascii="Arial" w:hAnsi="Arial" w:cs="Arial"/>
          <w:vertAlign w:val="subscript"/>
        </w:rPr>
        <w:t>12</w:t>
      </w:r>
      <w:r w:rsidRPr="00D01A51">
        <w:rPr>
          <w:rFonts w:ascii="Arial" w:hAnsi="Arial" w:cs="Arial"/>
        </w:rPr>
        <w:t>, Metformin, Deficiency, Knowledge, Screening, Healthcare professional, Clinician, Awareness</w:t>
      </w:r>
    </w:p>
    <w:p w14:paraId="6EA3C054" w14:textId="77777777" w:rsidR="002B699E" w:rsidRPr="00D01A51" w:rsidRDefault="002B699E" w:rsidP="002B699E">
      <w:pPr>
        <w:spacing w:line="360" w:lineRule="auto"/>
        <w:rPr>
          <w:rFonts w:ascii="Arial" w:hAnsi="Arial" w:cs="Arial"/>
          <w:b/>
          <w:bCs/>
        </w:rPr>
      </w:pPr>
      <w:r w:rsidRPr="00D01A51">
        <w:rPr>
          <w:rFonts w:ascii="Arial" w:hAnsi="Arial" w:cs="Arial"/>
          <w:b/>
          <w:bCs/>
        </w:rPr>
        <w:t>Background</w:t>
      </w:r>
    </w:p>
    <w:p w14:paraId="1B16518D" w14:textId="77777777" w:rsidR="002B699E" w:rsidRPr="00D01A51" w:rsidRDefault="002B699E" w:rsidP="002B699E">
      <w:pPr>
        <w:spacing w:line="360" w:lineRule="auto"/>
        <w:rPr>
          <w:rFonts w:ascii="Arial" w:hAnsi="Arial" w:cs="Arial"/>
        </w:rPr>
      </w:pPr>
      <w:r w:rsidRPr="00D01A51">
        <w:rPr>
          <w:rFonts w:ascii="Arial" w:hAnsi="Arial" w:cs="Arial"/>
        </w:rPr>
        <w:t>Diabetes is a major global health challenge, with an estimated 589 million adults affected in 2024</w:t>
      </w:r>
      <w:r w:rsidRPr="00D01A51">
        <w:rPr>
          <w:rFonts w:ascii="Arial" w:hAnsi="Arial" w:cs="Arial"/>
          <w:vertAlign w:val="superscript"/>
        </w:rPr>
        <w:t>1</w:t>
      </w:r>
      <w:r w:rsidRPr="00D01A51">
        <w:rPr>
          <w:rFonts w:ascii="Arial" w:hAnsi="Arial" w:cs="Arial"/>
        </w:rPr>
        <w:t>. Type 2 diabetes mellitus (T2DM) accounts for over 90% of cases and is associated with increased mortality and significant macrovascular and microvascular complications</w:t>
      </w:r>
      <w:r w:rsidRPr="00D01A51">
        <w:rPr>
          <w:rFonts w:ascii="Arial" w:hAnsi="Arial" w:cs="Arial"/>
          <w:vertAlign w:val="superscript"/>
        </w:rPr>
        <w:t>2</w:t>
      </w:r>
      <w:r w:rsidRPr="00D01A51">
        <w:rPr>
          <w:rFonts w:ascii="Arial" w:hAnsi="Arial" w:cs="Arial"/>
        </w:rPr>
        <w:t>. Despite a substantial evidence base for diabetes care, optimal management is not consistently achieved, and many individuals do not receive the full benefit of available interventions</w:t>
      </w:r>
      <w:r w:rsidRPr="00D01A51">
        <w:rPr>
          <w:rFonts w:ascii="Arial" w:hAnsi="Arial" w:cs="Arial"/>
          <w:vertAlign w:val="superscript"/>
        </w:rPr>
        <w:t>2</w:t>
      </w:r>
      <w:r w:rsidRPr="00D01A51">
        <w:rPr>
          <w:rFonts w:ascii="Arial" w:hAnsi="Arial" w:cs="Arial"/>
        </w:rPr>
        <w:t>.</w:t>
      </w:r>
    </w:p>
    <w:p w14:paraId="42434B97" w14:textId="77777777" w:rsidR="002B699E" w:rsidRPr="00D01A51" w:rsidRDefault="002B699E" w:rsidP="002B699E">
      <w:pPr>
        <w:spacing w:line="360" w:lineRule="auto"/>
        <w:rPr>
          <w:rFonts w:ascii="Arial" w:hAnsi="Arial" w:cs="Arial"/>
        </w:rPr>
      </w:pPr>
      <w:r w:rsidRPr="00D01A51">
        <w:rPr>
          <w:rFonts w:ascii="Arial" w:hAnsi="Arial" w:cs="Arial"/>
        </w:rPr>
        <w:t>Metformin remains the first-line pharmacological treatment for T2DM and is widely prescribed within primary care. However, long-term use is associated with vitamin B</w:t>
      </w:r>
      <w:r w:rsidRPr="00D01A51">
        <w:rPr>
          <w:rFonts w:ascii="Arial" w:hAnsi="Arial" w:cs="Arial"/>
          <w:vertAlign w:val="subscript"/>
        </w:rPr>
        <w:t>12</w:t>
      </w:r>
      <w:r w:rsidRPr="00D01A51">
        <w:rPr>
          <w:rFonts w:ascii="Arial" w:hAnsi="Arial" w:cs="Arial"/>
        </w:rPr>
        <w:t xml:space="preserve"> deficiency, with risk increasing in relation to dose and duration</w:t>
      </w:r>
      <w:r w:rsidRPr="00D01A51">
        <w:rPr>
          <w:rFonts w:ascii="Arial" w:hAnsi="Arial" w:cs="Arial"/>
          <w:vertAlign w:val="superscript"/>
        </w:rPr>
        <w:t>3, 4</w:t>
      </w:r>
      <w:r w:rsidRPr="00D01A51">
        <w:rPr>
          <w:rFonts w:ascii="Arial" w:hAnsi="Arial" w:cs="Arial"/>
        </w:rPr>
        <w:t>. The prevalence of vitamin B</w:t>
      </w:r>
      <w:r w:rsidRPr="00D01A51">
        <w:rPr>
          <w:rFonts w:ascii="Arial" w:hAnsi="Arial" w:cs="Arial"/>
          <w:vertAlign w:val="subscript"/>
        </w:rPr>
        <w:t>12</w:t>
      </w:r>
      <w:r w:rsidRPr="00D01A51">
        <w:rPr>
          <w:rFonts w:ascii="Arial" w:hAnsi="Arial" w:cs="Arial"/>
        </w:rPr>
        <w:t xml:space="preserve"> deficiency in patients treated with metformin has been reported to range from 5% to 30%</w:t>
      </w:r>
      <w:r w:rsidRPr="00D01A51">
        <w:rPr>
          <w:rFonts w:ascii="Arial" w:hAnsi="Arial" w:cs="Arial"/>
          <w:vertAlign w:val="superscript"/>
        </w:rPr>
        <w:t>5, 6</w:t>
      </w:r>
      <w:r w:rsidRPr="00D01A51">
        <w:rPr>
          <w:rFonts w:ascii="Arial" w:hAnsi="Arial" w:cs="Arial"/>
        </w:rPr>
        <w:t>. Clinically, this is important, as vitamin B</w:t>
      </w:r>
      <w:r w:rsidRPr="00D01A51">
        <w:rPr>
          <w:rFonts w:ascii="Arial" w:hAnsi="Arial" w:cs="Arial"/>
          <w:vertAlign w:val="subscript"/>
        </w:rPr>
        <w:t xml:space="preserve">12 </w:t>
      </w:r>
      <w:r w:rsidRPr="00D01A51">
        <w:rPr>
          <w:rFonts w:ascii="Arial" w:hAnsi="Arial" w:cs="Arial"/>
        </w:rPr>
        <w:t>deficiency may contribute to anaemia and peripheral neuropathy, which can overlap with diabetic neuropathy. This increases the risk of misdiagnosis or delayed intervention, as unrecognised deficiency may lead to irreversible neurological complications.</w:t>
      </w:r>
    </w:p>
    <w:p w14:paraId="2AB7B0A1" w14:textId="77777777" w:rsidR="002B699E" w:rsidRDefault="002B699E" w:rsidP="002B699E">
      <w:pPr>
        <w:spacing w:line="360" w:lineRule="auto"/>
        <w:rPr>
          <w:rFonts w:ascii="Arial" w:hAnsi="Arial" w:cs="Arial"/>
        </w:rPr>
      </w:pPr>
      <w:r w:rsidRPr="00D01A51">
        <w:rPr>
          <w:rFonts w:ascii="Arial" w:hAnsi="Arial" w:cs="Arial"/>
        </w:rPr>
        <w:t>The Medicines and Healthcare products Regulatory Agency (MHRA)</w:t>
      </w:r>
      <w:r w:rsidRPr="00D01A51">
        <w:rPr>
          <w:rFonts w:ascii="Arial" w:hAnsi="Arial" w:cs="Arial"/>
          <w:vertAlign w:val="superscript"/>
        </w:rPr>
        <w:t>7</w:t>
      </w:r>
      <w:r w:rsidRPr="00D01A51">
        <w:rPr>
          <w:rFonts w:ascii="Arial" w:hAnsi="Arial" w:cs="Arial"/>
          <w:vertAlign w:val="subscript"/>
        </w:rPr>
        <w:t xml:space="preserve"> </w:t>
      </w:r>
      <w:r w:rsidRPr="00D01A51">
        <w:rPr>
          <w:rFonts w:ascii="Arial" w:hAnsi="Arial" w:cs="Arial"/>
        </w:rPr>
        <w:t>issued a Drug Safety Update in 2022 identifying vitamin B</w:t>
      </w:r>
      <w:r w:rsidRPr="00D01A51">
        <w:rPr>
          <w:rFonts w:ascii="Arial" w:hAnsi="Arial" w:cs="Arial"/>
          <w:vertAlign w:val="subscript"/>
        </w:rPr>
        <w:t>12</w:t>
      </w:r>
      <w:r w:rsidRPr="00D01A51">
        <w:rPr>
          <w:rFonts w:ascii="Arial" w:hAnsi="Arial" w:cs="Arial"/>
        </w:rPr>
        <w:t xml:space="preserve"> deficiency as a common side effect of metformin and recommending testing in symptomatic individuals, alongside consideration of periodic monitoring in those at risk</w:t>
      </w:r>
      <w:r w:rsidRPr="00D01A51">
        <w:rPr>
          <w:rFonts w:ascii="Arial" w:hAnsi="Arial" w:cs="Arial"/>
          <w:vertAlign w:val="superscript"/>
        </w:rPr>
        <w:t>7</w:t>
      </w:r>
      <w:r w:rsidRPr="00D01A51">
        <w:rPr>
          <w:rFonts w:ascii="Arial" w:hAnsi="Arial" w:cs="Arial"/>
        </w:rPr>
        <w:t xml:space="preserve">. Whilst this was considered an important step in recognising the issue, the guidance provides limited detail on how monitoring should be implemented in </w:t>
      </w:r>
      <w:r w:rsidRPr="00D01A51">
        <w:rPr>
          <w:rFonts w:ascii="Arial" w:hAnsi="Arial" w:cs="Arial"/>
        </w:rPr>
        <w:lastRenderedPageBreak/>
        <w:t>practice, including testing frequency, responsibility for follow-up, and thresholds for action. The evidence indicates that the publication of guidance alone is rarely sufficient to change clinical behaviour, particularly where recommendations require adaptation within complex clinical environments</w:t>
      </w:r>
      <w:r w:rsidRPr="00D01A51">
        <w:rPr>
          <w:rFonts w:ascii="Arial" w:hAnsi="Arial" w:cs="Arial"/>
          <w:vertAlign w:val="superscript"/>
        </w:rPr>
        <w:t>8, 9</w:t>
      </w:r>
      <w:r w:rsidRPr="00D01A51">
        <w:rPr>
          <w:rFonts w:ascii="Arial" w:hAnsi="Arial" w:cs="Arial"/>
        </w:rPr>
        <w:t>.</w:t>
      </w:r>
    </w:p>
    <w:p w14:paraId="63FFE2FC" w14:textId="77777777" w:rsidR="00B851DD" w:rsidRDefault="009E201A" w:rsidP="009E201A">
      <w:pPr>
        <w:spacing w:line="360" w:lineRule="auto"/>
        <w:rPr>
          <w:rFonts w:ascii="Arial" w:hAnsi="Arial" w:cs="Arial"/>
          <w:color w:val="FF0000"/>
        </w:rPr>
      </w:pPr>
      <w:commentRangeStart w:id="1"/>
      <w:r>
        <w:rPr>
          <w:rFonts w:ascii="Arial" w:hAnsi="Arial" w:cs="Arial"/>
          <w:color w:val="FF0000"/>
        </w:rPr>
        <w:t>A</w:t>
      </w:r>
      <w:r w:rsidRPr="009E201A">
        <w:rPr>
          <w:rFonts w:ascii="Arial" w:hAnsi="Arial" w:cs="Arial"/>
          <w:color w:val="FF0000"/>
        </w:rPr>
        <w:t xml:space="preserve"> quantitative analysis of UK primary care data demonstrated a statistically significant increase in vitamin B</w:t>
      </w:r>
      <w:r w:rsidRPr="009E201A">
        <w:rPr>
          <w:rFonts w:ascii="Arial" w:hAnsi="Arial" w:cs="Arial"/>
          <w:color w:val="FF0000"/>
          <w:vertAlign w:val="subscript"/>
        </w:rPr>
        <w:t>12</w:t>
      </w:r>
      <w:r w:rsidRPr="009E201A">
        <w:rPr>
          <w:rFonts w:ascii="Arial" w:hAnsi="Arial" w:cs="Arial"/>
          <w:color w:val="FF0000"/>
        </w:rPr>
        <w:t xml:space="preserve"> testing following the MHRA </w:t>
      </w:r>
      <w:r>
        <w:rPr>
          <w:rFonts w:ascii="Arial" w:hAnsi="Arial" w:cs="Arial"/>
          <w:color w:val="FF0000"/>
        </w:rPr>
        <w:t>alert</w:t>
      </w:r>
      <w:r w:rsidRPr="009E201A">
        <w:rPr>
          <w:rFonts w:ascii="Arial" w:hAnsi="Arial" w:cs="Arial"/>
          <w:color w:val="FF0000"/>
          <w:vertAlign w:val="superscript"/>
        </w:rPr>
        <w:t>7</w:t>
      </w:r>
      <w:r w:rsidRPr="009E201A">
        <w:rPr>
          <w:rFonts w:ascii="Arial" w:hAnsi="Arial" w:cs="Arial"/>
          <w:color w:val="FF0000"/>
        </w:rPr>
        <w:t>, but the change was modest and testing remained below 40%.</w:t>
      </w:r>
      <w:r w:rsidRPr="009E201A">
        <w:rPr>
          <w:rFonts w:ascii="Arial" w:hAnsi="Arial" w:cs="Arial"/>
          <w:color w:val="FF0000"/>
          <w:vertAlign w:val="superscript"/>
        </w:rPr>
        <w:t>10</w:t>
      </w:r>
      <w:r w:rsidRPr="009E201A">
        <w:rPr>
          <w:rFonts w:ascii="Arial" w:hAnsi="Arial" w:cs="Arial"/>
          <w:color w:val="FF0000"/>
        </w:rPr>
        <w:t xml:space="preserve"> However, vitamin B</w:t>
      </w:r>
      <w:r w:rsidRPr="009E201A">
        <w:rPr>
          <w:rFonts w:ascii="Arial" w:hAnsi="Arial" w:cs="Arial"/>
          <w:color w:val="FF0000"/>
          <w:vertAlign w:val="subscript"/>
        </w:rPr>
        <w:t>12</w:t>
      </w:r>
      <w:r w:rsidRPr="009E201A">
        <w:rPr>
          <w:rFonts w:ascii="Arial" w:hAnsi="Arial" w:cs="Arial"/>
          <w:color w:val="FF0000"/>
        </w:rPr>
        <w:t xml:space="preserve"> testing also increased within the general population over the same period, meaning that the increase among people prescribed metformin could not be attributed directly to the MHRA alert</w:t>
      </w:r>
      <w:r w:rsidRPr="009E201A">
        <w:rPr>
          <w:rFonts w:ascii="Arial" w:hAnsi="Arial" w:cs="Arial"/>
          <w:color w:val="FF0000"/>
          <w:vertAlign w:val="superscript"/>
        </w:rPr>
        <w:t>7</w:t>
      </w:r>
      <w:r w:rsidRPr="009E201A">
        <w:rPr>
          <w:rFonts w:ascii="Arial" w:hAnsi="Arial" w:cs="Arial"/>
          <w:color w:val="FF0000"/>
        </w:rPr>
        <w:t xml:space="preserve"> and may partly reflect a wider change in testing practice.</w:t>
      </w:r>
      <w:r w:rsidRPr="009E201A">
        <w:rPr>
          <w:rFonts w:ascii="Arial" w:hAnsi="Arial" w:cs="Arial"/>
          <w:color w:val="FF0000"/>
          <w:vertAlign w:val="superscript"/>
        </w:rPr>
        <w:t>10</w:t>
      </w:r>
      <w:r w:rsidRPr="009E201A">
        <w:rPr>
          <w:rFonts w:ascii="Arial" w:hAnsi="Arial" w:cs="Arial"/>
          <w:color w:val="FF0000"/>
        </w:rPr>
        <w:t xml:space="preserve"> </w:t>
      </w:r>
      <w:r w:rsidR="00B851DD" w:rsidRPr="00B851DD">
        <w:rPr>
          <w:rFonts w:ascii="Arial" w:hAnsi="Arial" w:cs="Arial"/>
          <w:color w:val="FF0000"/>
        </w:rPr>
        <w:t>A separate survey of primary care clinicians found that 87% were aware of the association between metformin and vitamin B</w:t>
      </w:r>
      <w:r w:rsidR="00B851DD" w:rsidRPr="00B851DD">
        <w:rPr>
          <w:rFonts w:ascii="Arial" w:hAnsi="Arial" w:cs="Arial"/>
          <w:color w:val="FF0000"/>
          <w:vertAlign w:val="subscript"/>
        </w:rPr>
        <w:t xml:space="preserve">12 </w:t>
      </w:r>
      <w:r w:rsidR="00B851DD" w:rsidRPr="00B851DD">
        <w:rPr>
          <w:rFonts w:ascii="Arial" w:hAnsi="Arial" w:cs="Arial"/>
          <w:color w:val="FF0000"/>
        </w:rPr>
        <w:t xml:space="preserve">deficiency. However, fewer than 40% </w:t>
      </w:r>
      <w:r w:rsidR="00B851DD">
        <w:rPr>
          <w:rFonts w:ascii="Arial" w:hAnsi="Arial" w:cs="Arial"/>
          <w:color w:val="FF0000"/>
        </w:rPr>
        <w:t xml:space="preserve">of clinicians </w:t>
      </w:r>
      <w:r w:rsidR="00B851DD" w:rsidRPr="00B851DD">
        <w:rPr>
          <w:rFonts w:ascii="Arial" w:hAnsi="Arial" w:cs="Arial"/>
          <w:color w:val="FF0000"/>
        </w:rPr>
        <w:t>reported routinely testing vitamin B</w:t>
      </w:r>
      <w:r w:rsidR="00B851DD" w:rsidRPr="00B851DD">
        <w:rPr>
          <w:rFonts w:ascii="Arial" w:hAnsi="Arial" w:cs="Arial"/>
          <w:color w:val="FF0000"/>
          <w:vertAlign w:val="subscript"/>
        </w:rPr>
        <w:t>12</w:t>
      </w:r>
      <w:r w:rsidR="00B851DD" w:rsidRPr="00B851DD">
        <w:rPr>
          <w:rFonts w:ascii="Arial" w:hAnsi="Arial" w:cs="Arial"/>
          <w:color w:val="FF0000"/>
        </w:rPr>
        <w:t xml:space="preserve"> and direct engagement with the MHRA guidance was </w:t>
      </w:r>
      <w:r w:rsidR="00B851DD">
        <w:rPr>
          <w:rFonts w:ascii="Arial" w:hAnsi="Arial" w:cs="Arial"/>
          <w:color w:val="FF0000"/>
        </w:rPr>
        <w:t xml:space="preserve">shown to be </w:t>
      </w:r>
      <w:r w:rsidR="00B851DD" w:rsidRPr="00B851DD">
        <w:rPr>
          <w:rFonts w:ascii="Arial" w:hAnsi="Arial" w:cs="Arial"/>
          <w:color w:val="FF0000"/>
        </w:rPr>
        <w:t>limited</w:t>
      </w:r>
      <w:r w:rsidRPr="009E201A">
        <w:rPr>
          <w:rFonts w:ascii="Arial" w:hAnsi="Arial" w:cs="Arial"/>
          <w:color w:val="FF0000"/>
        </w:rPr>
        <w:t>.</w:t>
      </w:r>
      <w:r w:rsidRPr="00B851DD">
        <w:rPr>
          <w:rFonts w:ascii="Arial" w:hAnsi="Arial" w:cs="Arial"/>
          <w:color w:val="FF0000"/>
          <w:vertAlign w:val="superscript"/>
        </w:rPr>
        <w:t>11</w:t>
      </w:r>
      <w:r w:rsidRPr="009E201A">
        <w:rPr>
          <w:rFonts w:ascii="Arial" w:hAnsi="Arial" w:cs="Arial"/>
          <w:color w:val="FF0000"/>
        </w:rPr>
        <w:t xml:space="preserve"> </w:t>
      </w:r>
      <w:commentRangeEnd w:id="1"/>
      <w:r>
        <w:rPr>
          <w:rStyle w:val="CommentReference"/>
          <w:rFonts w:ascii="Arial" w:hAnsi="Arial" w:cs="Arial"/>
          <w:color w:val="FF0000"/>
          <w:sz w:val="22"/>
          <w:szCs w:val="22"/>
        </w:rPr>
        <w:commentReference w:id="1"/>
      </w:r>
    </w:p>
    <w:p w14:paraId="6AB3B6DC" w14:textId="77777777" w:rsidR="00BB4430" w:rsidRDefault="000361E1" w:rsidP="009E201A">
      <w:pPr>
        <w:spacing w:line="360" w:lineRule="auto"/>
        <w:rPr>
          <w:rFonts w:ascii="Arial" w:hAnsi="Arial" w:cs="Arial"/>
          <w:color w:val="FF0000"/>
        </w:rPr>
      </w:pPr>
      <w:commentRangeStart w:id="2"/>
      <w:r w:rsidRPr="000361E1">
        <w:rPr>
          <w:rFonts w:ascii="Arial" w:hAnsi="Arial" w:cs="Arial"/>
          <w:color w:val="FF0000"/>
        </w:rPr>
        <w:t>The findings</w:t>
      </w:r>
      <w:r>
        <w:rPr>
          <w:rFonts w:ascii="Arial" w:hAnsi="Arial" w:cs="Arial"/>
          <w:color w:val="FF0000"/>
        </w:rPr>
        <w:t xml:space="preserve"> from the above studies</w:t>
      </w:r>
      <w:r w:rsidRPr="000361E1">
        <w:rPr>
          <w:rFonts w:ascii="Arial" w:hAnsi="Arial" w:cs="Arial"/>
          <w:color w:val="FF0000"/>
        </w:rPr>
        <w:t xml:space="preserve"> demonstrated a continuing gap between clinician awareness and routine monitoring, but neither study could explain why the gap remained</w:t>
      </w:r>
      <w:r>
        <w:rPr>
          <w:rFonts w:ascii="Arial" w:hAnsi="Arial" w:cs="Arial"/>
          <w:color w:val="FF0000"/>
        </w:rPr>
        <w:t>.</w:t>
      </w:r>
      <w:r w:rsidR="00B851DD" w:rsidRPr="00B851DD">
        <w:rPr>
          <w:rFonts w:ascii="Arial" w:hAnsi="Arial" w:cs="Arial"/>
          <w:color w:val="FF0000"/>
          <w:vertAlign w:val="superscript"/>
        </w:rPr>
        <w:t>10,11</w:t>
      </w:r>
      <w:r w:rsidR="009E201A" w:rsidRPr="009E201A">
        <w:rPr>
          <w:rFonts w:ascii="Arial" w:hAnsi="Arial" w:cs="Arial"/>
          <w:color w:val="FF0000"/>
        </w:rPr>
        <w:t xml:space="preserve"> </w:t>
      </w:r>
      <w:r w:rsidR="00BB4430" w:rsidRPr="00BB4430">
        <w:rPr>
          <w:rFonts w:ascii="Arial" w:hAnsi="Arial" w:cs="Arial"/>
          <w:color w:val="FF0000"/>
        </w:rPr>
        <w:t>The same issue has been reported internationally, but the studies used different designs and were undertaken within different healthcare systems, which limits direct comparison with the UK findings. In a Saudi Arabian cohort, only 4.4% of patients receiving metformin had a recorded vitamin B</w:t>
      </w:r>
      <w:r w:rsidR="00BB4430" w:rsidRPr="00BB4430">
        <w:rPr>
          <w:rFonts w:ascii="Arial" w:hAnsi="Arial" w:cs="Arial"/>
          <w:color w:val="FF0000"/>
          <w:vertAlign w:val="superscript"/>
        </w:rPr>
        <w:t>12</w:t>
      </w:r>
      <w:r w:rsidR="00BB4430" w:rsidRPr="00BB4430">
        <w:rPr>
          <w:rFonts w:ascii="Arial" w:hAnsi="Arial" w:cs="Arial"/>
          <w:color w:val="FF0000"/>
        </w:rPr>
        <w:t xml:space="preserve"> level despite guideline recommendations,⁵ and a separate physician survey found that 94% of clinicians knew about the association, but only around half routinely tested patients with symptoms.¹² </w:t>
      </w:r>
      <w:r w:rsidR="00BB4430">
        <w:rPr>
          <w:rFonts w:ascii="Arial" w:hAnsi="Arial" w:cs="Arial"/>
          <w:color w:val="FF0000"/>
        </w:rPr>
        <w:t>A study</w:t>
      </w:r>
      <w:r w:rsidR="00BB4430" w:rsidRPr="00BB4430">
        <w:rPr>
          <w:rFonts w:ascii="Arial" w:hAnsi="Arial" w:cs="Arial"/>
          <w:color w:val="FF0000"/>
        </w:rPr>
        <w:t xml:space="preserve"> from Jordan also reported high clinician </w:t>
      </w:r>
      <w:r w:rsidR="00BB4430">
        <w:rPr>
          <w:rFonts w:ascii="Arial" w:hAnsi="Arial" w:cs="Arial"/>
          <w:color w:val="FF0000"/>
        </w:rPr>
        <w:t>awareness</w:t>
      </w:r>
      <w:r w:rsidR="00BB4430" w:rsidRPr="00BB4430">
        <w:rPr>
          <w:rFonts w:ascii="Arial" w:hAnsi="Arial" w:cs="Arial"/>
          <w:color w:val="FF0000"/>
        </w:rPr>
        <w:t xml:space="preserve">, but </w:t>
      </w:r>
      <w:r w:rsidR="00BB4430">
        <w:rPr>
          <w:rFonts w:ascii="Arial" w:hAnsi="Arial" w:cs="Arial"/>
          <w:color w:val="FF0000"/>
        </w:rPr>
        <w:t xml:space="preserve">also concluded form the testing data that guidance was not followed and </w:t>
      </w:r>
      <w:r w:rsidR="00BB4430" w:rsidRPr="00BB4430">
        <w:rPr>
          <w:rFonts w:ascii="Arial" w:hAnsi="Arial" w:cs="Arial"/>
          <w:color w:val="FF0000"/>
        </w:rPr>
        <w:t>monitoring was not consistently applied.¹³ The Saudi Arabian studies involved different participants, so a direct link between clinician knowledge and recorded testing cannot be made. However, the findings support the UK and Jordanian evidence that high levels of knowledge were not reflected in consistent monitoring practice,</w:t>
      </w:r>
      <w:r w:rsidR="00BB4430">
        <w:rPr>
          <w:rFonts w:ascii="Arial" w:hAnsi="Arial" w:cs="Arial"/>
          <w:color w:val="FF0000"/>
        </w:rPr>
        <w:t xml:space="preserve"> and p</w:t>
      </w:r>
      <w:r w:rsidR="00BB4430" w:rsidRPr="00BB4430">
        <w:rPr>
          <w:rFonts w:ascii="Arial" w:hAnsi="Arial" w:cs="Arial"/>
          <w:color w:val="FF0000"/>
        </w:rPr>
        <w:t>oor awareness cannot explain the variation in practice on its own.</w:t>
      </w:r>
      <w:commentRangeEnd w:id="2"/>
      <w:r>
        <w:rPr>
          <w:rStyle w:val="CommentReference"/>
          <w:rFonts w:ascii="Arial" w:hAnsi="Arial" w:cs="Arial"/>
          <w:color w:val="FF0000"/>
          <w:sz w:val="22"/>
          <w:szCs w:val="22"/>
        </w:rPr>
        <w:commentReference w:id="2"/>
      </w:r>
    </w:p>
    <w:p w14:paraId="0B7B038C" w14:textId="77777777" w:rsidR="009E201A" w:rsidRPr="009E201A" w:rsidRDefault="003A407E" w:rsidP="009E201A">
      <w:pPr>
        <w:spacing w:line="360" w:lineRule="auto"/>
        <w:rPr>
          <w:rFonts w:ascii="Arial" w:hAnsi="Arial" w:cs="Arial"/>
          <w:color w:val="FF0000"/>
        </w:rPr>
      </w:pPr>
      <w:commentRangeStart w:id="3"/>
      <w:r w:rsidRPr="003A407E">
        <w:rPr>
          <w:rFonts w:ascii="Arial" w:hAnsi="Arial" w:cs="Arial"/>
          <w:color w:val="FF0000"/>
        </w:rPr>
        <w:t>The difference between clinician awareness and monitoring practice demonstrated in these studies reflects the wider research–practice gap, where evidence can be available for many years before it is consistently used within clinical care.</w:t>
      </w:r>
      <w:r w:rsidR="005A56F1" w:rsidRPr="005A56F1">
        <w:rPr>
          <w:rFonts w:ascii="Arial" w:hAnsi="Arial" w:cs="Arial"/>
          <w:color w:val="FF0000"/>
          <w:vertAlign w:val="superscript"/>
        </w:rPr>
        <w:t>14,15</w:t>
      </w:r>
      <w:r w:rsidRPr="003A407E">
        <w:rPr>
          <w:rFonts w:ascii="Arial" w:hAnsi="Arial" w:cs="Arial"/>
          <w:color w:val="FF0000"/>
        </w:rPr>
        <w:t xml:space="preserve"> However, the time taken for evidence to influence practice only describes the delay and does not explain why it remains. Implementation science argues that making evidence available is only one part of the process, as its use is affected by how care is organised and supported within the clinical setting</w:t>
      </w:r>
      <w:r>
        <w:rPr>
          <w:rFonts w:ascii="Arial" w:hAnsi="Arial" w:cs="Arial"/>
          <w:color w:val="FF0000"/>
          <w:vertAlign w:val="superscript"/>
        </w:rPr>
        <w:t>16,17,18</w:t>
      </w:r>
      <w:r w:rsidRPr="003A407E">
        <w:rPr>
          <w:rFonts w:ascii="Arial" w:hAnsi="Arial" w:cs="Arial"/>
          <w:color w:val="FF0000"/>
        </w:rPr>
        <w:t xml:space="preserve"> The continued use of a practice also depends on whether it can be maintained as part of normal clinical care.</w:t>
      </w:r>
      <w:r w:rsidR="005A56F1" w:rsidRPr="005A56F1">
        <w:rPr>
          <w:rFonts w:ascii="Arial" w:hAnsi="Arial" w:cs="Arial"/>
          <w:color w:val="FF0000"/>
          <w:vertAlign w:val="superscript"/>
        </w:rPr>
        <w:t>19</w:t>
      </w:r>
      <w:r w:rsidRPr="003A407E">
        <w:rPr>
          <w:rFonts w:ascii="Arial" w:hAnsi="Arial" w:cs="Arial"/>
          <w:color w:val="FF0000"/>
        </w:rPr>
        <w:t xml:space="preserve"> Vitamin B</w:t>
      </w:r>
      <w:r w:rsidRPr="003A407E">
        <w:rPr>
          <w:rFonts w:ascii="Arial" w:hAnsi="Arial" w:cs="Arial"/>
          <w:color w:val="FF0000"/>
          <w:vertAlign w:val="subscript"/>
        </w:rPr>
        <w:t>12</w:t>
      </w:r>
      <w:r w:rsidRPr="003A407E">
        <w:rPr>
          <w:rFonts w:ascii="Arial" w:hAnsi="Arial" w:cs="Arial"/>
          <w:color w:val="FF0000"/>
        </w:rPr>
        <w:t xml:space="preserve"> monitoring </w:t>
      </w:r>
      <w:r>
        <w:rPr>
          <w:rFonts w:ascii="Arial" w:hAnsi="Arial" w:cs="Arial"/>
          <w:color w:val="FF0000"/>
        </w:rPr>
        <w:t>is a good example of</w:t>
      </w:r>
      <w:r w:rsidRPr="003A407E">
        <w:rPr>
          <w:rFonts w:ascii="Arial" w:hAnsi="Arial" w:cs="Arial"/>
          <w:color w:val="FF0000"/>
        </w:rPr>
        <w:t xml:space="preserve"> this problem, as </w:t>
      </w:r>
      <w:r w:rsidRPr="003A407E">
        <w:rPr>
          <w:rFonts w:ascii="Arial" w:hAnsi="Arial" w:cs="Arial"/>
          <w:color w:val="FF0000"/>
        </w:rPr>
        <w:lastRenderedPageBreak/>
        <w:t>the guidance recommends periodic monitoring but does not explain how monitoring should be organised.⁷ The testing interval remains unclear and responsibility for the test has not been defined</w:t>
      </w:r>
      <w:r w:rsidR="003D477B">
        <w:rPr>
          <w:rFonts w:ascii="Arial" w:hAnsi="Arial" w:cs="Arial"/>
          <w:color w:val="FF0000"/>
        </w:rPr>
        <w:t>, with c</w:t>
      </w:r>
      <w:r w:rsidRPr="003A407E">
        <w:rPr>
          <w:rFonts w:ascii="Arial" w:hAnsi="Arial" w:cs="Arial"/>
          <w:color w:val="FF0000"/>
        </w:rPr>
        <w:t xml:space="preserve">linicians and practices </w:t>
      </w:r>
      <w:r w:rsidR="003D477B">
        <w:rPr>
          <w:rFonts w:ascii="Arial" w:hAnsi="Arial" w:cs="Arial"/>
          <w:color w:val="FF0000"/>
        </w:rPr>
        <w:t xml:space="preserve">being </w:t>
      </w:r>
      <w:r w:rsidRPr="003A407E">
        <w:rPr>
          <w:rFonts w:ascii="Arial" w:hAnsi="Arial" w:cs="Arial"/>
          <w:color w:val="FF0000"/>
        </w:rPr>
        <w:t>left to decide how the recommendation should be applied within the existing organisation of diabetes care. The guidance is available and the risk is known, but there is no agreed process for making monitoring part of routine practice</w:t>
      </w:r>
      <w:r w:rsidR="009E201A" w:rsidRPr="009E201A">
        <w:rPr>
          <w:rFonts w:ascii="Arial" w:hAnsi="Arial" w:cs="Arial"/>
          <w:color w:val="FF0000"/>
        </w:rPr>
        <w:t>.</w:t>
      </w:r>
      <w:commentRangeEnd w:id="3"/>
      <w:r w:rsidRPr="009E201A">
        <w:rPr>
          <w:rStyle w:val="CommentReference"/>
          <w:rFonts w:ascii="Arial" w:hAnsi="Arial" w:cs="Arial"/>
          <w:color w:val="FF0000"/>
          <w:sz w:val="22"/>
          <w:szCs w:val="22"/>
        </w:rPr>
        <w:commentReference w:id="3"/>
      </w:r>
    </w:p>
    <w:p w14:paraId="0943BB60" w14:textId="77777777" w:rsidR="009E201A" w:rsidRPr="009E201A" w:rsidRDefault="009E201A" w:rsidP="009E201A">
      <w:pPr>
        <w:spacing w:line="360" w:lineRule="auto"/>
        <w:rPr>
          <w:rFonts w:ascii="Arial" w:hAnsi="Arial" w:cs="Arial"/>
          <w:color w:val="FF0000"/>
        </w:rPr>
      </w:pPr>
      <w:r w:rsidRPr="009E201A">
        <w:rPr>
          <w:rFonts w:ascii="Arial" w:hAnsi="Arial" w:cs="Arial"/>
          <w:color w:val="FF0000"/>
        </w:rPr>
        <w:t>The uncertainty surrounding the organisation of vitamin B</w:t>
      </w:r>
      <w:r w:rsidRPr="00AE00E1">
        <w:rPr>
          <w:rFonts w:ascii="Arial" w:hAnsi="Arial" w:cs="Arial"/>
          <w:color w:val="FF0000"/>
          <w:vertAlign w:val="subscript"/>
        </w:rPr>
        <w:t>12</w:t>
      </w:r>
      <w:r w:rsidRPr="009E201A">
        <w:rPr>
          <w:rFonts w:ascii="Arial" w:hAnsi="Arial" w:cs="Arial"/>
          <w:color w:val="FF0000"/>
        </w:rPr>
        <w:t xml:space="preserve"> monitoring is </w:t>
      </w:r>
      <w:r w:rsidR="00AE00E1">
        <w:rPr>
          <w:rFonts w:ascii="Arial" w:hAnsi="Arial" w:cs="Arial"/>
          <w:color w:val="FF0000"/>
        </w:rPr>
        <w:t xml:space="preserve">both </w:t>
      </w:r>
      <w:r w:rsidRPr="009E201A">
        <w:rPr>
          <w:rFonts w:ascii="Arial" w:hAnsi="Arial" w:cs="Arial"/>
          <w:color w:val="FF0000"/>
        </w:rPr>
        <w:t xml:space="preserve">present within </w:t>
      </w:r>
      <w:r w:rsidR="00AE00E1">
        <w:rPr>
          <w:rFonts w:ascii="Arial" w:hAnsi="Arial" w:cs="Arial"/>
          <w:color w:val="FF0000"/>
        </w:rPr>
        <w:t>the</w:t>
      </w:r>
      <w:r w:rsidRPr="009E201A">
        <w:rPr>
          <w:rFonts w:ascii="Arial" w:hAnsi="Arial" w:cs="Arial"/>
          <w:color w:val="FF0000"/>
        </w:rPr>
        <w:t xml:space="preserve"> UK and </w:t>
      </w:r>
      <w:r w:rsidR="00AE00E1">
        <w:rPr>
          <w:rFonts w:ascii="Arial" w:hAnsi="Arial" w:cs="Arial"/>
          <w:color w:val="FF0000"/>
        </w:rPr>
        <w:t xml:space="preserve">other </w:t>
      </w:r>
      <w:r w:rsidRPr="009E201A">
        <w:rPr>
          <w:rFonts w:ascii="Arial" w:hAnsi="Arial" w:cs="Arial"/>
          <w:color w:val="FF0000"/>
        </w:rPr>
        <w:t xml:space="preserve">international recommendations. The 2026 American Diabetes Association </w:t>
      </w:r>
      <w:r w:rsidR="00AE00E1">
        <w:rPr>
          <w:rFonts w:ascii="Arial" w:hAnsi="Arial" w:cs="Arial"/>
          <w:color w:val="FF0000"/>
        </w:rPr>
        <w:t xml:space="preserve">(ADA) </w:t>
      </w:r>
      <w:r w:rsidRPr="009E201A">
        <w:rPr>
          <w:rFonts w:ascii="Arial" w:hAnsi="Arial" w:cs="Arial"/>
          <w:color w:val="FF0000"/>
        </w:rPr>
        <w:t>Standards of Care recommend that periodic assessment of vitamin B</w:t>
      </w:r>
      <w:r w:rsidRPr="00AE00E1">
        <w:rPr>
          <w:rFonts w:ascii="Arial" w:hAnsi="Arial" w:cs="Arial"/>
          <w:color w:val="FF0000"/>
          <w:vertAlign w:val="subscript"/>
        </w:rPr>
        <w:t>12</w:t>
      </w:r>
      <w:r w:rsidRPr="009E201A">
        <w:rPr>
          <w:rFonts w:ascii="Arial" w:hAnsi="Arial" w:cs="Arial"/>
          <w:color w:val="FF0000"/>
        </w:rPr>
        <w:t xml:space="preserve"> should be considered in people taking metformin over the longer term, particularly where anaemia or peripheral neuropathy is present.</w:t>
      </w:r>
      <w:r w:rsidRPr="00AE00E1">
        <w:rPr>
          <w:rFonts w:ascii="Arial" w:hAnsi="Arial" w:cs="Arial"/>
          <w:color w:val="FF0000"/>
          <w:vertAlign w:val="superscript"/>
        </w:rPr>
        <w:t>20</w:t>
      </w:r>
      <w:r w:rsidRPr="009E201A">
        <w:rPr>
          <w:rFonts w:ascii="Arial" w:hAnsi="Arial" w:cs="Arial"/>
          <w:color w:val="FF0000"/>
        </w:rPr>
        <w:t xml:space="preserve"> This is broadly consistent with the MHRA advice to test symptomatic patients and consider periodic monitoring in those with recognised risk factors.</w:t>
      </w:r>
      <w:r w:rsidRPr="00AE00E1">
        <w:rPr>
          <w:rFonts w:ascii="Arial" w:hAnsi="Arial" w:cs="Arial"/>
          <w:color w:val="FF0000"/>
          <w:vertAlign w:val="superscript"/>
        </w:rPr>
        <w:t>7,20</w:t>
      </w:r>
      <w:r w:rsidRPr="009E201A">
        <w:rPr>
          <w:rFonts w:ascii="Arial" w:hAnsi="Arial" w:cs="Arial"/>
          <w:color w:val="FF0000"/>
        </w:rPr>
        <w:t xml:space="preserve"> However, neither recommendation defines a testing interval or establishes how responsibility for requesting and following up the test should be organised. This comparison is important because inconsistent monitoring cannot be explained only by limited engagement with the MHRA alert</w:t>
      </w:r>
      <w:r w:rsidR="00AE00E1" w:rsidRPr="00AE00E1">
        <w:rPr>
          <w:rFonts w:ascii="Arial" w:hAnsi="Arial" w:cs="Arial"/>
          <w:color w:val="FF0000"/>
          <w:vertAlign w:val="superscript"/>
        </w:rPr>
        <w:t>7</w:t>
      </w:r>
      <w:r w:rsidRPr="009E201A">
        <w:rPr>
          <w:rFonts w:ascii="Arial" w:hAnsi="Arial" w:cs="Arial"/>
          <w:color w:val="FF0000"/>
        </w:rPr>
        <w:t xml:space="preserve">. The guidance recognises the clinical risk, but part of its translation into practice is left to individual clinicians and local services. The MHRA </w:t>
      </w:r>
      <w:r w:rsidR="00AE00E1">
        <w:rPr>
          <w:rFonts w:ascii="Arial" w:hAnsi="Arial" w:cs="Arial"/>
          <w:color w:val="FF0000"/>
        </w:rPr>
        <w:t>alert</w:t>
      </w:r>
      <w:r w:rsidR="00AE00E1" w:rsidRPr="00AE00E1">
        <w:rPr>
          <w:rFonts w:ascii="Arial" w:hAnsi="Arial" w:cs="Arial"/>
          <w:color w:val="FF0000"/>
          <w:vertAlign w:val="superscript"/>
        </w:rPr>
        <w:t>7</w:t>
      </w:r>
      <w:r w:rsidRPr="00AE00E1">
        <w:rPr>
          <w:rFonts w:ascii="Arial" w:hAnsi="Arial" w:cs="Arial"/>
          <w:color w:val="FF0000"/>
          <w:vertAlign w:val="superscript"/>
        </w:rPr>
        <w:t xml:space="preserve"> </w:t>
      </w:r>
      <w:r w:rsidRPr="009E201A">
        <w:rPr>
          <w:rFonts w:ascii="Arial" w:hAnsi="Arial" w:cs="Arial"/>
          <w:color w:val="FF0000"/>
        </w:rPr>
        <w:t>remains the specific focus of this study because it established the current UK safety recommendation and provided the basis for examining its implementation within UK primary care.</w:t>
      </w:r>
    </w:p>
    <w:p w14:paraId="0677F71E" w14:textId="77777777" w:rsidR="009E201A" w:rsidRPr="00D01A51" w:rsidRDefault="006A05F6" w:rsidP="002B699E">
      <w:pPr>
        <w:spacing w:line="360" w:lineRule="auto"/>
        <w:rPr>
          <w:rFonts w:ascii="Arial" w:hAnsi="Arial" w:cs="Arial"/>
        </w:rPr>
      </w:pPr>
      <w:commentRangeStart w:id="4"/>
      <w:r w:rsidRPr="006A05F6">
        <w:rPr>
          <w:rFonts w:ascii="Arial" w:hAnsi="Arial" w:cs="Arial"/>
          <w:color w:val="FF0000"/>
        </w:rPr>
        <w:t>The quantitative studies identified how often vitamin B</w:t>
      </w:r>
      <w:r w:rsidRPr="006A05F6">
        <w:rPr>
          <w:rFonts w:ascii="Arial" w:hAnsi="Arial" w:cs="Arial"/>
          <w:color w:val="FF0000"/>
          <w:vertAlign w:val="subscript"/>
        </w:rPr>
        <w:t>12</w:t>
      </w:r>
      <w:r w:rsidRPr="006A05F6">
        <w:rPr>
          <w:rFonts w:ascii="Arial" w:hAnsi="Arial" w:cs="Arial"/>
          <w:color w:val="FF0000"/>
        </w:rPr>
        <w:t xml:space="preserve"> testing was undertaken and what clinicians reported about their knowledge and practice. However, they could not explain how decisions about monitoring were made during routine clinical work or how responsibility for testing was managed within primary care. Therefore, a qualitative study using semi</w:t>
      </w:r>
      <w:r>
        <w:rPr>
          <w:rFonts w:ascii="Arial" w:hAnsi="Arial" w:cs="Arial"/>
          <w:color w:val="FF0000"/>
        </w:rPr>
        <w:t xml:space="preserve"> </w:t>
      </w:r>
      <w:r w:rsidRPr="006A05F6">
        <w:rPr>
          <w:rFonts w:ascii="Arial" w:hAnsi="Arial" w:cs="Arial"/>
          <w:color w:val="FF0000"/>
        </w:rPr>
        <w:t>structured interviews was undertaken to explore clinician knowledge and awareness of the MHRA alert⁷ on metformin-associated vitamin B</w:t>
      </w:r>
      <w:r w:rsidRPr="006A05F6">
        <w:rPr>
          <w:rFonts w:ascii="Arial" w:hAnsi="Arial" w:cs="Arial"/>
          <w:color w:val="FF0000"/>
          <w:vertAlign w:val="subscript"/>
        </w:rPr>
        <w:t>12</w:t>
      </w:r>
      <w:r w:rsidRPr="006A05F6">
        <w:rPr>
          <w:rFonts w:ascii="Arial" w:hAnsi="Arial" w:cs="Arial"/>
          <w:color w:val="FF0000"/>
        </w:rPr>
        <w:t xml:space="preserve"> deficiency and to examine how clinicians interpreted and applied the guidance within routine primary care. The study extends the previous research by examining why awareness of the guidance had not resulted in a consistent approach to monitoring.</w:t>
      </w:r>
      <w:commentRangeEnd w:id="4"/>
      <w:r w:rsidRPr="00D01A51">
        <w:rPr>
          <w:rStyle w:val="CommentReference"/>
          <w:rFonts w:ascii="Arial" w:hAnsi="Arial" w:cs="Arial"/>
          <w:sz w:val="22"/>
          <w:szCs w:val="22"/>
        </w:rPr>
        <w:commentReference w:id="4"/>
      </w:r>
    </w:p>
    <w:p w14:paraId="434FF7F0" w14:textId="77777777" w:rsidR="002B699E" w:rsidRPr="00D01A51" w:rsidRDefault="002B699E" w:rsidP="002B699E">
      <w:pPr>
        <w:spacing w:line="360" w:lineRule="auto"/>
        <w:rPr>
          <w:rFonts w:ascii="Arial" w:hAnsi="Arial" w:cs="Arial"/>
          <w:b/>
          <w:bCs/>
        </w:rPr>
      </w:pPr>
      <w:r w:rsidRPr="00D01A51">
        <w:rPr>
          <w:rFonts w:ascii="Arial" w:hAnsi="Arial" w:cs="Arial"/>
          <w:b/>
          <w:bCs/>
        </w:rPr>
        <w:t>Method</w:t>
      </w:r>
    </w:p>
    <w:p w14:paraId="6DE79B4F" w14:textId="77777777" w:rsidR="002B699E" w:rsidRPr="00D01A51" w:rsidRDefault="002B699E" w:rsidP="002B699E">
      <w:pPr>
        <w:spacing w:line="360" w:lineRule="auto"/>
        <w:rPr>
          <w:rFonts w:ascii="Arial" w:hAnsi="Arial" w:cs="Arial"/>
          <w:b/>
          <w:bCs/>
        </w:rPr>
      </w:pPr>
      <w:r w:rsidRPr="00D01A51">
        <w:rPr>
          <w:rFonts w:ascii="Arial" w:hAnsi="Arial" w:cs="Arial"/>
          <w:b/>
          <w:bCs/>
        </w:rPr>
        <w:t>Study design</w:t>
      </w:r>
    </w:p>
    <w:p w14:paraId="693E1FD5" w14:textId="77777777" w:rsidR="002B699E" w:rsidRPr="00D01A51" w:rsidRDefault="002B699E" w:rsidP="002B699E">
      <w:pPr>
        <w:spacing w:line="360" w:lineRule="auto"/>
        <w:rPr>
          <w:rFonts w:ascii="Arial" w:hAnsi="Arial" w:cs="Arial"/>
        </w:rPr>
      </w:pPr>
      <w:r w:rsidRPr="00D01A51">
        <w:rPr>
          <w:rFonts w:ascii="Arial" w:hAnsi="Arial" w:cs="Arial"/>
        </w:rPr>
        <w:t xml:space="preserve">A qualitative approach using semi-structured interviews was selected to facilitate in-depth exploration of clinician perspectives, experiences, and decision-making. The study was informed by a critical realist epistemological position, recognising that clinical practice </w:t>
      </w:r>
      <w:r w:rsidRPr="00D01A51">
        <w:rPr>
          <w:rFonts w:ascii="Arial" w:hAnsi="Arial" w:cs="Arial"/>
        </w:rPr>
        <w:lastRenderedPageBreak/>
        <w:t>reflects an underlying reality, while acknowledging that clinicians’ experiences and interpretations are shaped by contextual, organisational, and individual factors</w:t>
      </w:r>
      <w:r w:rsidRPr="00D01A51">
        <w:rPr>
          <w:rFonts w:ascii="Arial" w:hAnsi="Arial" w:cs="Arial"/>
          <w:vertAlign w:val="superscript"/>
        </w:rPr>
        <w:t>2</w:t>
      </w:r>
      <w:r w:rsidR="00876398">
        <w:rPr>
          <w:rFonts w:ascii="Arial" w:hAnsi="Arial" w:cs="Arial"/>
          <w:vertAlign w:val="superscript"/>
        </w:rPr>
        <w:t>1</w:t>
      </w:r>
      <w:r w:rsidRPr="00D01A51">
        <w:rPr>
          <w:rFonts w:ascii="Arial" w:hAnsi="Arial" w:cs="Arial"/>
        </w:rPr>
        <w:t>. Holding this position was considered appropriate given the study’s focus on understanding how evidence is interpreted and enacted within real-world clinical settings.</w:t>
      </w:r>
    </w:p>
    <w:p w14:paraId="0F580B38" w14:textId="77777777" w:rsidR="002B699E" w:rsidRPr="00D01A51" w:rsidRDefault="002B699E" w:rsidP="002B699E">
      <w:pPr>
        <w:spacing w:line="360" w:lineRule="auto"/>
        <w:rPr>
          <w:rFonts w:ascii="Arial" w:hAnsi="Arial" w:cs="Arial"/>
        </w:rPr>
      </w:pPr>
      <w:r w:rsidRPr="00D01A51">
        <w:rPr>
          <w:rFonts w:ascii="Arial" w:hAnsi="Arial" w:cs="Arial"/>
        </w:rPr>
        <w:t>The lead researcher is an Advanced Clinical Practitioner working within primary care and was involved in previous studies which provided background data for this study. This positioned the researcher as both an insider and investigator. Reflexivity was maintained throughout the research process, with ongoing consideration of how prior clinical experience and familiarity with the study context may have influenced data interpretation.</w:t>
      </w:r>
    </w:p>
    <w:p w14:paraId="3FB318D8" w14:textId="77777777" w:rsidR="002B699E" w:rsidRPr="00D01A51" w:rsidRDefault="002B699E" w:rsidP="002B699E">
      <w:pPr>
        <w:spacing w:line="360" w:lineRule="auto"/>
        <w:rPr>
          <w:rFonts w:ascii="Arial" w:hAnsi="Arial" w:cs="Arial"/>
          <w:b/>
          <w:bCs/>
        </w:rPr>
      </w:pPr>
      <w:r w:rsidRPr="00D01A51">
        <w:rPr>
          <w:rFonts w:ascii="Arial" w:hAnsi="Arial" w:cs="Arial"/>
          <w:b/>
          <w:bCs/>
        </w:rPr>
        <w:t>Recruitment and sampling</w:t>
      </w:r>
    </w:p>
    <w:p w14:paraId="54CCE478" w14:textId="77777777" w:rsidR="00962653" w:rsidRPr="00962653" w:rsidRDefault="00962653" w:rsidP="00962653">
      <w:pPr>
        <w:spacing w:line="360" w:lineRule="auto"/>
        <w:rPr>
          <w:rFonts w:ascii="Arial" w:hAnsi="Arial" w:cs="Arial"/>
        </w:rPr>
      </w:pPr>
      <w:r w:rsidRPr="00962653">
        <w:rPr>
          <w:rFonts w:ascii="Arial" w:hAnsi="Arial" w:cs="Arial"/>
        </w:rPr>
        <w:t>The study was conducted within general practice settings in the South-West of England, which includes practices located in urban, coastal and rural areas. Restricting the study to this region reflected the geographical scope of the preceding survey and the time and resources available for the doctoral project. The study was not intended to provide a representative sample of UK primary care, with the regional setting reported so that the transferability of the findings to other primary care settings could be considered.</w:t>
      </w:r>
    </w:p>
    <w:p w14:paraId="5365ACCE" w14:textId="77777777" w:rsidR="00962653" w:rsidRPr="00962653" w:rsidRDefault="00E53A27" w:rsidP="00962653">
      <w:pPr>
        <w:spacing w:line="360" w:lineRule="auto"/>
        <w:rPr>
          <w:rFonts w:ascii="Arial" w:hAnsi="Arial" w:cs="Arial"/>
        </w:rPr>
      </w:pPr>
      <w:r>
        <w:rPr>
          <w:rFonts w:ascii="Arial" w:hAnsi="Arial" w:cs="Arial"/>
        </w:rPr>
        <w:t>The p</w:t>
      </w:r>
      <w:r w:rsidRPr="00962653">
        <w:rPr>
          <w:rFonts w:ascii="Arial" w:hAnsi="Arial" w:cs="Arial"/>
        </w:rPr>
        <w:t>articipants</w:t>
      </w:r>
      <w:r>
        <w:rPr>
          <w:rFonts w:ascii="Arial" w:hAnsi="Arial" w:cs="Arial"/>
        </w:rPr>
        <w:t xml:space="preserve"> had to be registered healthcare professionals and</w:t>
      </w:r>
      <w:r w:rsidR="00962653" w:rsidRPr="00962653">
        <w:rPr>
          <w:rFonts w:ascii="Arial" w:hAnsi="Arial" w:cs="Arial"/>
        </w:rPr>
        <w:t xml:space="preserve"> were eligible if they worked in general practice and were involved in the management of patients with T2DM treated with metformin. </w:t>
      </w:r>
      <w:r w:rsidRPr="00E53A27">
        <w:rPr>
          <w:rFonts w:ascii="Arial" w:hAnsi="Arial" w:cs="Arial"/>
          <w:color w:val="FF0000"/>
        </w:rPr>
        <w:t>The r</w:t>
      </w:r>
      <w:r w:rsidR="00962653" w:rsidRPr="00E53A27">
        <w:rPr>
          <w:rFonts w:ascii="Arial" w:hAnsi="Arial" w:cs="Arial"/>
          <w:color w:val="FF0000"/>
        </w:rPr>
        <w:t>ecruitment took place through the preceding survey, where respondents could indicate whether they were willing to participate in a follow-up interview</w:t>
      </w:r>
      <w:r w:rsidRPr="00E53A27">
        <w:rPr>
          <w:rFonts w:ascii="Arial" w:hAnsi="Arial" w:cs="Arial"/>
          <w:color w:val="FF0000"/>
        </w:rPr>
        <w:t xml:space="preserve"> by submitting their details at the end of the survey.</w:t>
      </w:r>
      <w:r w:rsidR="00962653" w:rsidRPr="00E53A27">
        <w:rPr>
          <w:rFonts w:ascii="Arial" w:hAnsi="Arial" w:cs="Arial"/>
          <w:color w:val="FF0000"/>
        </w:rPr>
        <w:t xml:space="preserve"> </w:t>
      </w:r>
    </w:p>
    <w:p w14:paraId="7EA3332C" w14:textId="77777777" w:rsidR="002C23FD" w:rsidRDefault="002C23FD" w:rsidP="002B699E">
      <w:pPr>
        <w:spacing w:line="360" w:lineRule="auto"/>
        <w:rPr>
          <w:rFonts w:ascii="Arial" w:hAnsi="Arial" w:cs="Arial"/>
          <w:color w:val="FF0000"/>
        </w:rPr>
      </w:pPr>
      <w:commentRangeStart w:id="5"/>
      <w:r w:rsidRPr="002C23FD">
        <w:rPr>
          <w:rFonts w:ascii="Arial" w:hAnsi="Arial" w:cs="Arial"/>
          <w:color w:val="FF0000"/>
        </w:rPr>
        <w:t>All 18 clinicians who volunteered were interviewed and the final sample was therefore a convenience sample, as it depended on which respondents to the survey decided to take part. The participants were not selected according to professional role or practice setting and the range of professional roles within the final sample was a result of those clinicians who volunteered. The final sample size was determined by the number of clinicians who volunteered during the recruitment period and data saturation was not used to decide when recruitment should end.</w:t>
      </w:r>
      <w:commentRangeEnd w:id="5"/>
      <w:r>
        <w:rPr>
          <w:rStyle w:val="CommentReference"/>
          <w:rFonts w:ascii="Arial" w:hAnsi="Arial" w:cs="Arial"/>
          <w:color w:val="FF0000"/>
          <w:sz w:val="22"/>
          <w:szCs w:val="22"/>
        </w:rPr>
        <w:commentReference w:id="5"/>
      </w:r>
    </w:p>
    <w:p w14:paraId="55EF251B" w14:textId="77777777" w:rsidR="002B699E" w:rsidRPr="00D01A51" w:rsidRDefault="002B699E" w:rsidP="002B699E">
      <w:pPr>
        <w:spacing w:line="360" w:lineRule="auto"/>
        <w:rPr>
          <w:rFonts w:ascii="Arial" w:hAnsi="Arial" w:cs="Arial"/>
          <w:b/>
          <w:bCs/>
        </w:rPr>
      </w:pPr>
      <w:r w:rsidRPr="00D01A51">
        <w:rPr>
          <w:rFonts w:ascii="Arial" w:hAnsi="Arial" w:cs="Arial"/>
          <w:b/>
          <w:bCs/>
        </w:rPr>
        <w:t>Data collection</w:t>
      </w:r>
    </w:p>
    <w:p w14:paraId="526F5C0B" w14:textId="77777777" w:rsidR="00E913AF" w:rsidRPr="00E913AF" w:rsidRDefault="00E913AF" w:rsidP="00E913AF">
      <w:pPr>
        <w:spacing w:line="360" w:lineRule="auto"/>
        <w:rPr>
          <w:rFonts w:ascii="Arial" w:hAnsi="Arial" w:cs="Arial"/>
        </w:rPr>
      </w:pPr>
      <w:commentRangeStart w:id="6"/>
      <w:r>
        <w:rPr>
          <w:rFonts w:ascii="Arial" w:hAnsi="Arial" w:cs="Arial"/>
        </w:rPr>
        <w:t>The d</w:t>
      </w:r>
      <w:r w:rsidRPr="00E913AF">
        <w:rPr>
          <w:rFonts w:ascii="Arial" w:hAnsi="Arial" w:cs="Arial"/>
        </w:rPr>
        <w:t>ata w</w:t>
      </w:r>
      <w:r>
        <w:rPr>
          <w:rFonts w:ascii="Arial" w:hAnsi="Arial" w:cs="Arial"/>
        </w:rPr>
        <w:t>as</w:t>
      </w:r>
      <w:r w:rsidRPr="00E913AF">
        <w:rPr>
          <w:rFonts w:ascii="Arial" w:hAnsi="Arial" w:cs="Arial"/>
        </w:rPr>
        <w:t xml:space="preserve"> collected through semi-structured interviews conducted remotely via a secure online platform between October 2025 and January 2026. </w:t>
      </w:r>
      <w:r w:rsidRPr="00145C0E">
        <w:rPr>
          <w:rFonts w:ascii="Arial" w:hAnsi="Arial" w:cs="Arial"/>
          <w:color w:val="FF0000"/>
        </w:rPr>
        <w:t>The interviews were conducted remotely due to the geographical distances across the South-West and the practical difficulties of arranging interviews around clinicians’ availability</w:t>
      </w:r>
      <w:r w:rsidRPr="00E913AF">
        <w:rPr>
          <w:rFonts w:ascii="Arial" w:hAnsi="Arial" w:cs="Arial"/>
        </w:rPr>
        <w:t xml:space="preserve">. An interview topic guide was </w:t>
      </w:r>
      <w:r w:rsidRPr="00E913AF">
        <w:rPr>
          <w:rFonts w:ascii="Arial" w:hAnsi="Arial" w:cs="Arial"/>
        </w:rPr>
        <w:lastRenderedPageBreak/>
        <w:t>developed based on findings from earlier phases of the study and relevant literature on guideline implementation, ensuring that the interviews were grounded in both the empirical findings and existing evidence.</w:t>
      </w:r>
      <w:commentRangeEnd w:id="6"/>
      <w:r w:rsidRPr="00E913AF">
        <w:rPr>
          <w:rStyle w:val="CommentReference"/>
          <w:rFonts w:ascii="Arial" w:hAnsi="Arial" w:cs="Arial"/>
          <w:sz w:val="22"/>
          <w:szCs w:val="22"/>
        </w:rPr>
        <w:commentReference w:id="6"/>
      </w:r>
    </w:p>
    <w:p w14:paraId="152AE6AB" w14:textId="77777777" w:rsidR="00E913AF" w:rsidRPr="00E913AF" w:rsidRDefault="00E913AF" w:rsidP="00E913AF">
      <w:pPr>
        <w:spacing w:line="360" w:lineRule="auto"/>
        <w:rPr>
          <w:rFonts w:ascii="Arial" w:hAnsi="Arial" w:cs="Arial"/>
        </w:rPr>
      </w:pPr>
      <w:r w:rsidRPr="00E913AF">
        <w:rPr>
          <w:rFonts w:ascii="Arial" w:hAnsi="Arial" w:cs="Arial"/>
        </w:rPr>
        <w:t xml:space="preserve">The topic guide explored clinician awareness and understanding of the MHRA </w:t>
      </w:r>
      <w:r>
        <w:rPr>
          <w:rFonts w:ascii="Arial" w:hAnsi="Arial" w:cs="Arial"/>
        </w:rPr>
        <w:t>alert</w:t>
      </w:r>
      <w:r w:rsidRPr="00E913AF">
        <w:rPr>
          <w:rFonts w:ascii="Arial" w:hAnsi="Arial" w:cs="Arial"/>
        </w:rPr>
        <w:t>,</w:t>
      </w:r>
      <w:r w:rsidRPr="00E913AF">
        <w:rPr>
          <w:rFonts w:ascii="Arial" w:hAnsi="Arial" w:cs="Arial"/>
          <w:vertAlign w:val="superscript"/>
        </w:rPr>
        <w:t>7</w:t>
      </w:r>
      <w:r w:rsidRPr="00E913AF">
        <w:rPr>
          <w:rFonts w:ascii="Arial" w:hAnsi="Arial" w:cs="Arial"/>
        </w:rPr>
        <w:t xml:space="preserve"> perceptions of the clinical importance of vitamin B</w:t>
      </w:r>
      <w:r w:rsidRPr="00E913AF">
        <w:rPr>
          <w:rFonts w:ascii="Arial" w:hAnsi="Arial" w:cs="Arial"/>
          <w:vertAlign w:val="subscript"/>
        </w:rPr>
        <w:t>12</w:t>
      </w:r>
      <w:r w:rsidRPr="00E913AF">
        <w:rPr>
          <w:rFonts w:ascii="Arial" w:hAnsi="Arial" w:cs="Arial"/>
        </w:rPr>
        <w:t xml:space="preserve"> monitoring, current testing and monitoring practices, and perceived barriers and facilitators to implementation within routine care</w:t>
      </w:r>
      <w:r>
        <w:rPr>
          <w:rFonts w:ascii="Arial" w:hAnsi="Arial" w:cs="Arial"/>
        </w:rPr>
        <w:t xml:space="preserve"> and all of the i</w:t>
      </w:r>
      <w:r w:rsidRPr="00E913AF">
        <w:rPr>
          <w:rFonts w:ascii="Arial" w:hAnsi="Arial" w:cs="Arial"/>
        </w:rPr>
        <w:t>nterviews were conducted by the lead researcher (IP).</w:t>
      </w:r>
    </w:p>
    <w:p w14:paraId="29DFEB57" w14:textId="77777777" w:rsidR="00145C0E" w:rsidRPr="00E913AF" w:rsidRDefault="00E913AF" w:rsidP="00E913AF">
      <w:pPr>
        <w:spacing w:line="360" w:lineRule="auto"/>
        <w:rPr>
          <w:rFonts w:ascii="Arial" w:hAnsi="Arial" w:cs="Arial"/>
        </w:rPr>
      </w:pPr>
      <w:r w:rsidRPr="00E913AF">
        <w:rPr>
          <w:rFonts w:ascii="Arial" w:hAnsi="Arial" w:cs="Arial"/>
        </w:rPr>
        <w:t xml:space="preserve">All interviews were audio-recorded with participant consent and transcribed verbatim, with the interviews lasting approximately 30 minutes and no repeat interviews </w:t>
      </w:r>
      <w:r>
        <w:rPr>
          <w:rFonts w:ascii="Arial" w:hAnsi="Arial" w:cs="Arial"/>
        </w:rPr>
        <w:t xml:space="preserve">were </w:t>
      </w:r>
      <w:r w:rsidRPr="00E913AF">
        <w:rPr>
          <w:rFonts w:ascii="Arial" w:hAnsi="Arial" w:cs="Arial"/>
        </w:rPr>
        <w:t xml:space="preserve">undertaken. </w:t>
      </w:r>
      <w:r w:rsidR="00145C0E" w:rsidRPr="00145C0E">
        <w:rPr>
          <w:rFonts w:ascii="Arial" w:hAnsi="Arial" w:cs="Arial"/>
          <w:color w:val="FF0000"/>
        </w:rPr>
        <w:t>The field notes were recorded following each interview to record the lead researcher’s initial thoughts and any reflections on the interview. Following transcription, copies of the interview transcripts were returned to participants, and they were asked to return the transcript if any part did not appear accurate or if they wanted any corrections to be made, with no corrections requested</w:t>
      </w:r>
      <w:r w:rsidR="00145C0E">
        <w:rPr>
          <w:rFonts w:ascii="Arial" w:hAnsi="Arial" w:cs="Arial"/>
          <w:color w:val="FF0000"/>
        </w:rPr>
        <w:t>.</w:t>
      </w:r>
      <w:r w:rsidR="00145C0E" w:rsidRPr="00145C0E">
        <w:rPr>
          <w:rFonts w:ascii="Arial" w:hAnsi="Arial" w:cs="Arial"/>
          <w:color w:val="FF0000"/>
        </w:rPr>
        <w:t xml:space="preserve"> </w:t>
      </w:r>
    </w:p>
    <w:p w14:paraId="0E542B72" w14:textId="77777777" w:rsidR="002B699E" w:rsidRPr="00D01A51" w:rsidRDefault="002B699E" w:rsidP="002B699E">
      <w:pPr>
        <w:spacing w:line="360" w:lineRule="auto"/>
        <w:rPr>
          <w:rFonts w:ascii="Arial" w:hAnsi="Arial" w:cs="Arial"/>
          <w:b/>
          <w:bCs/>
        </w:rPr>
      </w:pPr>
      <w:r w:rsidRPr="00D01A51">
        <w:rPr>
          <w:rFonts w:ascii="Arial" w:hAnsi="Arial" w:cs="Arial"/>
          <w:b/>
          <w:bCs/>
        </w:rPr>
        <w:t>Data analysis</w:t>
      </w:r>
    </w:p>
    <w:p w14:paraId="4E1368CA" w14:textId="77777777" w:rsidR="002B699E" w:rsidRPr="00D55857" w:rsidRDefault="00E251D3" w:rsidP="002B699E">
      <w:pPr>
        <w:spacing w:line="360" w:lineRule="auto"/>
        <w:rPr>
          <w:rFonts w:ascii="Arial" w:hAnsi="Arial" w:cs="Arial"/>
          <w:color w:val="FF0000"/>
        </w:rPr>
      </w:pPr>
      <w:commentRangeStart w:id="7"/>
      <w:r w:rsidRPr="00D55857">
        <w:rPr>
          <w:rFonts w:ascii="Arial" w:hAnsi="Arial" w:cs="Arial"/>
          <w:color w:val="FF0000"/>
        </w:rPr>
        <w:t>The data were analysed using reflexive thematic analysis (RTA), as described by Braun and Clarke,</w:t>
      </w:r>
      <w:r w:rsidRPr="00D55857">
        <w:rPr>
          <w:rFonts w:ascii="Arial" w:hAnsi="Arial" w:cs="Arial"/>
          <w:color w:val="FF0000"/>
          <w:vertAlign w:val="superscript"/>
        </w:rPr>
        <w:t>2</w:t>
      </w:r>
      <w:r w:rsidR="005A56F1">
        <w:rPr>
          <w:rFonts w:ascii="Arial" w:hAnsi="Arial" w:cs="Arial"/>
          <w:color w:val="FF0000"/>
          <w:vertAlign w:val="superscript"/>
        </w:rPr>
        <w:t>2</w:t>
      </w:r>
      <w:r w:rsidRPr="00D55857">
        <w:rPr>
          <w:rFonts w:ascii="Arial" w:hAnsi="Arial" w:cs="Arial"/>
          <w:color w:val="FF0000"/>
          <w:vertAlign w:val="superscript"/>
        </w:rPr>
        <w:t>,2</w:t>
      </w:r>
      <w:r w:rsidR="005A56F1">
        <w:rPr>
          <w:rFonts w:ascii="Arial" w:hAnsi="Arial" w:cs="Arial"/>
          <w:color w:val="FF0000"/>
          <w:vertAlign w:val="superscript"/>
        </w:rPr>
        <w:t>3</w:t>
      </w:r>
      <w:r w:rsidRPr="00D55857">
        <w:rPr>
          <w:rFonts w:ascii="Arial" w:hAnsi="Arial" w:cs="Arial"/>
          <w:color w:val="FF0000"/>
        </w:rPr>
        <w:t xml:space="preserve"> who define RTA as a theoretically flexible method for developing, analysing and interpreting patterns across a qualitative dataset, where the researcher’s position and contribution are recognised as a necessary and unavoidable part of the analytical process.</w:t>
      </w:r>
      <w:r w:rsidRPr="00D55857">
        <w:rPr>
          <w:rFonts w:ascii="Arial" w:hAnsi="Arial" w:cs="Arial"/>
          <w:color w:val="FF0000"/>
          <w:vertAlign w:val="superscript"/>
        </w:rPr>
        <w:t>2</w:t>
      </w:r>
      <w:r w:rsidR="00D55857">
        <w:rPr>
          <w:rFonts w:ascii="Arial" w:hAnsi="Arial" w:cs="Arial"/>
          <w:color w:val="FF0000"/>
          <w:vertAlign w:val="superscript"/>
        </w:rPr>
        <w:t>2</w:t>
      </w:r>
      <w:r w:rsidRPr="00D55857">
        <w:rPr>
          <w:rFonts w:ascii="Arial" w:hAnsi="Arial" w:cs="Arial"/>
          <w:color w:val="FF0000"/>
        </w:rPr>
        <w:t xml:space="preserve"> The flexibility of RTA made it appropriate for examining patterns across the participants’ accounts of how they interpreted and applied the guidance within routine primary care. However, this flexibility also meant that the epistemological position of the study and the part played by the researcher within the analysis needed to be made explicit. In this study, RTA was applied within the critical realist position described above, recognising that participants were describing clinical practice influenced by real organisational and professional conditions, whilst also recognising that their accounts of these conditions and the themes developed from them required interpretation by the researcher. Therefore, the researcher’s subjectivity was recognised throughout the coding and development of the themes and was not treated as something which could be removed from the analysis. The six phases described by Braun and Clarke</w:t>
      </w:r>
      <w:r w:rsidRPr="00D55857">
        <w:rPr>
          <w:rFonts w:ascii="Arial" w:hAnsi="Arial" w:cs="Arial"/>
          <w:color w:val="FF0000"/>
          <w:vertAlign w:val="superscript"/>
        </w:rPr>
        <w:t>22</w:t>
      </w:r>
      <w:r w:rsidRPr="00D55857">
        <w:rPr>
          <w:rFonts w:ascii="Arial" w:hAnsi="Arial" w:cs="Arial"/>
          <w:color w:val="FF0000"/>
        </w:rPr>
        <w:t xml:space="preserve"> provided the structure for the analysis, but these were not used as fixed or separate stages, with the researcher moving between the transcripts, coding and themes throughout the development of the analysis.</w:t>
      </w:r>
      <w:commentRangeEnd w:id="7"/>
      <w:r w:rsidRPr="00D55857">
        <w:rPr>
          <w:rStyle w:val="CommentReference"/>
          <w:rFonts w:ascii="Arial" w:hAnsi="Arial" w:cs="Arial"/>
          <w:color w:val="FF0000"/>
          <w:sz w:val="22"/>
          <w:szCs w:val="22"/>
        </w:rPr>
        <w:commentReference w:id="7"/>
      </w:r>
    </w:p>
    <w:p w14:paraId="59A7E5F2" w14:textId="77777777" w:rsidR="002B699E" w:rsidRPr="00D01A51" w:rsidRDefault="00E251D3" w:rsidP="002B699E">
      <w:pPr>
        <w:spacing w:line="360" w:lineRule="auto"/>
        <w:rPr>
          <w:rFonts w:ascii="Arial" w:hAnsi="Arial" w:cs="Arial"/>
          <w:color w:val="FF0000"/>
        </w:rPr>
      </w:pPr>
      <w:r w:rsidRPr="00E251D3">
        <w:rPr>
          <w:rFonts w:ascii="Arial" w:hAnsi="Arial" w:cs="Arial"/>
        </w:rPr>
        <w:t xml:space="preserve">Following transcription, the first author began the analytical process by reading each transcript carefully and making notes on preliminary thoughts and ideas before coding the </w:t>
      </w:r>
      <w:r w:rsidRPr="00E251D3">
        <w:rPr>
          <w:rFonts w:ascii="Arial" w:hAnsi="Arial" w:cs="Arial"/>
        </w:rPr>
        <w:lastRenderedPageBreak/>
        <w:t xml:space="preserve">transcripts using NVivo 15.2 software. A mixed inductive and semantic approach was used during the initial coding, with the codes developed from the data and phrased closely to the participants’ original accounts. However, the analysis did not remain at this descriptive level, as the codes were compared across the interviews and interpreted further during the development of the themes. </w:t>
      </w:r>
      <w:r w:rsidRPr="00D55857">
        <w:rPr>
          <w:rFonts w:ascii="Arial" w:hAnsi="Arial" w:cs="Arial"/>
          <w:color w:val="FF0000"/>
        </w:rPr>
        <w:t>Throughout the coding, the first author considered how their previous clinical experience within primary care and involvement in the earlier phases of the study may have influenced the interpretation of participants’ responses, with preliminary notes made during the analysis</w:t>
      </w:r>
      <w:r w:rsidR="002B699E" w:rsidRPr="00D01A51">
        <w:rPr>
          <w:rFonts w:ascii="Arial" w:hAnsi="Arial" w:cs="Arial"/>
        </w:rPr>
        <w:t xml:space="preserve">. </w:t>
      </w:r>
      <w:r w:rsidR="002B699E" w:rsidRPr="00D01A51">
        <w:rPr>
          <w:rFonts w:ascii="Arial" w:hAnsi="Arial" w:cs="Arial"/>
          <w:color w:val="000000"/>
        </w:rPr>
        <w:t>See figure 1 for an overview of all the codes and their themes.</w:t>
      </w:r>
    </w:p>
    <w:p w14:paraId="192D6995" w14:textId="77777777" w:rsidR="002B699E" w:rsidRPr="00D01A51" w:rsidRDefault="00BB05C2" w:rsidP="002B699E">
      <w:pPr>
        <w:spacing w:line="360" w:lineRule="auto"/>
        <w:rPr>
          <w:rFonts w:ascii="Arial" w:hAnsi="Arial" w:cs="Arial"/>
        </w:rPr>
      </w:pPr>
      <w:r w:rsidRPr="00BB05C2">
        <w:rPr>
          <w:rFonts w:ascii="Arial" w:hAnsi="Arial" w:cs="Arial"/>
          <w:noProof/>
        </w:rPr>
        <w:drawing>
          <wp:inline distT="0" distB="0" distL="0" distR="0" wp14:anchorId="65916023" wp14:editId="7F266802">
            <wp:extent cx="5731510" cy="3822700"/>
            <wp:effectExtent l="0" t="0" r="2540" b="6350"/>
            <wp:docPr id="1879440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822700"/>
                    </a:xfrm>
                    <a:prstGeom prst="rect">
                      <a:avLst/>
                    </a:prstGeom>
                    <a:noFill/>
                    <a:ln>
                      <a:noFill/>
                    </a:ln>
                  </pic:spPr>
                </pic:pic>
              </a:graphicData>
            </a:graphic>
          </wp:inline>
        </w:drawing>
      </w:r>
    </w:p>
    <w:p w14:paraId="7E38257C" w14:textId="77777777" w:rsidR="002B699E" w:rsidRPr="00D55857" w:rsidRDefault="002B699E" w:rsidP="002B699E">
      <w:pPr>
        <w:spacing w:line="360" w:lineRule="auto"/>
        <w:rPr>
          <w:rFonts w:ascii="Arial" w:hAnsi="Arial" w:cs="Arial"/>
          <w:color w:val="FF0000"/>
        </w:rPr>
      </w:pPr>
      <w:r w:rsidRPr="00D55857">
        <w:rPr>
          <w:rFonts w:ascii="Arial" w:hAnsi="Arial" w:cs="Arial"/>
          <w:color w:val="FF0000"/>
        </w:rPr>
        <w:t>Figure 1 Themes and associated codes</w:t>
      </w:r>
    </w:p>
    <w:p w14:paraId="4B02F444" w14:textId="77777777" w:rsidR="00D55857" w:rsidRPr="00D55857" w:rsidRDefault="00D55857" w:rsidP="002B699E">
      <w:pPr>
        <w:spacing w:line="360" w:lineRule="auto"/>
        <w:rPr>
          <w:rFonts w:ascii="Arial" w:hAnsi="Arial" w:cs="Arial"/>
          <w:color w:val="FF0000"/>
        </w:rPr>
      </w:pPr>
      <w:commentRangeStart w:id="8"/>
      <w:r w:rsidRPr="00D55857">
        <w:rPr>
          <w:rFonts w:ascii="Arial" w:hAnsi="Arial" w:cs="Arial"/>
          <w:color w:val="FF0000"/>
        </w:rPr>
        <w:t xml:space="preserve">Following the initial coding, the first author created a visual map in which codes describing related parts of clinical practice were grouped together, with the map used to develop preliminary categories and themes. The initial search produced a thematic structure of seven themes, which was presented to all authors with an overview of the supporting codes. The first author also presented illustrative extracts from the transcripts to the second author to discuss how the codes and extracts had been interpreted. These discussions questioned and developed the interpretation and were not used to establish agreement between researchers, as the first author remained responsible for the coding and construction of the </w:t>
      </w:r>
      <w:r w:rsidRPr="00D55857">
        <w:rPr>
          <w:rFonts w:ascii="Arial" w:hAnsi="Arial" w:cs="Arial"/>
          <w:color w:val="FF0000"/>
        </w:rPr>
        <w:lastRenderedPageBreak/>
        <w:t xml:space="preserve">themes. Further review of the transcripts, codes and visual map showed that some of the seven themes described closely related parts of the same pattern across the interviews. </w:t>
      </w:r>
      <w:commentRangeEnd w:id="8"/>
      <w:r w:rsidRPr="00D55857">
        <w:rPr>
          <w:rStyle w:val="CommentReference"/>
          <w:rFonts w:ascii="Arial" w:hAnsi="Arial" w:cs="Arial"/>
          <w:color w:val="FF0000"/>
          <w:sz w:val="22"/>
          <w:szCs w:val="22"/>
        </w:rPr>
        <w:commentReference w:id="8"/>
      </w:r>
    </w:p>
    <w:p w14:paraId="4B61B609" w14:textId="227544AE" w:rsidR="00FF6DF3" w:rsidRDefault="00D55857" w:rsidP="002B699E">
      <w:pPr>
        <w:spacing w:line="360" w:lineRule="auto"/>
        <w:rPr>
          <w:rFonts w:ascii="Arial" w:hAnsi="Arial" w:cs="Arial"/>
          <w:color w:val="FF0000"/>
        </w:rPr>
      </w:pPr>
      <w:r w:rsidRPr="00D55857">
        <w:rPr>
          <w:rFonts w:ascii="Arial" w:hAnsi="Arial" w:cs="Arial"/>
          <w:color w:val="FF0000"/>
        </w:rPr>
        <w:t xml:space="preserve">Therefore, codes concerning service pressures and reactive monitoring were brought together, as were the codes concerning professional roles and responsibility, resulting in four themes. The review also considered the overlap between preventive monitoring under service pressure and pragmatic decision-making under uncertainty. The first theme included codes showing how workload, competing clinical priorities and limitations within routine systems affected whether monitoring took place. The fourth theme included codes showing how differences in knowledge and uncertainty about the guidance led clinicians to draw on common practice, clinical experience and professional judgement when making monitoring decisions. Figure 1 </w:t>
      </w:r>
      <w:r w:rsidR="002B4EA5">
        <w:rPr>
          <w:rFonts w:ascii="Arial" w:hAnsi="Arial" w:cs="Arial"/>
          <w:color w:val="FF0000"/>
        </w:rPr>
        <w:t>shows</w:t>
      </w:r>
      <w:r w:rsidRPr="00D55857">
        <w:rPr>
          <w:rFonts w:ascii="Arial" w:hAnsi="Arial" w:cs="Arial"/>
          <w:color w:val="FF0000"/>
        </w:rPr>
        <w:t xml:space="preserve"> the final relationship between the four themes and their associated codes, and earlier versions of the coding and thematic structure were retained to record how the analysis developed. The study used the Consolidated Criteria for Reporting Qualitative Research </w:t>
      </w:r>
      <w:r w:rsidR="00E47228" w:rsidRPr="00E47228">
        <w:rPr>
          <w:rFonts w:ascii="Arial" w:hAnsi="Arial" w:cs="Arial"/>
          <w:color w:val="FF0000"/>
        </w:rPr>
        <w:t xml:space="preserve">(COREQ) </w:t>
      </w:r>
      <w:r w:rsidRPr="00E47228">
        <w:rPr>
          <w:rFonts w:ascii="Arial" w:hAnsi="Arial" w:cs="Arial"/>
          <w:color w:val="FF0000"/>
        </w:rPr>
        <w:t xml:space="preserve">checklist </w:t>
      </w:r>
      <w:r w:rsidRPr="00D55857">
        <w:rPr>
          <w:rFonts w:ascii="Arial" w:hAnsi="Arial" w:cs="Arial"/>
          <w:color w:val="FF0000"/>
        </w:rPr>
        <w:t>to report the methods, data analysis and results.</w:t>
      </w:r>
      <w:r w:rsidRPr="00D55857">
        <w:rPr>
          <w:rFonts w:ascii="Arial" w:hAnsi="Arial" w:cs="Arial"/>
          <w:color w:val="FF0000"/>
          <w:vertAlign w:val="superscript"/>
        </w:rPr>
        <w:t>2</w:t>
      </w:r>
      <w:r w:rsidR="005A56F1">
        <w:rPr>
          <w:rFonts w:ascii="Arial" w:hAnsi="Arial" w:cs="Arial"/>
          <w:color w:val="FF0000"/>
          <w:vertAlign w:val="superscript"/>
        </w:rPr>
        <w:t>4</w:t>
      </w:r>
      <w:r w:rsidR="00FF6DF3">
        <w:rPr>
          <w:rFonts w:ascii="Arial" w:hAnsi="Arial" w:cs="Arial"/>
          <w:color w:val="FF0000"/>
          <w:vertAlign w:val="superscript"/>
        </w:rPr>
        <w:t xml:space="preserve"> </w:t>
      </w:r>
      <w:r w:rsidR="002B699E" w:rsidRPr="00D55857">
        <w:rPr>
          <w:rFonts w:ascii="Arial" w:hAnsi="Arial" w:cs="Arial"/>
          <w:color w:val="FF0000"/>
        </w:rPr>
        <w:t>(See supplementary material).</w:t>
      </w:r>
    </w:p>
    <w:p w14:paraId="7E914F3B" w14:textId="77777777" w:rsidR="00FF6DF3" w:rsidRDefault="00DC71BC" w:rsidP="002B699E">
      <w:pPr>
        <w:spacing w:line="360" w:lineRule="auto"/>
        <w:rPr>
          <w:rFonts w:ascii="Arial" w:hAnsi="Arial" w:cs="Arial"/>
          <w:color w:val="FF0000"/>
        </w:rPr>
      </w:pPr>
      <w:r w:rsidRPr="00DC71BC">
        <w:rPr>
          <w:rFonts w:ascii="Arial" w:hAnsi="Arial" w:cs="Arial"/>
          <w:color w:val="FF0000"/>
        </w:rPr>
        <w:t>The 18 interviews provided sufficient data to answer the research question and develop the four themes, as similar issues were reported by clinicians working in different professional roles. The findings therefore reflect the accounts of the clinicians who took part, and clinicians working in other primary care settings may have described different experiences.</w:t>
      </w:r>
    </w:p>
    <w:p w14:paraId="27999414" w14:textId="77777777" w:rsidR="002B699E" w:rsidRPr="00D01A51" w:rsidRDefault="002B699E" w:rsidP="002B699E">
      <w:pPr>
        <w:spacing w:line="360" w:lineRule="auto"/>
        <w:rPr>
          <w:rFonts w:ascii="Arial" w:hAnsi="Arial" w:cs="Arial"/>
          <w:b/>
          <w:bCs/>
        </w:rPr>
      </w:pPr>
      <w:r w:rsidRPr="00D01A51">
        <w:rPr>
          <w:rFonts w:ascii="Arial" w:hAnsi="Arial" w:cs="Arial"/>
          <w:b/>
          <w:bCs/>
        </w:rPr>
        <w:t>Results</w:t>
      </w:r>
    </w:p>
    <w:p w14:paraId="49D290AB" w14:textId="77777777" w:rsidR="002B699E" w:rsidRPr="00D01A51" w:rsidRDefault="002B699E" w:rsidP="002B699E">
      <w:pPr>
        <w:spacing w:line="360" w:lineRule="auto"/>
        <w:rPr>
          <w:rFonts w:ascii="Arial" w:hAnsi="Arial" w:cs="Arial"/>
          <w:b/>
          <w:bCs/>
        </w:rPr>
      </w:pPr>
      <w:r w:rsidRPr="00D01A51">
        <w:rPr>
          <w:rFonts w:ascii="Arial" w:hAnsi="Arial" w:cs="Arial"/>
          <w:b/>
          <w:bCs/>
        </w:rPr>
        <w:t>Participant characteristics</w:t>
      </w:r>
    </w:p>
    <w:p w14:paraId="2E04BBF3" w14:textId="77777777" w:rsidR="002B699E" w:rsidRPr="00D01A51" w:rsidRDefault="00FF6DF3" w:rsidP="002B699E">
      <w:pPr>
        <w:spacing w:line="360" w:lineRule="auto"/>
        <w:rPr>
          <w:rFonts w:ascii="Arial" w:hAnsi="Arial" w:cs="Arial"/>
        </w:rPr>
      </w:pPr>
      <w:commentRangeStart w:id="9"/>
      <w:r>
        <w:rPr>
          <w:rFonts w:ascii="Arial" w:hAnsi="Arial" w:cs="Arial"/>
        </w:rPr>
        <w:t>18</w:t>
      </w:r>
      <w:r w:rsidR="002B699E" w:rsidRPr="00D01A51">
        <w:rPr>
          <w:rFonts w:ascii="Arial" w:hAnsi="Arial" w:cs="Arial"/>
        </w:rPr>
        <w:t xml:space="preserve"> clinicians participated in the interviews, including </w:t>
      </w:r>
      <w:r>
        <w:rPr>
          <w:rFonts w:ascii="Arial" w:hAnsi="Arial" w:cs="Arial"/>
        </w:rPr>
        <w:t>9</w:t>
      </w:r>
      <w:r w:rsidR="002B699E" w:rsidRPr="00D01A51">
        <w:rPr>
          <w:rFonts w:ascii="Arial" w:hAnsi="Arial" w:cs="Arial"/>
        </w:rPr>
        <w:t xml:space="preserve"> general practitioners, </w:t>
      </w:r>
      <w:r>
        <w:rPr>
          <w:rFonts w:ascii="Arial" w:hAnsi="Arial" w:cs="Arial"/>
        </w:rPr>
        <w:t>6</w:t>
      </w:r>
      <w:r w:rsidR="002B699E" w:rsidRPr="00D01A51">
        <w:rPr>
          <w:rFonts w:ascii="Arial" w:hAnsi="Arial" w:cs="Arial"/>
        </w:rPr>
        <w:t xml:space="preserve"> nurses involved in diabetes care, </w:t>
      </w:r>
      <w:r>
        <w:rPr>
          <w:rFonts w:ascii="Arial" w:hAnsi="Arial" w:cs="Arial"/>
        </w:rPr>
        <w:t>2</w:t>
      </w:r>
      <w:r w:rsidR="002B699E" w:rsidRPr="00D01A51">
        <w:rPr>
          <w:rFonts w:ascii="Arial" w:hAnsi="Arial" w:cs="Arial"/>
        </w:rPr>
        <w:t xml:space="preserve"> pharmacists and </w:t>
      </w:r>
      <w:r>
        <w:rPr>
          <w:rFonts w:ascii="Arial" w:hAnsi="Arial" w:cs="Arial"/>
        </w:rPr>
        <w:t>1</w:t>
      </w:r>
      <w:r w:rsidR="002B699E" w:rsidRPr="00D01A51">
        <w:rPr>
          <w:rFonts w:ascii="Arial" w:hAnsi="Arial" w:cs="Arial"/>
        </w:rPr>
        <w:t xml:space="preserve"> pharmacy technician working in primary care settings. </w:t>
      </w:r>
      <w:r>
        <w:rPr>
          <w:rFonts w:ascii="Arial" w:hAnsi="Arial" w:cs="Arial"/>
        </w:rPr>
        <w:t>15</w:t>
      </w:r>
      <w:r w:rsidR="002B699E" w:rsidRPr="00D01A51">
        <w:rPr>
          <w:rFonts w:ascii="Arial" w:hAnsi="Arial" w:cs="Arial"/>
        </w:rPr>
        <w:t xml:space="preserve"> participants were independent prescribers, while </w:t>
      </w:r>
      <w:r>
        <w:rPr>
          <w:rFonts w:ascii="Arial" w:hAnsi="Arial" w:cs="Arial"/>
        </w:rPr>
        <w:t>3</w:t>
      </w:r>
      <w:r w:rsidR="002B699E" w:rsidRPr="00D01A51">
        <w:rPr>
          <w:rFonts w:ascii="Arial" w:hAnsi="Arial" w:cs="Arial"/>
        </w:rPr>
        <w:t xml:space="preserve"> were non-prescribing clinicians. </w:t>
      </w:r>
      <w:r w:rsidR="00627C72">
        <w:rPr>
          <w:rFonts w:ascii="Arial" w:hAnsi="Arial" w:cs="Arial"/>
        </w:rPr>
        <w:t>The p</w:t>
      </w:r>
      <w:r w:rsidR="002B699E" w:rsidRPr="00D01A51">
        <w:rPr>
          <w:rFonts w:ascii="Arial" w:hAnsi="Arial" w:cs="Arial"/>
        </w:rPr>
        <w:t>articipants</w:t>
      </w:r>
      <w:r w:rsidR="00627C72">
        <w:rPr>
          <w:rFonts w:ascii="Arial" w:hAnsi="Arial" w:cs="Arial"/>
        </w:rPr>
        <w:t xml:space="preserve"> recruited</w:t>
      </w:r>
      <w:r w:rsidR="002B699E" w:rsidRPr="00D01A51">
        <w:rPr>
          <w:rFonts w:ascii="Arial" w:hAnsi="Arial" w:cs="Arial"/>
        </w:rPr>
        <w:t xml:space="preserve"> were involved in different aspects of diabetes management, including prescribing medications, conducting routine diabetes reviews and supporting medicines optimisation within the practice.</w:t>
      </w:r>
      <w:r w:rsidR="00627C72" w:rsidRPr="00627C72">
        <w:rPr>
          <w:rFonts w:ascii="Times New Roman" w:eastAsia="Times New Roman" w:hAnsi="Times New Roman"/>
          <w:kern w:val="0"/>
          <w:sz w:val="24"/>
          <w:szCs w:val="24"/>
          <w:lang w:eastAsia="en-GB"/>
        </w:rPr>
        <w:t xml:space="preserve"> </w:t>
      </w:r>
      <w:r w:rsidR="00627C72" w:rsidRPr="00627C72">
        <w:rPr>
          <w:rFonts w:ascii="Arial" w:hAnsi="Arial" w:cs="Arial"/>
          <w:color w:val="FF0000"/>
        </w:rPr>
        <w:t>The participant information collected was limited to professional role and prescribing status, so it was not possible to examine whether other participant or practice characteristics influenced their accounts.</w:t>
      </w:r>
      <w:commentRangeEnd w:id="9"/>
      <w:r w:rsidRPr="00D01A51">
        <w:rPr>
          <w:rStyle w:val="CommentReference"/>
          <w:rFonts w:ascii="Arial" w:hAnsi="Arial" w:cs="Arial"/>
          <w:sz w:val="22"/>
          <w:szCs w:val="22"/>
        </w:rPr>
        <w:commentReference w:id="9"/>
      </w:r>
    </w:p>
    <w:p w14:paraId="06AB2C3A" w14:textId="77777777" w:rsidR="002B699E" w:rsidRPr="00D01A51" w:rsidRDefault="002B699E" w:rsidP="002B699E">
      <w:pPr>
        <w:spacing w:line="360" w:lineRule="auto"/>
        <w:rPr>
          <w:rFonts w:ascii="Arial" w:hAnsi="Arial" w:cs="Arial"/>
        </w:rPr>
      </w:pPr>
      <w:commentRangeStart w:id="10"/>
      <w:r w:rsidRPr="00D01A51">
        <w:rPr>
          <w:rFonts w:ascii="Arial" w:hAnsi="Arial" w:cs="Arial"/>
        </w:rPr>
        <w:t xml:space="preserve">Analysis of the </w:t>
      </w:r>
      <w:r w:rsidRPr="00627C72">
        <w:rPr>
          <w:rFonts w:ascii="Arial" w:hAnsi="Arial" w:cs="Arial"/>
          <w:color w:val="FF0000"/>
        </w:rPr>
        <w:t xml:space="preserve">interviews </w:t>
      </w:r>
      <w:r w:rsidR="00627C72" w:rsidRPr="00627C72">
        <w:rPr>
          <w:rFonts w:ascii="Arial" w:hAnsi="Arial" w:cs="Arial"/>
          <w:color w:val="FF0000"/>
        </w:rPr>
        <w:t>developed</w:t>
      </w:r>
      <w:r w:rsidRPr="00627C72">
        <w:rPr>
          <w:rFonts w:ascii="Arial" w:hAnsi="Arial" w:cs="Arial"/>
          <w:color w:val="FF0000"/>
        </w:rPr>
        <w:t xml:space="preserve"> four </w:t>
      </w:r>
      <w:r w:rsidRPr="00D01A51">
        <w:rPr>
          <w:rFonts w:ascii="Arial" w:hAnsi="Arial" w:cs="Arial"/>
        </w:rPr>
        <w:t>themes describing how clinicians understood and implemented guidance relating to vitamin B</w:t>
      </w:r>
      <w:r w:rsidRPr="00D01A51">
        <w:rPr>
          <w:rFonts w:ascii="Arial" w:hAnsi="Arial" w:cs="Arial"/>
          <w:vertAlign w:val="subscript"/>
        </w:rPr>
        <w:t>12</w:t>
      </w:r>
      <w:r w:rsidRPr="00D01A51">
        <w:rPr>
          <w:rFonts w:ascii="Arial" w:hAnsi="Arial" w:cs="Arial"/>
        </w:rPr>
        <w:t xml:space="preserve"> monitoring in patients treated with metformin. These themes reflected the interaction between everyday service pressures, professional </w:t>
      </w:r>
      <w:r w:rsidRPr="00D01A51">
        <w:rPr>
          <w:rFonts w:ascii="Arial" w:hAnsi="Arial" w:cs="Arial"/>
        </w:rPr>
        <w:lastRenderedPageBreak/>
        <w:t>roles within the primary care team, organisational systems used to implement guidance, and clinicians’ practical decision-making in routine care.</w:t>
      </w:r>
      <w:commentRangeEnd w:id="10"/>
      <w:r w:rsidRPr="00D01A51">
        <w:rPr>
          <w:rStyle w:val="CommentReference"/>
          <w:rFonts w:ascii="Arial" w:hAnsi="Arial" w:cs="Arial"/>
          <w:sz w:val="22"/>
          <w:szCs w:val="22"/>
        </w:rPr>
        <w:commentReference w:id="10"/>
      </w:r>
    </w:p>
    <w:p w14:paraId="6FCC6377" w14:textId="1A8519F8" w:rsidR="002B699E" w:rsidRDefault="002B699E" w:rsidP="002B699E">
      <w:pPr>
        <w:spacing w:line="360" w:lineRule="auto"/>
        <w:rPr>
          <w:rFonts w:ascii="Arial" w:hAnsi="Arial" w:cs="Arial"/>
        </w:rPr>
      </w:pPr>
      <w:r w:rsidRPr="00D01A51">
        <w:rPr>
          <w:rFonts w:ascii="Arial" w:hAnsi="Arial" w:cs="Arial"/>
        </w:rPr>
        <w:t>The four themes were: preventive monitoring under service pressure; navigating roles and responsibility in diabetes care; translating guidance into practice; and pragmatic decision-making under uncertainty.</w:t>
      </w:r>
      <w:r w:rsidR="00CE50EB" w:rsidRPr="00CE50EB">
        <w:t xml:space="preserve"> </w:t>
      </w:r>
      <w:r w:rsidR="00CE50EB" w:rsidRPr="00CE50EB">
        <w:rPr>
          <w:rFonts w:ascii="Arial" w:hAnsi="Arial" w:cs="Arial"/>
          <w:color w:val="FF0000"/>
        </w:rPr>
        <w:t xml:space="preserve">Figure 1 </w:t>
      </w:r>
      <w:r w:rsidR="002B4EA5" w:rsidRPr="00CE50EB">
        <w:rPr>
          <w:rFonts w:ascii="Arial" w:hAnsi="Arial" w:cs="Arial"/>
          <w:color w:val="FF0000"/>
        </w:rPr>
        <w:t>depicts</w:t>
      </w:r>
      <w:r w:rsidR="00CE50EB" w:rsidRPr="00CE50EB">
        <w:rPr>
          <w:rFonts w:ascii="Arial" w:hAnsi="Arial" w:cs="Arial"/>
          <w:color w:val="FF0000"/>
        </w:rPr>
        <w:t xml:space="preserve"> the final thematic framework and associated codes, showing how the codes were grouped within the four themes and where the boundaries between them were drawn</w:t>
      </w:r>
      <w:r w:rsidR="00CE50EB" w:rsidRPr="00CE50EB">
        <w:rPr>
          <w:rFonts w:ascii="Arial" w:hAnsi="Arial" w:cs="Arial"/>
        </w:rPr>
        <w:t>.</w:t>
      </w:r>
    </w:p>
    <w:p w14:paraId="0F10C77E" w14:textId="77777777" w:rsidR="00695636" w:rsidRPr="00695636" w:rsidRDefault="00695636" w:rsidP="002B699E">
      <w:pPr>
        <w:spacing w:line="360" w:lineRule="auto"/>
        <w:rPr>
          <w:rFonts w:ascii="Arial" w:hAnsi="Arial" w:cs="Arial"/>
          <w:color w:val="FF0000"/>
        </w:rPr>
      </w:pPr>
      <w:r w:rsidRPr="00695636">
        <w:rPr>
          <w:rFonts w:ascii="Arial" w:hAnsi="Arial" w:cs="Arial"/>
          <w:color w:val="FF0000"/>
        </w:rPr>
        <w:t>The quotations presented within the results were selected to illustrate the patterns and differences within each theme and were not intended to indicate how frequently a particular view occurred.</w:t>
      </w:r>
    </w:p>
    <w:p w14:paraId="11C1D89C" w14:textId="77777777" w:rsidR="002B699E" w:rsidRPr="00D01A51" w:rsidRDefault="002B699E" w:rsidP="002B699E">
      <w:pPr>
        <w:spacing w:line="360" w:lineRule="auto"/>
        <w:rPr>
          <w:rFonts w:ascii="Arial" w:hAnsi="Arial" w:cs="Arial"/>
          <w:b/>
          <w:bCs/>
        </w:rPr>
      </w:pPr>
      <w:r w:rsidRPr="00D01A51">
        <w:rPr>
          <w:rFonts w:ascii="Arial" w:hAnsi="Arial" w:cs="Arial"/>
          <w:b/>
          <w:bCs/>
        </w:rPr>
        <w:t>Theme 1: Preventive monitoring under service pressure</w:t>
      </w:r>
    </w:p>
    <w:p w14:paraId="549F961D" w14:textId="77777777" w:rsidR="000F1245" w:rsidRPr="000F1245" w:rsidRDefault="000F1245" w:rsidP="000F1245">
      <w:pPr>
        <w:spacing w:line="360" w:lineRule="auto"/>
        <w:rPr>
          <w:rFonts w:ascii="Arial" w:hAnsi="Arial" w:cs="Arial"/>
          <w:color w:val="FF0000"/>
        </w:rPr>
      </w:pPr>
      <w:r w:rsidRPr="000F1245">
        <w:rPr>
          <w:rFonts w:ascii="Arial" w:hAnsi="Arial" w:cs="Arial"/>
          <w:color w:val="FF0000"/>
        </w:rPr>
        <w:t>Throughout the interviews, clinicians described how preventive monitoring was affected by the limited time available in routine primary care consultations, where the patient’s presenting problem was usually given priority. This influenced how medication risks were discussed, as clinicians had to decide which information could be covered during the consultation and longer-term risks associated with treatment were less likely to be addressed in detail when other clinical problems required attention.</w:t>
      </w:r>
    </w:p>
    <w:p w14:paraId="094EAE48" w14:textId="77777777" w:rsidR="002B699E" w:rsidRPr="00D01A51" w:rsidRDefault="002B699E" w:rsidP="002B699E">
      <w:pPr>
        <w:spacing w:line="360" w:lineRule="auto"/>
        <w:rPr>
          <w:rFonts w:ascii="Arial" w:hAnsi="Arial" w:cs="Arial"/>
        </w:rPr>
      </w:pPr>
      <w:r w:rsidRPr="00D01A51">
        <w:rPr>
          <w:rFonts w:ascii="Arial" w:hAnsi="Arial" w:cs="Arial"/>
        </w:rPr>
        <w:t>“More recently it has come up, but time constraints and the need to prioritise information in complex consultations play a role.”</w:t>
      </w:r>
      <w:r w:rsidRPr="00D01A51">
        <w:rPr>
          <w:rFonts w:ascii="Arial" w:hAnsi="Arial" w:cs="Arial"/>
        </w:rPr>
        <w:br/>
      </w:r>
      <w:r w:rsidRPr="00D01A51">
        <w:rPr>
          <w:rFonts w:ascii="Arial" w:hAnsi="Arial" w:cs="Arial"/>
          <w:i/>
          <w:iCs/>
        </w:rPr>
        <w:t>(GP</w:t>
      </w:r>
      <w:r w:rsidR="00627C72">
        <w:rPr>
          <w:rFonts w:ascii="Arial" w:hAnsi="Arial" w:cs="Arial"/>
          <w:i/>
          <w:iCs/>
        </w:rPr>
        <w:t>3</w:t>
      </w:r>
      <w:r w:rsidRPr="00D01A51">
        <w:rPr>
          <w:rFonts w:ascii="Arial" w:hAnsi="Arial" w:cs="Arial"/>
          <w:i/>
          <w:iCs/>
        </w:rPr>
        <w:t>)</w:t>
      </w:r>
    </w:p>
    <w:p w14:paraId="2A80A82B" w14:textId="77777777" w:rsidR="002B699E" w:rsidRPr="00D01A51" w:rsidRDefault="002B699E" w:rsidP="002B699E">
      <w:pPr>
        <w:spacing w:line="360" w:lineRule="auto"/>
        <w:rPr>
          <w:rFonts w:ascii="Arial" w:hAnsi="Arial" w:cs="Arial"/>
        </w:rPr>
      </w:pPr>
      <w:r w:rsidRPr="00D01A51">
        <w:rPr>
          <w:rFonts w:ascii="Arial" w:hAnsi="Arial" w:cs="Arial"/>
        </w:rPr>
        <w:t>Similarly, another clinician described focusing on more immediate clinical concerns when discussing metformin treatment.</w:t>
      </w:r>
    </w:p>
    <w:p w14:paraId="24C05350" w14:textId="77777777" w:rsidR="002B699E" w:rsidRPr="00D01A51" w:rsidRDefault="002B699E" w:rsidP="002B699E">
      <w:pPr>
        <w:spacing w:line="360" w:lineRule="auto"/>
        <w:rPr>
          <w:rFonts w:ascii="Arial" w:hAnsi="Arial" w:cs="Arial"/>
        </w:rPr>
      </w:pPr>
      <w:r w:rsidRPr="00D01A51">
        <w:rPr>
          <w:rFonts w:ascii="Arial" w:hAnsi="Arial" w:cs="Arial"/>
        </w:rPr>
        <w:t>“I tend to focus more on acute risks, such as acidosis during illness, and I may assume that longer-term issues like B</w:t>
      </w:r>
      <w:r w:rsidRPr="00D01A51">
        <w:rPr>
          <w:rFonts w:ascii="Arial" w:hAnsi="Arial" w:cs="Arial"/>
          <w:vertAlign w:val="subscript"/>
        </w:rPr>
        <w:t>12</w:t>
      </w:r>
      <w:r w:rsidRPr="00D01A51">
        <w:rPr>
          <w:rFonts w:ascii="Arial" w:hAnsi="Arial" w:cs="Arial"/>
        </w:rPr>
        <w:t xml:space="preserve"> deficiency will be picked up during annual reviews or discussed by the diabetes nurses.”</w:t>
      </w:r>
      <w:r w:rsidRPr="00D01A51">
        <w:rPr>
          <w:rFonts w:ascii="Arial" w:hAnsi="Arial" w:cs="Arial"/>
        </w:rPr>
        <w:br/>
      </w:r>
      <w:r w:rsidRPr="00D01A51">
        <w:rPr>
          <w:rFonts w:ascii="Arial" w:hAnsi="Arial" w:cs="Arial"/>
          <w:i/>
          <w:iCs/>
        </w:rPr>
        <w:t>(GP</w:t>
      </w:r>
      <w:r w:rsidR="00627C72">
        <w:rPr>
          <w:rFonts w:ascii="Arial" w:hAnsi="Arial" w:cs="Arial"/>
          <w:i/>
          <w:iCs/>
        </w:rPr>
        <w:t>5</w:t>
      </w:r>
      <w:r w:rsidRPr="00D01A51">
        <w:rPr>
          <w:rFonts w:ascii="Arial" w:hAnsi="Arial" w:cs="Arial"/>
          <w:i/>
          <w:iCs/>
        </w:rPr>
        <w:t>)</w:t>
      </w:r>
    </w:p>
    <w:p w14:paraId="0148E7CD" w14:textId="77777777" w:rsidR="002B699E" w:rsidRPr="00D01A51" w:rsidRDefault="002B699E" w:rsidP="002B699E">
      <w:pPr>
        <w:spacing w:line="360" w:lineRule="auto"/>
        <w:rPr>
          <w:rFonts w:ascii="Arial" w:hAnsi="Arial" w:cs="Arial"/>
        </w:rPr>
      </w:pPr>
      <w:r w:rsidRPr="00D01A51">
        <w:rPr>
          <w:rFonts w:ascii="Arial" w:hAnsi="Arial" w:cs="Arial"/>
        </w:rPr>
        <w:t>Participants also described making practical judgements about which medication risks were most important to discuss with patients. Gastrointestinal side effects of metformin were commonly highlighted during treatment initiation, whereas vitamin B</w:t>
      </w:r>
      <w:r w:rsidRPr="00D01A51">
        <w:rPr>
          <w:rFonts w:ascii="Arial" w:hAnsi="Arial" w:cs="Arial"/>
          <w:vertAlign w:val="subscript"/>
        </w:rPr>
        <w:t>12</w:t>
      </w:r>
      <w:r w:rsidRPr="00D01A51">
        <w:rPr>
          <w:rFonts w:ascii="Arial" w:hAnsi="Arial" w:cs="Arial"/>
        </w:rPr>
        <w:t xml:space="preserve"> deficiency was less frequently discussed unless clinicians were already aware of the association or patients presented with symptoms.</w:t>
      </w:r>
    </w:p>
    <w:p w14:paraId="64F15EBD" w14:textId="77777777" w:rsidR="002B699E" w:rsidRPr="00D01A51" w:rsidRDefault="002B699E" w:rsidP="002B699E">
      <w:pPr>
        <w:spacing w:line="360" w:lineRule="auto"/>
        <w:rPr>
          <w:rFonts w:ascii="Arial" w:hAnsi="Arial" w:cs="Arial"/>
        </w:rPr>
      </w:pPr>
      <w:r w:rsidRPr="00D01A51">
        <w:rPr>
          <w:rFonts w:ascii="Arial" w:hAnsi="Arial" w:cs="Arial"/>
        </w:rPr>
        <w:lastRenderedPageBreak/>
        <w:t>Monitoring was often incorporated into existing diabetes care processes, particularly annual reviews, and was less likely to be considered proactively during individual consultations. Several clinicians also described symptoms as the main prompt for testing, with routine screening undertaken less consistently.</w:t>
      </w:r>
    </w:p>
    <w:p w14:paraId="1ACC6C81" w14:textId="77777777" w:rsidR="002B699E" w:rsidRPr="00D01A51" w:rsidRDefault="002B699E" w:rsidP="002B699E">
      <w:pPr>
        <w:spacing w:line="360" w:lineRule="auto"/>
        <w:rPr>
          <w:rFonts w:ascii="Arial" w:hAnsi="Arial" w:cs="Arial"/>
        </w:rPr>
      </w:pPr>
      <w:r w:rsidRPr="00D01A51">
        <w:rPr>
          <w:rFonts w:ascii="Arial" w:hAnsi="Arial" w:cs="Arial"/>
        </w:rPr>
        <w:t>“It’s generally identified either through routine screening or symptom-led testing.”</w:t>
      </w:r>
      <w:r w:rsidRPr="00D01A51">
        <w:rPr>
          <w:rFonts w:ascii="Arial" w:hAnsi="Arial" w:cs="Arial"/>
        </w:rPr>
        <w:br/>
      </w:r>
      <w:r w:rsidRPr="00D01A51">
        <w:rPr>
          <w:rFonts w:ascii="Arial" w:hAnsi="Arial" w:cs="Arial"/>
          <w:i/>
          <w:iCs/>
        </w:rPr>
        <w:t>(Nurse</w:t>
      </w:r>
      <w:r w:rsidR="00627C72">
        <w:rPr>
          <w:rFonts w:ascii="Arial" w:hAnsi="Arial" w:cs="Arial"/>
          <w:i/>
          <w:iCs/>
        </w:rPr>
        <w:t>2</w:t>
      </w:r>
      <w:r w:rsidRPr="00D01A51">
        <w:rPr>
          <w:rFonts w:ascii="Arial" w:hAnsi="Arial" w:cs="Arial"/>
          <w:i/>
          <w:iCs/>
        </w:rPr>
        <w:t>)</w:t>
      </w:r>
    </w:p>
    <w:p w14:paraId="2F6B48C3" w14:textId="77777777" w:rsidR="002B699E" w:rsidRPr="00B867F2" w:rsidRDefault="00B867F2" w:rsidP="002B699E">
      <w:pPr>
        <w:spacing w:line="360" w:lineRule="auto"/>
        <w:rPr>
          <w:rFonts w:ascii="Arial" w:hAnsi="Arial" w:cs="Arial"/>
          <w:color w:val="FF0000"/>
        </w:rPr>
      </w:pPr>
      <w:r w:rsidRPr="00B867F2">
        <w:rPr>
          <w:rFonts w:ascii="Arial" w:hAnsi="Arial" w:cs="Arial"/>
          <w:color w:val="FF0000"/>
        </w:rPr>
        <w:t>Where vitamin B</w:t>
      </w:r>
      <w:r w:rsidRPr="00B867F2">
        <w:rPr>
          <w:rFonts w:ascii="Arial" w:hAnsi="Arial" w:cs="Arial"/>
          <w:color w:val="FF0000"/>
          <w:vertAlign w:val="subscript"/>
        </w:rPr>
        <w:t>12</w:t>
      </w:r>
      <w:r w:rsidRPr="00B867F2">
        <w:rPr>
          <w:rFonts w:ascii="Arial" w:hAnsi="Arial" w:cs="Arial"/>
          <w:color w:val="FF0000"/>
        </w:rPr>
        <w:t xml:space="preserve"> testing had been included within annual reviews or routine blood testing, monitoring was less dependent on it being considered during an individual consultation. Where no routine process was in place, testing was more likely to follow the development of symptoms and could be delayed when other clinical problems took priority.</w:t>
      </w:r>
    </w:p>
    <w:p w14:paraId="41D327A6" w14:textId="77777777" w:rsidR="002B699E" w:rsidRPr="00D01A51" w:rsidRDefault="002B699E" w:rsidP="002B699E">
      <w:pPr>
        <w:spacing w:line="360" w:lineRule="auto"/>
        <w:rPr>
          <w:rFonts w:ascii="Arial" w:hAnsi="Arial" w:cs="Arial"/>
          <w:b/>
          <w:bCs/>
        </w:rPr>
      </w:pPr>
      <w:r w:rsidRPr="00D01A51">
        <w:rPr>
          <w:rFonts w:ascii="Arial" w:hAnsi="Arial" w:cs="Arial"/>
          <w:b/>
          <w:bCs/>
        </w:rPr>
        <w:t>Theme 2: Navigating roles and responsibility in diabetes care</w:t>
      </w:r>
    </w:p>
    <w:p w14:paraId="5CA4D7BB" w14:textId="77777777" w:rsidR="00A24137" w:rsidRPr="00A24137" w:rsidRDefault="00A24137" w:rsidP="00A24137">
      <w:pPr>
        <w:spacing w:line="360" w:lineRule="auto"/>
        <w:rPr>
          <w:rFonts w:ascii="Arial" w:hAnsi="Arial" w:cs="Arial"/>
          <w:color w:val="FF0000"/>
        </w:rPr>
      </w:pPr>
      <w:r w:rsidRPr="00A24137">
        <w:rPr>
          <w:rFonts w:ascii="Arial" w:hAnsi="Arial" w:cs="Arial"/>
          <w:color w:val="FF0000"/>
        </w:rPr>
        <w:t xml:space="preserve">During the interviews, diabetes care was described as a shared responsibility across the primary care team, with different parts of care being associated with particular professional groups. </w:t>
      </w:r>
      <w:r>
        <w:rPr>
          <w:rFonts w:ascii="Arial" w:hAnsi="Arial" w:cs="Arial"/>
          <w:color w:val="FF0000"/>
        </w:rPr>
        <w:t>The l</w:t>
      </w:r>
      <w:r w:rsidRPr="00A24137">
        <w:rPr>
          <w:rFonts w:ascii="Arial" w:hAnsi="Arial" w:cs="Arial"/>
          <w:color w:val="FF0000"/>
        </w:rPr>
        <w:t>ong</w:t>
      </w:r>
      <w:r>
        <w:rPr>
          <w:rFonts w:ascii="Arial" w:hAnsi="Arial" w:cs="Arial"/>
          <w:color w:val="FF0000"/>
        </w:rPr>
        <w:t>-term</w:t>
      </w:r>
      <w:r w:rsidRPr="00A24137">
        <w:rPr>
          <w:rFonts w:ascii="Arial" w:hAnsi="Arial" w:cs="Arial"/>
          <w:color w:val="FF0000"/>
        </w:rPr>
        <w:t xml:space="preserve"> management and routine monitoring were usually linked to the work of specialist diabetes nurses, who were described as leading annual reviews and arranging routine blood tests within the practice.</w:t>
      </w:r>
    </w:p>
    <w:p w14:paraId="3AF50543" w14:textId="77777777" w:rsidR="00A24137" w:rsidRPr="00A24137" w:rsidRDefault="00A24137" w:rsidP="00A24137">
      <w:pPr>
        <w:spacing w:line="360" w:lineRule="auto"/>
        <w:rPr>
          <w:rFonts w:ascii="Arial" w:hAnsi="Arial" w:cs="Arial"/>
        </w:rPr>
      </w:pPr>
      <w:r w:rsidRPr="00A24137">
        <w:rPr>
          <w:rFonts w:ascii="Arial" w:hAnsi="Arial" w:cs="Arial"/>
        </w:rPr>
        <w:t>“Long-term diabetes care is mainly managed by the diabetes team, particularly the diabetes nurses.”</w:t>
      </w:r>
    </w:p>
    <w:p w14:paraId="64D7BD7E" w14:textId="77777777" w:rsidR="00A24137" w:rsidRPr="00A24137" w:rsidRDefault="00A24137" w:rsidP="00A24137">
      <w:pPr>
        <w:spacing w:line="360" w:lineRule="auto"/>
        <w:rPr>
          <w:rFonts w:ascii="Arial" w:hAnsi="Arial" w:cs="Arial"/>
        </w:rPr>
      </w:pPr>
      <w:r w:rsidRPr="00A24137">
        <w:rPr>
          <w:rFonts w:ascii="Arial" w:hAnsi="Arial" w:cs="Arial"/>
        </w:rPr>
        <w:t>(GP4)</w:t>
      </w:r>
    </w:p>
    <w:p w14:paraId="438D8907" w14:textId="77777777" w:rsidR="00A24137" w:rsidRPr="00A24137" w:rsidRDefault="00A24137" w:rsidP="00A24137">
      <w:pPr>
        <w:spacing w:line="360" w:lineRule="auto"/>
        <w:rPr>
          <w:rFonts w:ascii="Arial" w:hAnsi="Arial" w:cs="Arial"/>
        </w:rPr>
      </w:pPr>
      <w:r w:rsidRPr="00A24137">
        <w:rPr>
          <w:rFonts w:ascii="Arial" w:hAnsi="Arial" w:cs="Arial"/>
        </w:rPr>
        <w:t>Where this arrangement was working well, the diabetes nurse provided continuity and a clear point of responsibility for routine diabetes care. This was reflected in the account of another GP, whose limited involvement was linked to their confidence in the diabetes nurse managing the longer-term care of these patients.</w:t>
      </w:r>
    </w:p>
    <w:p w14:paraId="27CEADDB" w14:textId="77777777" w:rsidR="00A24137" w:rsidRPr="00A24137" w:rsidRDefault="00A24137" w:rsidP="00A24137">
      <w:pPr>
        <w:spacing w:line="360" w:lineRule="auto"/>
        <w:rPr>
          <w:rFonts w:ascii="Arial" w:hAnsi="Arial" w:cs="Arial"/>
        </w:rPr>
      </w:pPr>
      <w:r w:rsidRPr="00A24137">
        <w:rPr>
          <w:rFonts w:ascii="Arial" w:hAnsi="Arial" w:cs="Arial"/>
        </w:rPr>
        <w:t>“My involvement is fairly limited. We have a very capable diabetes nurse who manages most chronic diabetes care.”</w:t>
      </w:r>
    </w:p>
    <w:p w14:paraId="3EF07C02" w14:textId="77777777" w:rsidR="00A24137" w:rsidRPr="00A24137" w:rsidRDefault="00A24137" w:rsidP="00A24137">
      <w:pPr>
        <w:spacing w:line="360" w:lineRule="auto"/>
        <w:rPr>
          <w:rFonts w:ascii="Arial" w:hAnsi="Arial" w:cs="Arial"/>
        </w:rPr>
      </w:pPr>
      <w:r w:rsidRPr="00A24137">
        <w:rPr>
          <w:rFonts w:ascii="Arial" w:hAnsi="Arial" w:cs="Arial"/>
        </w:rPr>
        <w:t>(GP2)</w:t>
      </w:r>
    </w:p>
    <w:p w14:paraId="2AD21D36" w14:textId="77777777" w:rsidR="00A24137" w:rsidRPr="00A24137" w:rsidRDefault="00A24137" w:rsidP="00A24137">
      <w:pPr>
        <w:spacing w:line="360" w:lineRule="auto"/>
        <w:rPr>
          <w:rFonts w:ascii="Arial" w:hAnsi="Arial" w:cs="Arial"/>
          <w:color w:val="FF0000"/>
        </w:rPr>
      </w:pPr>
      <w:r w:rsidRPr="00A24137">
        <w:rPr>
          <w:rFonts w:ascii="Arial" w:hAnsi="Arial" w:cs="Arial"/>
          <w:color w:val="FF0000"/>
        </w:rPr>
        <w:t>The involvement of GPs was more often linked to particular aspects of diabetes care, including prescribing decisions and the management of acute problems, with routine monitoring less likely to form part of their usual work with these patients. This division of work meant that some clinicians only became involved when a specific clinical or prescribing issue required their input.</w:t>
      </w:r>
    </w:p>
    <w:p w14:paraId="59B77B34" w14:textId="77777777" w:rsidR="00A24137" w:rsidRPr="00A24137" w:rsidRDefault="00A24137" w:rsidP="00A24137">
      <w:pPr>
        <w:spacing w:line="360" w:lineRule="auto"/>
        <w:rPr>
          <w:rFonts w:ascii="Arial" w:hAnsi="Arial" w:cs="Arial"/>
        </w:rPr>
      </w:pPr>
      <w:r w:rsidRPr="00A24137">
        <w:rPr>
          <w:rFonts w:ascii="Arial" w:hAnsi="Arial" w:cs="Arial"/>
        </w:rPr>
        <w:lastRenderedPageBreak/>
        <w:t>“As a GP, my involvement is usually around prescribing medications and managing urgent presentations such as hypoglycaemia or complications related to diabetes.”</w:t>
      </w:r>
    </w:p>
    <w:p w14:paraId="6EFE6AE1" w14:textId="77777777" w:rsidR="00A24137" w:rsidRPr="00A24137" w:rsidRDefault="00A24137" w:rsidP="00A24137">
      <w:pPr>
        <w:spacing w:line="360" w:lineRule="auto"/>
        <w:rPr>
          <w:rFonts w:ascii="Arial" w:hAnsi="Arial" w:cs="Arial"/>
        </w:rPr>
      </w:pPr>
      <w:r w:rsidRPr="00A24137">
        <w:rPr>
          <w:rFonts w:ascii="Arial" w:hAnsi="Arial" w:cs="Arial"/>
        </w:rPr>
        <w:t>(GP5)</w:t>
      </w:r>
    </w:p>
    <w:p w14:paraId="315736A5" w14:textId="77777777" w:rsidR="00A24137" w:rsidRPr="00A24137" w:rsidRDefault="00A24137" w:rsidP="00A24137">
      <w:pPr>
        <w:spacing w:line="360" w:lineRule="auto"/>
        <w:rPr>
          <w:rFonts w:ascii="Arial" w:hAnsi="Arial" w:cs="Arial"/>
        </w:rPr>
      </w:pPr>
      <w:r w:rsidRPr="00A24137">
        <w:rPr>
          <w:rFonts w:ascii="Arial" w:hAnsi="Arial" w:cs="Arial"/>
        </w:rPr>
        <w:t>Professional role boundaries also affected whether clinicians felt able to act when a monitoring need was identified. For clinicians who did not consider requesting blood tests to be within their role, action depended on referring the decision to a GP or pharmacist.</w:t>
      </w:r>
    </w:p>
    <w:p w14:paraId="79D829FC" w14:textId="77777777" w:rsidR="00A24137" w:rsidRPr="00A24137" w:rsidRDefault="00A24137" w:rsidP="00A24137">
      <w:pPr>
        <w:spacing w:line="360" w:lineRule="auto"/>
        <w:rPr>
          <w:rFonts w:ascii="Arial" w:hAnsi="Arial" w:cs="Arial"/>
        </w:rPr>
      </w:pPr>
      <w:r w:rsidRPr="00A24137">
        <w:rPr>
          <w:rFonts w:ascii="Arial" w:hAnsi="Arial" w:cs="Arial"/>
        </w:rPr>
        <w:t>“I would check with a GP or pharmacist to request blood tests. It’s not within my remit to request those myself.”</w:t>
      </w:r>
    </w:p>
    <w:p w14:paraId="74CFA4C6" w14:textId="77777777" w:rsidR="00A24137" w:rsidRPr="00A24137" w:rsidRDefault="00A24137" w:rsidP="00A24137">
      <w:pPr>
        <w:spacing w:line="360" w:lineRule="auto"/>
        <w:rPr>
          <w:rFonts w:ascii="Arial" w:hAnsi="Arial" w:cs="Arial"/>
        </w:rPr>
      </w:pPr>
      <w:r w:rsidRPr="00A24137">
        <w:rPr>
          <w:rFonts w:ascii="Arial" w:hAnsi="Arial" w:cs="Arial"/>
        </w:rPr>
        <w:t>(Nurse3)</w:t>
      </w:r>
    </w:p>
    <w:p w14:paraId="5CF1466D" w14:textId="77777777" w:rsidR="00A24137" w:rsidRPr="00A24137" w:rsidRDefault="00A24137" w:rsidP="00A24137">
      <w:pPr>
        <w:spacing w:line="360" w:lineRule="auto"/>
        <w:rPr>
          <w:rFonts w:ascii="Arial" w:hAnsi="Arial" w:cs="Arial"/>
          <w:color w:val="FF0000"/>
        </w:rPr>
      </w:pPr>
      <w:r w:rsidRPr="00A24137">
        <w:rPr>
          <w:rFonts w:ascii="Arial" w:hAnsi="Arial" w:cs="Arial"/>
          <w:color w:val="FF0000"/>
        </w:rPr>
        <w:t>The interviews showed that shared working supported monitoring where responsibility was linked to an established diabetes care process, but it also created uncertainty when clinicians assumed that another professional or team would act. Vitamin B</w:t>
      </w:r>
      <w:r w:rsidRPr="00A24137">
        <w:rPr>
          <w:rFonts w:ascii="Cambria Math" w:hAnsi="Cambria Math" w:cs="Cambria Math"/>
          <w:color w:val="FF0000"/>
        </w:rPr>
        <w:t>₁₂</w:t>
      </w:r>
      <w:r w:rsidRPr="00A24137">
        <w:rPr>
          <w:rFonts w:ascii="Arial" w:hAnsi="Arial" w:cs="Arial"/>
          <w:color w:val="FF0000"/>
        </w:rPr>
        <w:t xml:space="preserve"> monitoring did not have the same clearly assigned place within diabetes care as annual review or routine blood testing, leaving responsibility uncertain when it had not already been included within these processes.</w:t>
      </w:r>
    </w:p>
    <w:p w14:paraId="2F279F3C" w14:textId="77777777" w:rsidR="002B699E" w:rsidRPr="00D01A51" w:rsidRDefault="002B699E" w:rsidP="002B699E">
      <w:pPr>
        <w:spacing w:line="360" w:lineRule="auto"/>
        <w:rPr>
          <w:rFonts w:ascii="Arial" w:hAnsi="Arial" w:cs="Arial"/>
          <w:b/>
          <w:bCs/>
        </w:rPr>
      </w:pPr>
      <w:r w:rsidRPr="00D01A51">
        <w:rPr>
          <w:rFonts w:ascii="Arial" w:hAnsi="Arial" w:cs="Arial"/>
          <w:b/>
          <w:bCs/>
        </w:rPr>
        <w:t>Theme 3: Translating guidance into practice</w:t>
      </w:r>
    </w:p>
    <w:p w14:paraId="1E14A042" w14:textId="77777777" w:rsidR="00660CB4" w:rsidRPr="00660CB4" w:rsidRDefault="00660CB4" w:rsidP="00660CB4">
      <w:pPr>
        <w:spacing w:line="360" w:lineRule="auto"/>
        <w:rPr>
          <w:rFonts w:ascii="Arial" w:hAnsi="Arial" w:cs="Arial"/>
          <w:color w:val="FF0000"/>
        </w:rPr>
      </w:pPr>
      <w:r w:rsidRPr="00660CB4">
        <w:rPr>
          <w:rFonts w:ascii="Arial" w:hAnsi="Arial" w:cs="Arial"/>
          <w:color w:val="FF0000"/>
        </w:rPr>
        <w:t>During the interviews, guidance and safety alerts were rarely described as being received and implemented by an individual clinician, as their use within the practice depended on how the information was reviewed and included within existing clinical processes. Clinical meetings and input from the practice pharmacy team provided a route for reviewing an alert and deciding whether it needed to be included within a practice protocol or existing system.</w:t>
      </w:r>
    </w:p>
    <w:p w14:paraId="1854C731" w14:textId="77777777" w:rsidR="00660CB4" w:rsidRPr="00660CB4" w:rsidRDefault="00660CB4" w:rsidP="00660CB4">
      <w:pPr>
        <w:spacing w:line="360" w:lineRule="auto"/>
        <w:rPr>
          <w:rFonts w:ascii="Arial" w:hAnsi="Arial" w:cs="Arial"/>
        </w:rPr>
      </w:pPr>
      <w:r w:rsidRPr="00660CB4">
        <w:rPr>
          <w:rFonts w:ascii="Arial" w:hAnsi="Arial" w:cs="Arial"/>
        </w:rPr>
        <w:t>“Serious safety alerts are discussed in clinical meetings, often led by our clinical pharmacists.”</w:t>
      </w:r>
    </w:p>
    <w:p w14:paraId="076A53A8" w14:textId="77777777" w:rsidR="00660CB4" w:rsidRPr="00660CB4" w:rsidRDefault="00660CB4" w:rsidP="00660CB4">
      <w:pPr>
        <w:spacing w:line="360" w:lineRule="auto"/>
        <w:rPr>
          <w:rFonts w:ascii="Arial" w:hAnsi="Arial" w:cs="Arial"/>
        </w:rPr>
      </w:pPr>
      <w:r w:rsidRPr="00660CB4">
        <w:rPr>
          <w:rFonts w:ascii="Arial" w:hAnsi="Arial" w:cs="Arial"/>
        </w:rPr>
        <w:t>(GP8)</w:t>
      </w:r>
    </w:p>
    <w:p w14:paraId="151817FF" w14:textId="77777777" w:rsidR="00660CB4" w:rsidRPr="00660CB4" w:rsidRDefault="00660CB4" w:rsidP="00660CB4">
      <w:pPr>
        <w:spacing w:line="360" w:lineRule="auto"/>
        <w:rPr>
          <w:rFonts w:ascii="Arial" w:hAnsi="Arial" w:cs="Arial"/>
        </w:rPr>
      </w:pPr>
      <w:r w:rsidRPr="00660CB4">
        <w:rPr>
          <w:rFonts w:ascii="Arial" w:hAnsi="Arial" w:cs="Arial"/>
        </w:rPr>
        <w:t>The volume of guidance received within primary care meant that not every update was reviewed in this way. Participants described information arriving through emails, newsletters, professional updates and online guidance, with messages more likely to be missed when they remained spread across different sources and had not been discussed within the practice.</w:t>
      </w:r>
    </w:p>
    <w:p w14:paraId="585D3B72" w14:textId="77777777" w:rsidR="00660CB4" w:rsidRPr="00660CB4" w:rsidRDefault="00660CB4" w:rsidP="00660CB4">
      <w:pPr>
        <w:spacing w:line="360" w:lineRule="auto"/>
        <w:rPr>
          <w:rFonts w:ascii="Arial" w:hAnsi="Arial" w:cs="Arial"/>
        </w:rPr>
      </w:pPr>
      <w:r w:rsidRPr="00660CB4">
        <w:rPr>
          <w:rFonts w:ascii="Arial" w:hAnsi="Arial" w:cs="Arial"/>
        </w:rPr>
        <w:t>“I think it probably gets lost in a sea of random emails that you don’t really look at properly… you get a lot of emails, so you could easily miss it.”</w:t>
      </w:r>
    </w:p>
    <w:p w14:paraId="0BBE6BE5" w14:textId="77777777" w:rsidR="00660CB4" w:rsidRPr="00660CB4" w:rsidRDefault="00660CB4" w:rsidP="00660CB4">
      <w:pPr>
        <w:spacing w:line="360" w:lineRule="auto"/>
        <w:rPr>
          <w:rFonts w:ascii="Arial" w:hAnsi="Arial" w:cs="Arial"/>
        </w:rPr>
      </w:pPr>
      <w:r w:rsidRPr="00660CB4">
        <w:rPr>
          <w:rFonts w:ascii="Arial" w:hAnsi="Arial" w:cs="Arial"/>
        </w:rPr>
        <w:lastRenderedPageBreak/>
        <w:t>(Pharmacist1)</w:t>
      </w:r>
    </w:p>
    <w:p w14:paraId="233DDDC0" w14:textId="77777777" w:rsidR="00660CB4" w:rsidRPr="00660CB4" w:rsidRDefault="00660CB4" w:rsidP="00660CB4">
      <w:pPr>
        <w:spacing w:line="360" w:lineRule="auto"/>
        <w:rPr>
          <w:rFonts w:ascii="Arial" w:hAnsi="Arial" w:cs="Arial"/>
          <w:color w:val="FF0000"/>
        </w:rPr>
      </w:pPr>
      <w:r w:rsidRPr="00660CB4">
        <w:rPr>
          <w:rFonts w:ascii="Arial" w:hAnsi="Arial" w:cs="Arial"/>
          <w:color w:val="FF0000"/>
        </w:rPr>
        <w:t>Even where clinicians were aware of a recommendation, accessing guidance during a consultation was not always straightforward. The time available meant that clinicians needed to know where the information could be found quickly, and resources that took longer to search were less useful during routine clinical work.</w:t>
      </w:r>
    </w:p>
    <w:p w14:paraId="1770D303" w14:textId="77777777" w:rsidR="00660CB4" w:rsidRPr="00660CB4" w:rsidRDefault="00660CB4" w:rsidP="00660CB4">
      <w:pPr>
        <w:spacing w:line="360" w:lineRule="auto"/>
        <w:rPr>
          <w:rFonts w:ascii="Arial" w:hAnsi="Arial" w:cs="Arial"/>
        </w:rPr>
      </w:pPr>
      <w:r w:rsidRPr="00660CB4">
        <w:rPr>
          <w:rFonts w:ascii="Arial" w:hAnsi="Arial" w:cs="Arial"/>
        </w:rPr>
        <w:t>“Sometimes it’s remembering where to find guidance quickly during consultations, as some resources can be time-consuming to navigate.”</w:t>
      </w:r>
    </w:p>
    <w:p w14:paraId="5E5BDFC6" w14:textId="77777777" w:rsidR="00660CB4" w:rsidRPr="00660CB4" w:rsidRDefault="00660CB4" w:rsidP="00660CB4">
      <w:pPr>
        <w:spacing w:line="360" w:lineRule="auto"/>
        <w:rPr>
          <w:rFonts w:ascii="Arial" w:hAnsi="Arial" w:cs="Arial"/>
        </w:rPr>
      </w:pPr>
      <w:r w:rsidRPr="00660CB4">
        <w:rPr>
          <w:rFonts w:ascii="Arial" w:hAnsi="Arial" w:cs="Arial"/>
        </w:rPr>
        <w:t>(GP2)</w:t>
      </w:r>
    </w:p>
    <w:p w14:paraId="05A485ED" w14:textId="77777777" w:rsidR="00660CB4" w:rsidRPr="00660CB4" w:rsidRDefault="00660CB4" w:rsidP="00660CB4">
      <w:pPr>
        <w:spacing w:line="360" w:lineRule="auto"/>
        <w:rPr>
          <w:rFonts w:ascii="Arial" w:hAnsi="Arial" w:cs="Arial"/>
          <w:color w:val="FF0000"/>
        </w:rPr>
      </w:pPr>
      <w:r w:rsidRPr="00660CB4">
        <w:rPr>
          <w:rFonts w:ascii="Arial" w:hAnsi="Arial" w:cs="Arial"/>
          <w:color w:val="FF0000"/>
        </w:rPr>
        <w:t>Clinicians commonly managed this by using NICE guidance, Clinical Knowledge Summaries and local formularies during consultations. Primary research was less commonly accessed directly, with clinicians relying on sources that brought the evidence together and could be consulted when a decision was required.</w:t>
      </w:r>
    </w:p>
    <w:p w14:paraId="13B28428" w14:textId="77777777" w:rsidR="00660CB4" w:rsidRPr="00660CB4" w:rsidRDefault="00660CB4" w:rsidP="00660CB4">
      <w:pPr>
        <w:spacing w:line="360" w:lineRule="auto"/>
        <w:rPr>
          <w:rFonts w:ascii="Arial" w:hAnsi="Arial" w:cs="Arial"/>
        </w:rPr>
      </w:pPr>
      <w:r w:rsidRPr="00660CB4">
        <w:rPr>
          <w:rFonts w:ascii="Arial" w:hAnsi="Arial" w:cs="Arial"/>
        </w:rPr>
        <w:t>“I regularly use CKS and other online guidelines during consultations rather than trying to memorise them.”</w:t>
      </w:r>
    </w:p>
    <w:p w14:paraId="4284A8B4" w14:textId="77777777" w:rsidR="00660CB4" w:rsidRPr="00660CB4" w:rsidRDefault="00660CB4" w:rsidP="00660CB4">
      <w:pPr>
        <w:spacing w:line="360" w:lineRule="auto"/>
        <w:rPr>
          <w:rFonts w:ascii="Arial" w:hAnsi="Arial" w:cs="Arial"/>
        </w:rPr>
      </w:pPr>
      <w:r w:rsidRPr="00660CB4">
        <w:rPr>
          <w:rFonts w:ascii="Arial" w:hAnsi="Arial" w:cs="Arial"/>
        </w:rPr>
        <w:t>(Nurse1)</w:t>
      </w:r>
    </w:p>
    <w:p w14:paraId="7648E7BD" w14:textId="77777777" w:rsidR="00660CB4" w:rsidRPr="00660CB4" w:rsidRDefault="00660CB4" w:rsidP="00660CB4">
      <w:pPr>
        <w:spacing w:line="360" w:lineRule="auto"/>
        <w:rPr>
          <w:rFonts w:ascii="Arial" w:hAnsi="Arial" w:cs="Arial"/>
        </w:rPr>
      </w:pPr>
      <w:r w:rsidRPr="00660CB4">
        <w:rPr>
          <w:rFonts w:ascii="Arial" w:hAnsi="Arial" w:cs="Arial"/>
          <w:color w:val="FF0000"/>
        </w:rPr>
        <w:t>Once guidance had been included within an electronic prompt, pharmacist-led search or routine diabetes review, clinicians did not have to remember the original alert before monitoring was considered. Guidance that remained within emails or external resources continued to depend on the individual clinician knowing it was there and having enough time to find it, which meant that publication of the guidance did not always lead to a change in routine practice</w:t>
      </w:r>
      <w:r w:rsidRPr="00660CB4">
        <w:rPr>
          <w:rFonts w:ascii="Arial" w:hAnsi="Arial" w:cs="Arial"/>
        </w:rPr>
        <w:t>.</w:t>
      </w:r>
    </w:p>
    <w:p w14:paraId="65EF4282" w14:textId="77777777" w:rsidR="002B699E" w:rsidRPr="00D01A51" w:rsidRDefault="002B699E" w:rsidP="002B699E">
      <w:pPr>
        <w:spacing w:line="360" w:lineRule="auto"/>
        <w:rPr>
          <w:rFonts w:ascii="Arial" w:hAnsi="Arial" w:cs="Arial"/>
          <w:b/>
          <w:bCs/>
        </w:rPr>
      </w:pPr>
      <w:r w:rsidRPr="00D01A51">
        <w:rPr>
          <w:rFonts w:ascii="Arial" w:hAnsi="Arial" w:cs="Arial"/>
          <w:b/>
          <w:bCs/>
        </w:rPr>
        <w:t>Theme 4: Pragmatic decision-making under uncertainty</w:t>
      </w:r>
    </w:p>
    <w:p w14:paraId="26D75104" w14:textId="77777777" w:rsidR="00E05D52" w:rsidRPr="00E05D52" w:rsidRDefault="00E05D52" w:rsidP="00E05D52">
      <w:pPr>
        <w:spacing w:line="360" w:lineRule="auto"/>
        <w:rPr>
          <w:rFonts w:ascii="Arial" w:hAnsi="Arial" w:cs="Arial"/>
          <w:color w:val="FF0000"/>
        </w:rPr>
      </w:pPr>
      <w:r w:rsidRPr="00E05D52">
        <w:rPr>
          <w:rFonts w:ascii="Arial" w:hAnsi="Arial" w:cs="Arial"/>
          <w:color w:val="FF0000"/>
        </w:rPr>
        <w:t>The interviews showed that awareness of the association between metformin and vitamin B</w:t>
      </w:r>
      <w:r w:rsidRPr="00E05D52">
        <w:rPr>
          <w:rFonts w:ascii="Arial" w:hAnsi="Arial" w:cs="Arial"/>
          <w:color w:val="FF0000"/>
          <w:vertAlign w:val="subscript"/>
        </w:rPr>
        <w:t xml:space="preserve">12 </w:t>
      </w:r>
      <w:r w:rsidRPr="00E05D52">
        <w:rPr>
          <w:rFonts w:ascii="Arial" w:hAnsi="Arial" w:cs="Arial"/>
          <w:color w:val="FF0000"/>
        </w:rPr>
        <w:t>deficiency did not provide clinicians with a consistent approach to monitoring. Many participants knew about the association, but there were differences in their confidence and understanding of the clinical importance of the risk, leaving some uncertain about whether routine testing was required.</w:t>
      </w:r>
    </w:p>
    <w:p w14:paraId="2D4BCD7D" w14:textId="77777777" w:rsidR="002B699E" w:rsidRPr="00D01A51" w:rsidRDefault="002B699E" w:rsidP="002B699E">
      <w:pPr>
        <w:spacing w:line="360" w:lineRule="auto"/>
        <w:rPr>
          <w:rFonts w:ascii="Arial" w:hAnsi="Arial" w:cs="Arial"/>
        </w:rPr>
      </w:pPr>
      <w:r w:rsidRPr="00D01A51">
        <w:rPr>
          <w:rFonts w:ascii="Arial" w:hAnsi="Arial" w:cs="Arial"/>
        </w:rPr>
        <w:t>“Not usually. I wasn’t sure whether it was required.”</w:t>
      </w:r>
      <w:r w:rsidRPr="00D01A51">
        <w:rPr>
          <w:rFonts w:ascii="Arial" w:hAnsi="Arial" w:cs="Arial"/>
        </w:rPr>
        <w:br/>
      </w:r>
      <w:r w:rsidRPr="00D01A51">
        <w:rPr>
          <w:rFonts w:ascii="Arial" w:hAnsi="Arial" w:cs="Arial"/>
          <w:i/>
          <w:iCs/>
        </w:rPr>
        <w:t>(GP</w:t>
      </w:r>
      <w:r w:rsidR="00627C72">
        <w:rPr>
          <w:rFonts w:ascii="Arial" w:hAnsi="Arial" w:cs="Arial"/>
          <w:i/>
          <w:iCs/>
        </w:rPr>
        <w:t>3</w:t>
      </w:r>
      <w:r w:rsidRPr="00D01A51">
        <w:rPr>
          <w:rFonts w:ascii="Arial" w:hAnsi="Arial" w:cs="Arial"/>
          <w:i/>
          <w:iCs/>
        </w:rPr>
        <w:t>)</w:t>
      </w:r>
    </w:p>
    <w:p w14:paraId="5016EF61" w14:textId="77777777" w:rsidR="002B699E" w:rsidRPr="00D01A51" w:rsidRDefault="002B699E" w:rsidP="002B699E">
      <w:pPr>
        <w:spacing w:line="360" w:lineRule="auto"/>
        <w:rPr>
          <w:rFonts w:ascii="Arial" w:hAnsi="Arial" w:cs="Arial"/>
        </w:rPr>
      </w:pPr>
      <w:r w:rsidRPr="00D01A51">
        <w:rPr>
          <w:rFonts w:ascii="Arial" w:hAnsi="Arial" w:cs="Arial"/>
        </w:rPr>
        <w:t>Others described being aware of the association but feeling less confident explaining it to patients.</w:t>
      </w:r>
    </w:p>
    <w:p w14:paraId="1AEA3435" w14:textId="77777777" w:rsidR="002B699E" w:rsidRPr="00D01A51" w:rsidRDefault="002B699E" w:rsidP="002B699E">
      <w:pPr>
        <w:spacing w:line="360" w:lineRule="auto"/>
        <w:rPr>
          <w:rFonts w:ascii="Arial" w:hAnsi="Arial" w:cs="Arial"/>
        </w:rPr>
      </w:pPr>
      <w:r w:rsidRPr="00D01A51">
        <w:rPr>
          <w:rFonts w:ascii="Arial" w:hAnsi="Arial" w:cs="Arial"/>
        </w:rPr>
        <w:lastRenderedPageBreak/>
        <w:t>“I’m aware of the association, but I don’t feel confident counselling patients in detail because I don’t fully understand the pathophysiology.”</w:t>
      </w:r>
      <w:r w:rsidRPr="00D01A51">
        <w:rPr>
          <w:rFonts w:ascii="Arial" w:hAnsi="Arial" w:cs="Arial"/>
        </w:rPr>
        <w:br/>
      </w:r>
      <w:r w:rsidRPr="00D01A51">
        <w:rPr>
          <w:rFonts w:ascii="Arial" w:hAnsi="Arial" w:cs="Arial"/>
          <w:i/>
          <w:iCs/>
        </w:rPr>
        <w:t>(</w:t>
      </w:r>
      <w:r w:rsidR="00627C72">
        <w:rPr>
          <w:rFonts w:ascii="Arial" w:hAnsi="Arial" w:cs="Arial"/>
          <w:i/>
          <w:iCs/>
        </w:rPr>
        <w:t>Nurse</w:t>
      </w:r>
      <w:r w:rsidR="00E47228">
        <w:rPr>
          <w:rFonts w:ascii="Arial" w:hAnsi="Arial" w:cs="Arial"/>
          <w:i/>
          <w:iCs/>
        </w:rPr>
        <w:t>3</w:t>
      </w:r>
      <w:r w:rsidRPr="00D01A51">
        <w:rPr>
          <w:rFonts w:ascii="Arial" w:hAnsi="Arial" w:cs="Arial"/>
          <w:i/>
          <w:iCs/>
        </w:rPr>
        <w:t>)</w:t>
      </w:r>
    </w:p>
    <w:p w14:paraId="25E1922C" w14:textId="77777777" w:rsidR="00424590" w:rsidRPr="00A935E9" w:rsidRDefault="00424590" w:rsidP="00424590">
      <w:pPr>
        <w:spacing w:line="360" w:lineRule="auto"/>
        <w:rPr>
          <w:rFonts w:ascii="Arial" w:hAnsi="Arial" w:cs="Arial"/>
          <w:color w:val="FF0000"/>
        </w:rPr>
      </w:pPr>
      <w:r w:rsidRPr="00A935E9">
        <w:rPr>
          <w:rFonts w:ascii="Arial" w:hAnsi="Arial" w:cs="Arial"/>
          <w:color w:val="FF0000"/>
        </w:rPr>
        <w:t>The interviews also illustrated differences in monitoring practice across professional roles, with one pharmacist describing vitamin B</w:t>
      </w:r>
      <w:r w:rsidRPr="00A935E9">
        <w:rPr>
          <w:rFonts w:ascii="Arial" w:hAnsi="Arial" w:cs="Arial"/>
          <w:color w:val="FF0000"/>
          <w:vertAlign w:val="subscript"/>
        </w:rPr>
        <w:t>12</w:t>
      </w:r>
      <w:r w:rsidRPr="00A935E9">
        <w:rPr>
          <w:rFonts w:ascii="Arial" w:hAnsi="Arial" w:cs="Arial"/>
          <w:color w:val="FF0000"/>
        </w:rPr>
        <w:t xml:space="preserve"> checks as part of their medication reviews, whereas other clinicians relied on existing monitoring systems or referred to colleagues for advice.</w:t>
      </w:r>
    </w:p>
    <w:p w14:paraId="59B16F4F" w14:textId="77777777" w:rsidR="00424590" w:rsidRPr="00A935E9" w:rsidRDefault="00424590" w:rsidP="00424590">
      <w:pPr>
        <w:spacing w:line="360" w:lineRule="auto"/>
        <w:rPr>
          <w:rFonts w:ascii="Arial" w:hAnsi="Arial" w:cs="Arial"/>
          <w:color w:val="FF0000"/>
        </w:rPr>
      </w:pPr>
      <w:r w:rsidRPr="00A935E9">
        <w:rPr>
          <w:rFonts w:ascii="Arial" w:hAnsi="Arial" w:cs="Arial"/>
          <w:color w:val="FF0000"/>
        </w:rPr>
        <w:t>“During medication reviews, I always check vitamin B</w:t>
      </w:r>
      <w:r w:rsidRPr="00A935E9">
        <w:rPr>
          <w:rFonts w:ascii="Arial" w:hAnsi="Arial" w:cs="Arial"/>
          <w:color w:val="FF0000"/>
          <w:vertAlign w:val="subscript"/>
        </w:rPr>
        <w:t>12</w:t>
      </w:r>
      <w:r w:rsidRPr="00A935E9">
        <w:rPr>
          <w:rFonts w:ascii="Arial" w:hAnsi="Arial" w:cs="Arial"/>
          <w:color w:val="FF0000"/>
        </w:rPr>
        <w:t xml:space="preserve"> levels in patients taking metformin.”</w:t>
      </w:r>
      <w:r w:rsidRPr="00A935E9">
        <w:rPr>
          <w:rFonts w:ascii="Arial" w:hAnsi="Arial" w:cs="Arial"/>
          <w:color w:val="FF0000"/>
        </w:rPr>
        <w:br/>
        <w:t>(Pharmacist1)</w:t>
      </w:r>
    </w:p>
    <w:p w14:paraId="070814ED" w14:textId="77777777" w:rsidR="002B699E" w:rsidRPr="00CE50EB" w:rsidRDefault="00CE50EB" w:rsidP="002B699E">
      <w:pPr>
        <w:spacing w:line="360" w:lineRule="auto"/>
        <w:rPr>
          <w:rFonts w:ascii="Arial" w:hAnsi="Arial" w:cs="Arial"/>
          <w:color w:val="FF0000"/>
        </w:rPr>
      </w:pPr>
      <w:r w:rsidRPr="00CE50EB">
        <w:rPr>
          <w:rFonts w:ascii="Arial" w:hAnsi="Arial" w:cs="Arial"/>
          <w:color w:val="FF0000"/>
        </w:rPr>
        <w:t>The relationship between the four themes showed that clinician awareness did not result in an agreed approach to monitoring, with monitoring described more consistently where responsibility for testing had been agreed and supported through the systems used for diabetes care. Where no such process existed, clinicians had to decide whether vitamin B</w:t>
      </w:r>
      <w:r w:rsidRPr="00CE50EB">
        <w:rPr>
          <w:rFonts w:ascii="Arial" w:hAnsi="Arial" w:cs="Arial"/>
          <w:color w:val="FF0000"/>
          <w:vertAlign w:val="subscript"/>
        </w:rPr>
        <w:t>12</w:t>
      </w:r>
      <w:r w:rsidRPr="00CE50EB">
        <w:rPr>
          <w:rFonts w:ascii="Arial" w:hAnsi="Arial" w:cs="Arial"/>
          <w:color w:val="FF0000"/>
        </w:rPr>
        <w:t xml:space="preserve"> testing was relevant within the circumstances of the consultation, and these decisions were influenced by service pressures and the uncertainty within the guidance.</w:t>
      </w:r>
    </w:p>
    <w:p w14:paraId="5C1778CD" w14:textId="77777777" w:rsidR="002B699E" w:rsidRPr="00D01A51" w:rsidRDefault="002B699E" w:rsidP="002B699E">
      <w:pPr>
        <w:spacing w:line="360" w:lineRule="auto"/>
        <w:rPr>
          <w:rFonts w:ascii="Arial" w:hAnsi="Arial" w:cs="Arial"/>
          <w:b/>
          <w:bCs/>
        </w:rPr>
      </w:pPr>
      <w:r w:rsidRPr="00D01A51">
        <w:rPr>
          <w:rFonts w:ascii="Arial" w:hAnsi="Arial" w:cs="Arial"/>
          <w:b/>
          <w:bCs/>
        </w:rPr>
        <w:t>Discussion</w:t>
      </w:r>
    </w:p>
    <w:p w14:paraId="0B822CDD" w14:textId="77777777" w:rsidR="00474527" w:rsidRPr="00474527" w:rsidRDefault="00474527" w:rsidP="00474527">
      <w:pPr>
        <w:spacing w:line="360" w:lineRule="auto"/>
        <w:rPr>
          <w:rFonts w:ascii="Arial" w:hAnsi="Arial" w:cs="Arial"/>
          <w:color w:val="FF0000"/>
          <w:lang w:eastAsia="en-GB"/>
        </w:rPr>
      </w:pPr>
      <w:commentRangeStart w:id="11"/>
      <w:r w:rsidRPr="00474527">
        <w:rPr>
          <w:rFonts w:ascii="Arial" w:hAnsi="Arial" w:cs="Arial"/>
          <w:color w:val="FF0000"/>
          <w:lang w:eastAsia="en-GB"/>
        </w:rPr>
        <w:t xml:space="preserve">The data collected from the interviews demonstrated that clinician awareness of the association between metformin and vitamin </w:t>
      </w:r>
      <w:r>
        <w:rPr>
          <w:rFonts w:ascii="Arial" w:hAnsi="Arial" w:cs="Arial"/>
          <w:color w:val="FF0000"/>
          <w:lang w:eastAsia="en-GB"/>
        </w:rPr>
        <w:t>B</w:t>
      </w:r>
      <w:r w:rsidRPr="00474527">
        <w:rPr>
          <w:rFonts w:ascii="Arial" w:hAnsi="Arial" w:cs="Arial"/>
          <w:color w:val="FF0000"/>
          <w:vertAlign w:val="subscript"/>
          <w:lang w:eastAsia="en-GB"/>
        </w:rPr>
        <w:t xml:space="preserve">12 </w:t>
      </w:r>
      <w:r w:rsidRPr="00474527">
        <w:rPr>
          <w:rFonts w:ascii="Arial" w:hAnsi="Arial" w:cs="Arial"/>
          <w:color w:val="FF0000"/>
          <w:lang w:eastAsia="en-GB"/>
        </w:rPr>
        <w:t xml:space="preserve">deficiency had not produced a consistent approach to monitoring within primary care. Some participants described vitamin </w:t>
      </w:r>
      <w:r>
        <w:rPr>
          <w:rFonts w:ascii="Arial" w:hAnsi="Arial" w:cs="Arial"/>
          <w:color w:val="FF0000"/>
          <w:lang w:eastAsia="en-GB"/>
        </w:rPr>
        <w:t>B</w:t>
      </w:r>
      <w:r w:rsidRPr="00474527">
        <w:rPr>
          <w:rFonts w:ascii="Arial" w:hAnsi="Arial" w:cs="Arial"/>
          <w:color w:val="FF0000"/>
          <w:vertAlign w:val="subscript"/>
          <w:lang w:eastAsia="en-GB"/>
        </w:rPr>
        <w:t>12</w:t>
      </w:r>
      <w:r w:rsidRPr="00474527">
        <w:rPr>
          <w:rFonts w:ascii="Arial" w:hAnsi="Arial" w:cs="Arial"/>
          <w:color w:val="FF0000"/>
          <w:lang w:eastAsia="en-GB"/>
        </w:rPr>
        <w:t xml:space="preserve"> testing as being included within annual diabetes reviews, routine blood tests or medication reviews, whereas others described monitoring as mainly symptom led or dependent on vitamin </w:t>
      </w:r>
      <w:r>
        <w:rPr>
          <w:rFonts w:ascii="Arial" w:hAnsi="Arial" w:cs="Arial"/>
          <w:color w:val="FF0000"/>
          <w:lang w:eastAsia="en-GB"/>
        </w:rPr>
        <w:t>B</w:t>
      </w:r>
      <w:r w:rsidRPr="00474527">
        <w:rPr>
          <w:rFonts w:ascii="Arial" w:hAnsi="Arial" w:cs="Arial"/>
          <w:color w:val="FF0000"/>
          <w:vertAlign w:val="subscript"/>
          <w:lang w:eastAsia="en-GB"/>
        </w:rPr>
        <w:t>12</w:t>
      </w:r>
      <w:r w:rsidRPr="00474527">
        <w:rPr>
          <w:rFonts w:ascii="Arial" w:hAnsi="Arial" w:cs="Arial"/>
          <w:color w:val="FF0000"/>
          <w:lang w:eastAsia="en-GB"/>
        </w:rPr>
        <w:t xml:space="preserve"> testing being considered for another clinical reason. The difference between these accounts was not limited to individual knowledge, as it reflected whether a clinical process had been developed through which monitoring could take place. Where testing had been included within an existing process, it was less dependent on the risk being reconsidered during each consultation. </w:t>
      </w:r>
      <w:r>
        <w:rPr>
          <w:rFonts w:ascii="Arial" w:hAnsi="Arial" w:cs="Arial"/>
          <w:color w:val="FF0000"/>
          <w:lang w:eastAsia="en-GB"/>
        </w:rPr>
        <w:t>When this did not occur</w:t>
      </w:r>
      <w:r w:rsidRPr="00474527">
        <w:rPr>
          <w:rFonts w:ascii="Arial" w:hAnsi="Arial" w:cs="Arial"/>
          <w:color w:val="FF0000"/>
          <w:lang w:eastAsia="en-GB"/>
        </w:rPr>
        <w:t>, the clinician still had to identify the risk, decide whether testing was relevant and establish whether they or another member of the team was responsible for acting.</w:t>
      </w:r>
      <w:commentRangeEnd w:id="11"/>
      <w:r w:rsidR="005F2C10" w:rsidRPr="00474527">
        <w:rPr>
          <w:rStyle w:val="CommentReference"/>
          <w:rFonts w:ascii="Arial" w:hAnsi="Arial" w:cs="Arial"/>
          <w:color w:val="FF0000"/>
          <w:sz w:val="22"/>
          <w:szCs w:val="22"/>
          <w:lang w:eastAsia="en-GB"/>
        </w:rPr>
        <w:commentReference w:id="11"/>
      </w:r>
    </w:p>
    <w:p w14:paraId="1BFFCC57" w14:textId="77777777" w:rsidR="00474527" w:rsidRPr="00474527" w:rsidRDefault="00474527" w:rsidP="00474527">
      <w:pPr>
        <w:spacing w:line="360" w:lineRule="auto"/>
        <w:rPr>
          <w:rFonts w:ascii="Arial" w:hAnsi="Arial" w:cs="Arial"/>
          <w:color w:val="FF0000"/>
          <w:lang w:eastAsia="en-GB"/>
        </w:rPr>
      </w:pPr>
      <w:r w:rsidRPr="00474527">
        <w:rPr>
          <w:rFonts w:ascii="Arial" w:hAnsi="Arial" w:cs="Arial"/>
          <w:color w:val="FF0000"/>
          <w:lang w:eastAsia="en-GB"/>
        </w:rPr>
        <w:t>The MHRA guidance</w:t>
      </w:r>
      <w:r w:rsidRPr="00474527">
        <w:rPr>
          <w:rFonts w:ascii="Arial" w:hAnsi="Arial" w:cs="Arial"/>
          <w:color w:val="FF0000"/>
          <w:vertAlign w:val="superscript"/>
          <w:lang w:eastAsia="en-GB"/>
        </w:rPr>
        <w:t>7</w:t>
      </w:r>
      <w:r w:rsidRPr="00474527">
        <w:rPr>
          <w:rFonts w:ascii="Arial" w:hAnsi="Arial" w:cs="Arial"/>
          <w:color w:val="FF0000"/>
          <w:lang w:eastAsia="en-GB"/>
        </w:rPr>
        <w:t xml:space="preserve"> identified vitamin </w:t>
      </w:r>
      <w:r>
        <w:rPr>
          <w:rFonts w:ascii="Arial" w:hAnsi="Arial" w:cs="Arial"/>
          <w:color w:val="FF0000"/>
          <w:lang w:eastAsia="en-GB"/>
        </w:rPr>
        <w:t>B</w:t>
      </w:r>
      <w:r w:rsidRPr="00474527">
        <w:rPr>
          <w:rFonts w:ascii="Arial" w:hAnsi="Arial" w:cs="Arial"/>
          <w:color w:val="FF0000"/>
          <w:vertAlign w:val="subscript"/>
          <w:lang w:eastAsia="en-GB"/>
        </w:rPr>
        <w:t>12</w:t>
      </w:r>
      <w:r w:rsidRPr="00474527">
        <w:rPr>
          <w:rFonts w:ascii="Arial" w:hAnsi="Arial" w:cs="Arial"/>
          <w:color w:val="FF0000"/>
          <w:lang w:eastAsia="en-GB"/>
        </w:rPr>
        <w:t xml:space="preserve"> deficiency as a common adverse effect of longer-term metformin treatment and advised that periodic monitoring should be considered in patients with risk factors. However, the recommendation left primary care teams to decide which patients should be included, how frequently testing should take place and who should request, review and act on the result. As a drug safety communication, the alert was not </w:t>
      </w:r>
      <w:r w:rsidRPr="00474527">
        <w:rPr>
          <w:rFonts w:ascii="Arial" w:hAnsi="Arial" w:cs="Arial"/>
          <w:color w:val="FF0000"/>
          <w:lang w:eastAsia="en-GB"/>
        </w:rPr>
        <w:lastRenderedPageBreak/>
        <w:t>designed to provide a complete primary care monitoring process, but publication of the risk did not resolve the work required to implement it within individual practices. The result was that the need for monitoring had been communicated without a consistent process through which it could be delivered, leaving its application dependent on how each practice had organised diabetes care.</w:t>
      </w:r>
    </w:p>
    <w:p w14:paraId="3F4EE5F8" w14:textId="77777777" w:rsidR="002B699E" w:rsidRPr="00D01A51" w:rsidRDefault="002B699E" w:rsidP="002B699E">
      <w:pPr>
        <w:spacing w:line="360" w:lineRule="auto"/>
        <w:rPr>
          <w:rFonts w:ascii="Arial" w:hAnsi="Arial" w:cs="Arial"/>
          <w:color w:val="000000"/>
          <w:lang w:eastAsia="en-GB"/>
        </w:rPr>
      </w:pPr>
      <w:r w:rsidRPr="00D01A51">
        <w:rPr>
          <w:rFonts w:ascii="Arial" w:hAnsi="Arial" w:cs="Arial"/>
          <w:b/>
          <w:bCs/>
          <w:color w:val="000000"/>
          <w:lang w:eastAsia="en-GB"/>
        </w:rPr>
        <w:t>Preventive monitoring within routine consultations</w:t>
      </w:r>
    </w:p>
    <w:p w14:paraId="50D9360E" w14:textId="45BC2C3B" w:rsidR="006B5FDB" w:rsidRPr="006B5FDB" w:rsidRDefault="005F2C10" w:rsidP="006B5FDB">
      <w:pPr>
        <w:spacing w:line="360" w:lineRule="auto"/>
        <w:rPr>
          <w:rFonts w:ascii="Arial" w:hAnsi="Arial" w:cs="Arial"/>
          <w:color w:val="000000"/>
          <w:lang w:eastAsia="en-GB"/>
        </w:rPr>
      </w:pPr>
      <w:r w:rsidRPr="00A42EFD">
        <w:rPr>
          <w:rFonts w:ascii="Arial" w:hAnsi="Arial" w:cs="Arial"/>
          <w:lang w:eastAsia="en-GB"/>
        </w:rPr>
        <w:t>Participants consistently described</w:t>
      </w:r>
      <w:r>
        <w:rPr>
          <w:rFonts w:ascii="Arial" w:hAnsi="Arial" w:cs="Arial"/>
          <w:lang w:eastAsia="en-GB"/>
        </w:rPr>
        <w:t xml:space="preserve"> </w:t>
      </w:r>
      <w:r w:rsidR="006B5FDB" w:rsidRPr="006B5FDB">
        <w:rPr>
          <w:rFonts w:ascii="Arial" w:hAnsi="Arial" w:cs="Arial"/>
          <w:color w:val="000000"/>
          <w:lang w:eastAsia="en-GB"/>
        </w:rPr>
        <w:t xml:space="preserve">demonstrated that preventive monitoring was difficult to address within time-limited consultations, particularly when patients presented with immediate or complex clinical problems. Clinicians described having to prioritise the presenting problem and the medication risks considered most relevant to the patient at that time, which meant that longer-term risks such as vitamin </w:t>
      </w:r>
      <w:r w:rsidR="006B5FDB">
        <w:rPr>
          <w:rFonts w:ascii="Arial" w:hAnsi="Arial" w:cs="Arial"/>
          <w:color w:val="000000"/>
          <w:lang w:eastAsia="en-GB"/>
        </w:rPr>
        <w:t>B</w:t>
      </w:r>
      <w:r w:rsidR="006B5FDB" w:rsidRPr="006B5FDB">
        <w:rPr>
          <w:rFonts w:ascii="Arial" w:hAnsi="Arial" w:cs="Arial"/>
          <w:color w:val="000000"/>
          <w:vertAlign w:val="subscript"/>
          <w:lang w:eastAsia="en-GB"/>
        </w:rPr>
        <w:t>12</w:t>
      </w:r>
      <w:r w:rsidR="006B5FDB" w:rsidRPr="006B5FDB">
        <w:rPr>
          <w:rFonts w:ascii="Arial" w:hAnsi="Arial" w:cs="Arial"/>
          <w:color w:val="000000"/>
          <w:lang w:eastAsia="en-GB"/>
        </w:rPr>
        <w:t xml:space="preserve"> deficiency were less likely to be discussed or investigated during these consultations. Vitamin </w:t>
      </w:r>
      <w:r w:rsidR="006B5FDB">
        <w:rPr>
          <w:rFonts w:ascii="Arial" w:hAnsi="Arial" w:cs="Arial"/>
          <w:color w:val="000000"/>
          <w:lang w:eastAsia="en-GB"/>
        </w:rPr>
        <w:t>B</w:t>
      </w:r>
      <w:r w:rsidR="006B5FDB" w:rsidRPr="006B5FDB">
        <w:rPr>
          <w:rFonts w:ascii="Arial" w:hAnsi="Arial" w:cs="Arial"/>
          <w:color w:val="000000"/>
          <w:vertAlign w:val="subscript"/>
          <w:lang w:eastAsia="en-GB"/>
        </w:rPr>
        <w:t>12</w:t>
      </w:r>
      <w:r w:rsidR="006B5FDB" w:rsidRPr="006B5FDB">
        <w:rPr>
          <w:rFonts w:ascii="Arial" w:hAnsi="Arial" w:cs="Arial"/>
          <w:color w:val="000000"/>
          <w:lang w:eastAsia="en-GB"/>
        </w:rPr>
        <w:t xml:space="preserve"> monitoring was not absent from practice, as testing was described as taking place through annual diabetes reviews, routine blood testing and medication reviews. However, where testing had not been included within one of these existing processes, it remained dependent on the clinician identifying a reason to consider it during the consultation.</w:t>
      </w:r>
    </w:p>
    <w:p w14:paraId="37FBA48F" w14:textId="77777777" w:rsidR="006B5FDB" w:rsidRPr="006B5FDB" w:rsidRDefault="006B5FDB" w:rsidP="006B5FDB">
      <w:pPr>
        <w:spacing w:line="360" w:lineRule="auto"/>
        <w:rPr>
          <w:rFonts w:ascii="Arial" w:hAnsi="Arial" w:cs="Arial"/>
          <w:color w:val="000000"/>
          <w:lang w:eastAsia="en-GB"/>
        </w:rPr>
      </w:pPr>
      <w:r w:rsidRPr="006B5FDB">
        <w:rPr>
          <w:rFonts w:ascii="Arial" w:hAnsi="Arial" w:cs="Arial"/>
          <w:color w:val="000000"/>
          <w:lang w:eastAsia="en-GB"/>
        </w:rPr>
        <w:t>The difficulties described by the participants are consistent with the previous research examining competing demands within primary care. Korownyk et al.</w:t>
      </w:r>
      <w:r w:rsidR="00474527" w:rsidRPr="00474527">
        <w:rPr>
          <w:rFonts w:ascii="Arial" w:hAnsi="Arial" w:cs="Arial"/>
          <w:color w:val="000000"/>
          <w:vertAlign w:val="superscript"/>
          <w:lang w:eastAsia="en-GB"/>
        </w:rPr>
        <w:t>2</w:t>
      </w:r>
      <w:r w:rsidR="00474527">
        <w:rPr>
          <w:rFonts w:ascii="Arial" w:hAnsi="Arial" w:cs="Arial"/>
          <w:color w:val="000000"/>
          <w:vertAlign w:val="superscript"/>
          <w:lang w:eastAsia="en-GB"/>
        </w:rPr>
        <w:t>5</w:t>
      </w:r>
      <w:r w:rsidRPr="006B5FDB">
        <w:rPr>
          <w:rFonts w:ascii="Arial" w:hAnsi="Arial" w:cs="Arial"/>
          <w:color w:val="000000"/>
          <w:lang w:eastAsia="en-GB"/>
        </w:rPr>
        <w:t xml:space="preserve"> proposed that clinical work in primary care includes the management of acute conditions, chronic disease, preventive cardiovascular care, cancer screening and health promotion, with clinicians having to decide how the available consultation time should be divided between these different areas of care. The competing demands model similarly identifies the continuing need to prioritise between acute illness, chronic disease management and preventive care during clinical encounters.</w:t>
      </w:r>
      <w:r>
        <w:rPr>
          <w:rFonts w:ascii="Arial" w:hAnsi="Arial" w:cs="Arial"/>
          <w:color w:val="000000"/>
          <w:lang w:eastAsia="en-GB"/>
        </w:rPr>
        <w:t xml:space="preserve"> </w:t>
      </w:r>
      <w:r w:rsidR="00474527" w:rsidRPr="00474527">
        <w:rPr>
          <w:rFonts w:ascii="Arial" w:hAnsi="Arial" w:cs="Arial"/>
          <w:color w:val="000000"/>
          <w:vertAlign w:val="superscript"/>
          <w:lang w:eastAsia="en-GB"/>
        </w:rPr>
        <w:t>2</w:t>
      </w:r>
      <w:r w:rsidR="00474527">
        <w:rPr>
          <w:rFonts w:ascii="Arial" w:hAnsi="Arial" w:cs="Arial"/>
          <w:color w:val="000000"/>
          <w:vertAlign w:val="superscript"/>
          <w:lang w:eastAsia="en-GB"/>
        </w:rPr>
        <w:t>6</w:t>
      </w:r>
      <w:r w:rsidRPr="006B5FDB">
        <w:rPr>
          <w:rFonts w:ascii="Arial" w:hAnsi="Arial" w:cs="Arial"/>
          <w:color w:val="000000"/>
          <w:lang w:eastAsia="en-GB"/>
        </w:rPr>
        <w:t xml:space="preserve"> However, competing demands alone do not explain why vitamin </w:t>
      </w:r>
      <w:r>
        <w:rPr>
          <w:rFonts w:ascii="Arial" w:hAnsi="Arial" w:cs="Arial"/>
          <w:color w:val="000000"/>
          <w:lang w:eastAsia="en-GB"/>
        </w:rPr>
        <w:t>B</w:t>
      </w:r>
      <w:r w:rsidRPr="006B5FDB">
        <w:rPr>
          <w:rFonts w:ascii="Arial" w:hAnsi="Arial" w:cs="Arial"/>
          <w:color w:val="000000"/>
          <w:vertAlign w:val="subscript"/>
          <w:lang w:eastAsia="en-GB"/>
        </w:rPr>
        <w:t>12</w:t>
      </w:r>
      <w:r w:rsidRPr="006B5FDB">
        <w:rPr>
          <w:rFonts w:ascii="Arial" w:hAnsi="Arial" w:cs="Arial"/>
          <w:color w:val="000000"/>
          <w:lang w:eastAsia="en-GB"/>
        </w:rPr>
        <w:t xml:space="preserve"> monitoring remained easier to postpone than other parts of diabetes care. The interviews demonstrated that testing had no consistently defined interval or professional responsibility and had not been incorporated into routine diabetes processes across all of the participants’ practices. Therefore, when consultation time was limited, vitamin </w:t>
      </w:r>
      <w:r>
        <w:rPr>
          <w:rFonts w:ascii="Arial" w:hAnsi="Arial" w:cs="Arial"/>
          <w:color w:val="000000"/>
          <w:lang w:eastAsia="en-GB"/>
        </w:rPr>
        <w:t>B</w:t>
      </w:r>
      <w:r w:rsidRPr="006B5FDB">
        <w:rPr>
          <w:rFonts w:ascii="Arial" w:hAnsi="Arial" w:cs="Arial"/>
          <w:color w:val="000000"/>
          <w:vertAlign w:val="subscript"/>
          <w:lang w:eastAsia="en-GB"/>
        </w:rPr>
        <w:t xml:space="preserve">12 </w:t>
      </w:r>
      <w:r w:rsidRPr="006B5FDB">
        <w:rPr>
          <w:rFonts w:ascii="Arial" w:hAnsi="Arial" w:cs="Arial"/>
          <w:color w:val="000000"/>
          <w:lang w:eastAsia="en-GB"/>
        </w:rPr>
        <w:t>monitoring did not always have an established place within the care being provided.</w:t>
      </w:r>
    </w:p>
    <w:p w14:paraId="4BE4C3E3" w14:textId="77777777" w:rsidR="006B5FDB" w:rsidRPr="00474527" w:rsidRDefault="006B5FDB" w:rsidP="006B5FDB">
      <w:pPr>
        <w:spacing w:line="360" w:lineRule="auto"/>
        <w:rPr>
          <w:rFonts w:ascii="Arial" w:hAnsi="Arial" w:cs="Arial"/>
          <w:color w:val="FF0000"/>
          <w:lang w:eastAsia="en-GB"/>
        </w:rPr>
      </w:pPr>
      <w:commentRangeStart w:id="12"/>
      <w:r w:rsidRPr="00474527">
        <w:rPr>
          <w:rFonts w:ascii="Arial" w:hAnsi="Arial" w:cs="Arial"/>
          <w:color w:val="FF0000"/>
          <w:lang w:eastAsia="en-GB"/>
        </w:rPr>
        <w:t>The quantitative analysis undertaken during an earlier phase of this research identified an increase in vitamin B</w:t>
      </w:r>
      <w:r w:rsidRPr="00474527">
        <w:rPr>
          <w:rFonts w:ascii="Arial" w:hAnsi="Arial" w:cs="Arial"/>
          <w:color w:val="FF0000"/>
          <w:vertAlign w:val="subscript"/>
          <w:lang w:eastAsia="en-GB"/>
        </w:rPr>
        <w:t>12</w:t>
      </w:r>
      <w:r w:rsidRPr="00474527">
        <w:rPr>
          <w:rFonts w:ascii="Arial" w:hAnsi="Arial" w:cs="Arial"/>
          <w:color w:val="FF0000"/>
          <w:lang w:eastAsia="en-GB"/>
        </w:rPr>
        <w:t xml:space="preserve"> testing following publication of the MHRA alert,⁷ but testing remained below 40% and a similar increase was also found within the general population.¹⁰ The interviews cannot establish that consultation pressures or existing workflows caused these patterns in recorded testing, but they identified how monitoring continued to depend on the circumstances in which patients were seen when no routine process had been established. </w:t>
      </w:r>
      <w:r w:rsidRPr="00474527">
        <w:rPr>
          <w:rFonts w:ascii="Arial" w:hAnsi="Arial" w:cs="Arial"/>
          <w:color w:val="FF0000"/>
          <w:lang w:eastAsia="en-GB"/>
        </w:rPr>
        <w:lastRenderedPageBreak/>
        <w:t>Where vitamin B</w:t>
      </w:r>
      <w:r w:rsidRPr="00474527">
        <w:rPr>
          <w:rFonts w:ascii="Arial" w:hAnsi="Arial" w:cs="Arial"/>
          <w:color w:val="FF0000"/>
          <w:vertAlign w:val="subscript"/>
          <w:lang w:eastAsia="en-GB"/>
        </w:rPr>
        <w:t>12</w:t>
      </w:r>
      <w:r w:rsidRPr="00474527">
        <w:rPr>
          <w:rFonts w:ascii="Arial" w:hAnsi="Arial" w:cs="Arial"/>
          <w:color w:val="FF0000"/>
          <w:lang w:eastAsia="en-GB"/>
        </w:rPr>
        <w:t xml:space="preserve"> testing had not been included within an annual review or medication monitoring process, existing workflows continued without it despite greater awareness of the risk. This pattern reflects workflow inertia, as publication of the guidance had increased awareness without consistently changing the clinical processes through which monitoring took place.</w:t>
      </w:r>
      <w:commentRangeEnd w:id="12"/>
      <w:r w:rsidRPr="00474527">
        <w:rPr>
          <w:rStyle w:val="CommentReference"/>
          <w:rFonts w:ascii="Arial" w:hAnsi="Arial" w:cs="Arial"/>
          <w:color w:val="FF0000"/>
          <w:sz w:val="22"/>
          <w:szCs w:val="22"/>
          <w:lang w:eastAsia="en-GB"/>
        </w:rPr>
        <w:commentReference w:id="12"/>
      </w:r>
    </w:p>
    <w:p w14:paraId="223BAF50" w14:textId="77777777" w:rsidR="002B699E" w:rsidRPr="00D01A51" w:rsidRDefault="002B699E" w:rsidP="002B699E">
      <w:pPr>
        <w:spacing w:line="360" w:lineRule="auto"/>
        <w:rPr>
          <w:rFonts w:ascii="Arial" w:hAnsi="Arial" w:cs="Arial"/>
          <w:color w:val="000000"/>
          <w:lang w:eastAsia="en-GB"/>
        </w:rPr>
      </w:pPr>
      <w:r w:rsidRPr="00D01A51">
        <w:rPr>
          <w:rFonts w:ascii="Arial" w:hAnsi="Arial" w:cs="Arial"/>
          <w:b/>
          <w:bCs/>
          <w:color w:val="000000"/>
          <w:lang w:eastAsia="en-GB"/>
        </w:rPr>
        <w:t>Multidisciplinary care and shared responsibility</w:t>
      </w:r>
    </w:p>
    <w:p w14:paraId="66C14D5A" w14:textId="77777777" w:rsidR="00E34453" w:rsidRPr="00E34453" w:rsidRDefault="00E34453" w:rsidP="00E34453">
      <w:pPr>
        <w:spacing w:line="360" w:lineRule="auto"/>
        <w:rPr>
          <w:rFonts w:ascii="Arial" w:hAnsi="Arial" w:cs="Arial"/>
          <w:color w:val="FF0000"/>
          <w:lang w:eastAsia="en-GB"/>
        </w:rPr>
      </w:pPr>
      <w:r w:rsidRPr="00E34453">
        <w:rPr>
          <w:rFonts w:ascii="Arial" w:hAnsi="Arial" w:cs="Arial"/>
          <w:color w:val="FF0000"/>
          <w:lang w:eastAsia="en-GB"/>
        </w:rPr>
        <w:t xml:space="preserve">The interviews identified that </w:t>
      </w:r>
      <w:r>
        <w:rPr>
          <w:rFonts w:ascii="Arial" w:hAnsi="Arial" w:cs="Arial"/>
          <w:color w:val="FF0000"/>
          <w:lang w:eastAsia="en-GB"/>
        </w:rPr>
        <w:t xml:space="preserve">the </w:t>
      </w:r>
      <w:r w:rsidRPr="00E34453">
        <w:rPr>
          <w:rFonts w:ascii="Arial" w:hAnsi="Arial" w:cs="Arial"/>
          <w:color w:val="FF0000"/>
          <w:lang w:eastAsia="en-GB"/>
        </w:rPr>
        <w:t xml:space="preserve">responsibility for diabetes care was spread across the primary care team, but the parts of care undertaken by each professional group were different. </w:t>
      </w:r>
      <w:r>
        <w:rPr>
          <w:rFonts w:ascii="Arial" w:hAnsi="Arial" w:cs="Arial"/>
          <w:color w:val="FF0000"/>
          <w:lang w:eastAsia="en-GB"/>
        </w:rPr>
        <w:t>The r</w:t>
      </w:r>
      <w:r w:rsidRPr="00E34453">
        <w:rPr>
          <w:rFonts w:ascii="Arial" w:hAnsi="Arial" w:cs="Arial"/>
          <w:color w:val="FF0000"/>
          <w:lang w:eastAsia="en-GB"/>
        </w:rPr>
        <w:t xml:space="preserve">outine diabetes monitoring and annual reviews were usually led by specialist diabetes nurses, with GPs, pharmacists and other clinicians becoming involved through prescribing, medication reviews or the management of specific clinical problems. This arrangement supported continuity where monitoring had already been included within the annual diabetes review. However, there was no evidence that vitamin </w:t>
      </w:r>
      <w:r>
        <w:rPr>
          <w:rFonts w:ascii="Arial" w:hAnsi="Arial" w:cs="Arial"/>
          <w:color w:val="FF0000"/>
          <w:lang w:eastAsia="en-GB"/>
        </w:rPr>
        <w:t>B</w:t>
      </w:r>
      <w:r w:rsidRPr="00E34453">
        <w:rPr>
          <w:rFonts w:ascii="Arial" w:hAnsi="Arial" w:cs="Arial"/>
          <w:color w:val="FF0000"/>
          <w:vertAlign w:val="subscript"/>
          <w:lang w:eastAsia="en-GB"/>
        </w:rPr>
        <w:t>12</w:t>
      </w:r>
      <w:r w:rsidRPr="00E34453">
        <w:rPr>
          <w:rFonts w:ascii="Arial" w:hAnsi="Arial" w:cs="Arial"/>
          <w:color w:val="FF0000"/>
          <w:lang w:eastAsia="en-GB"/>
        </w:rPr>
        <w:t xml:space="preserve"> monitoring had automatically been assigned to the diabetes nurse or another professional group, and responsibility remained unclear where testing had not been included within an existing diabetes process.</w:t>
      </w:r>
    </w:p>
    <w:p w14:paraId="20C165DD" w14:textId="77777777" w:rsidR="00E34453" w:rsidRPr="00E34453" w:rsidRDefault="00E34453" w:rsidP="00E34453">
      <w:pPr>
        <w:spacing w:line="360" w:lineRule="auto"/>
        <w:rPr>
          <w:rFonts w:ascii="Arial" w:hAnsi="Arial" w:cs="Arial"/>
          <w:color w:val="FF0000"/>
          <w:lang w:eastAsia="en-GB"/>
        </w:rPr>
      </w:pPr>
      <w:r>
        <w:rPr>
          <w:rFonts w:ascii="Arial" w:hAnsi="Arial" w:cs="Arial"/>
          <w:color w:val="FF0000"/>
          <w:lang w:eastAsia="en-GB"/>
        </w:rPr>
        <w:t>The p</w:t>
      </w:r>
      <w:r w:rsidRPr="00E34453">
        <w:rPr>
          <w:rFonts w:ascii="Arial" w:hAnsi="Arial" w:cs="Arial"/>
          <w:color w:val="FF0000"/>
          <w:lang w:eastAsia="en-GB"/>
        </w:rPr>
        <w:t xml:space="preserve">revious research </w:t>
      </w:r>
      <w:r>
        <w:rPr>
          <w:rFonts w:ascii="Arial" w:hAnsi="Arial" w:cs="Arial"/>
          <w:color w:val="FF0000"/>
          <w:lang w:eastAsia="en-GB"/>
        </w:rPr>
        <w:t xml:space="preserve">conducted, </w:t>
      </w:r>
      <w:r w:rsidRPr="00E34453">
        <w:rPr>
          <w:rFonts w:ascii="Arial" w:hAnsi="Arial" w:cs="Arial"/>
          <w:color w:val="FF0000"/>
          <w:lang w:eastAsia="en-GB"/>
        </w:rPr>
        <w:t>has shown that nurse</w:t>
      </w:r>
      <w:r>
        <w:rPr>
          <w:rFonts w:ascii="Arial" w:hAnsi="Arial" w:cs="Arial"/>
          <w:color w:val="FF0000"/>
          <w:lang w:eastAsia="en-GB"/>
        </w:rPr>
        <w:t xml:space="preserve"> </w:t>
      </w:r>
      <w:r w:rsidRPr="00E34453">
        <w:rPr>
          <w:rFonts w:ascii="Arial" w:hAnsi="Arial" w:cs="Arial"/>
          <w:color w:val="FF0000"/>
          <w:lang w:eastAsia="en-GB"/>
        </w:rPr>
        <w:t>led diabetes services and physician–nurse substitution can support chronic disease monitoring and improve clinical outcomes.</w:t>
      </w:r>
      <w:r w:rsidRPr="00E34453">
        <w:rPr>
          <w:rFonts w:ascii="Arial" w:hAnsi="Arial" w:cs="Arial"/>
          <w:color w:val="FF0000"/>
          <w:vertAlign w:val="superscript"/>
          <w:lang w:eastAsia="en-GB"/>
        </w:rPr>
        <w:t>27,28</w:t>
      </w:r>
      <w:r w:rsidRPr="00E34453">
        <w:rPr>
          <w:rFonts w:ascii="Arial" w:hAnsi="Arial" w:cs="Arial"/>
          <w:color w:val="FF0000"/>
          <w:lang w:eastAsia="en-GB"/>
        </w:rPr>
        <w:t xml:space="preserve"> However, these studies mainly examined established services where the clinical responsibilities of the nurses had already been agreed</w:t>
      </w:r>
      <w:r>
        <w:rPr>
          <w:rFonts w:ascii="Arial" w:hAnsi="Arial" w:cs="Arial"/>
          <w:color w:val="FF0000"/>
          <w:lang w:eastAsia="en-GB"/>
        </w:rPr>
        <w:t xml:space="preserve"> and t</w:t>
      </w:r>
      <w:r w:rsidRPr="00E34453">
        <w:rPr>
          <w:rFonts w:ascii="Arial" w:hAnsi="Arial" w:cs="Arial"/>
          <w:color w:val="FF0000"/>
          <w:lang w:eastAsia="en-GB"/>
        </w:rPr>
        <w:t>hey do not show how responsibility for a newly recommended monitoring activity</w:t>
      </w:r>
      <w:r>
        <w:rPr>
          <w:rFonts w:ascii="Arial" w:hAnsi="Arial" w:cs="Arial"/>
          <w:color w:val="FF0000"/>
          <w:lang w:eastAsia="en-GB"/>
        </w:rPr>
        <w:t>, which</w:t>
      </w:r>
      <w:r w:rsidRPr="00E34453">
        <w:rPr>
          <w:rFonts w:ascii="Arial" w:hAnsi="Arial" w:cs="Arial"/>
          <w:color w:val="FF0000"/>
          <w:lang w:eastAsia="en-GB"/>
        </w:rPr>
        <w:t xml:space="preserve"> becomes incorporated into the existing division of work within primary care. Harris et al.</w:t>
      </w:r>
      <w:r w:rsidR="005A56F1" w:rsidRPr="005A56F1">
        <w:rPr>
          <w:rFonts w:ascii="Arial" w:hAnsi="Arial" w:cs="Arial"/>
          <w:color w:val="FF0000"/>
          <w:vertAlign w:val="superscript"/>
          <w:lang w:eastAsia="en-GB"/>
        </w:rPr>
        <w:t>29</w:t>
      </w:r>
      <w:r w:rsidRPr="00E34453">
        <w:rPr>
          <w:rFonts w:ascii="Arial" w:hAnsi="Arial" w:cs="Arial"/>
          <w:color w:val="FF0000"/>
          <w:lang w:eastAsia="en-GB"/>
        </w:rPr>
        <w:t xml:space="preserve"> identified a similar problem when examining multidisciplinary working, with uncertainty developing when responsibility for monitoring and follow-up was spread across different professional groups. The data collected from the present interviews demonstrated that professional role affected whether clinicians felt able to act, as some participants could identify a possible need for testing but did not consider requesting blood tests to be within their remit. There was no evidence of open disagreement between professional groups, but responsibility was not shared equally when the authority to request testing and act on the result remained linked to </w:t>
      </w:r>
      <w:r>
        <w:rPr>
          <w:rFonts w:ascii="Arial" w:hAnsi="Arial" w:cs="Arial"/>
          <w:color w:val="FF0000"/>
          <w:lang w:eastAsia="en-GB"/>
        </w:rPr>
        <w:t>certain clinical</w:t>
      </w:r>
      <w:r w:rsidRPr="00E34453">
        <w:rPr>
          <w:rFonts w:ascii="Arial" w:hAnsi="Arial" w:cs="Arial"/>
          <w:color w:val="FF0000"/>
          <w:lang w:eastAsia="en-GB"/>
        </w:rPr>
        <w:t xml:space="preserve"> roles.</w:t>
      </w:r>
    </w:p>
    <w:p w14:paraId="366DA5E7" w14:textId="77777777" w:rsidR="00E0030E" w:rsidRDefault="00E0030E" w:rsidP="002B699E">
      <w:pPr>
        <w:spacing w:line="360" w:lineRule="auto"/>
        <w:rPr>
          <w:rFonts w:ascii="Arial" w:hAnsi="Arial" w:cs="Arial"/>
          <w:color w:val="FF0000"/>
          <w:lang w:eastAsia="en-GB"/>
        </w:rPr>
      </w:pPr>
      <w:r w:rsidRPr="00E0030E">
        <w:rPr>
          <w:rFonts w:ascii="Arial" w:hAnsi="Arial" w:cs="Arial"/>
          <w:color w:val="FF0000"/>
          <w:lang w:eastAsia="en-GB"/>
        </w:rPr>
        <w:t xml:space="preserve">A separate survey of primary care clinicians found that 61.0% of prescribers reported routinely testing vitamin </w:t>
      </w:r>
      <w:r>
        <w:rPr>
          <w:rFonts w:ascii="Arial" w:hAnsi="Arial" w:cs="Arial"/>
          <w:color w:val="FF0000"/>
          <w:lang w:eastAsia="en-GB"/>
        </w:rPr>
        <w:t>B</w:t>
      </w:r>
      <w:r w:rsidRPr="00E0030E">
        <w:rPr>
          <w:rFonts w:ascii="Arial" w:hAnsi="Arial" w:cs="Arial"/>
          <w:color w:val="FF0000"/>
          <w:vertAlign w:val="subscript"/>
          <w:lang w:eastAsia="en-GB"/>
        </w:rPr>
        <w:t>12</w:t>
      </w:r>
      <w:r w:rsidRPr="00E0030E">
        <w:rPr>
          <w:rFonts w:ascii="Arial" w:hAnsi="Arial" w:cs="Arial"/>
          <w:color w:val="FF0000"/>
          <w:lang w:eastAsia="en-GB"/>
        </w:rPr>
        <w:t xml:space="preserve"> compared with 32.5% of non-prescribers.</w:t>
      </w:r>
      <w:r w:rsidRPr="00E0030E">
        <w:rPr>
          <w:rFonts w:ascii="Arial" w:hAnsi="Arial" w:cs="Arial"/>
          <w:color w:val="FF0000"/>
          <w:vertAlign w:val="superscript"/>
          <w:lang w:eastAsia="en-GB"/>
        </w:rPr>
        <w:t>11</w:t>
      </w:r>
      <w:r w:rsidRPr="00E0030E">
        <w:rPr>
          <w:rFonts w:ascii="Arial" w:hAnsi="Arial" w:cs="Arial"/>
          <w:color w:val="FF0000"/>
          <w:lang w:eastAsia="en-GB"/>
        </w:rPr>
        <w:t xml:space="preserve"> However, the survey could not determine whether this difference was related to the authority to request blood tests or how monitoring work had been divided across the primary care team. </w:t>
      </w:r>
      <w:r>
        <w:rPr>
          <w:rFonts w:ascii="Arial" w:hAnsi="Arial" w:cs="Arial"/>
          <w:color w:val="FF0000"/>
          <w:lang w:eastAsia="en-GB"/>
        </w:rPr>
        <w:t>Throughout</w:t>
      </w:r>
      <w:r w:rsidRPr="00E0030E">
        <w:rPr>
          <w:rFonts w:ascii="Arial" w:hAnsi="Arial" w:cs="Arial"/>
          <w:color w:val="FF0000"/>
          <w:lang w:eastAsia="en-GB"/>
        </w:rPr>
        <w:t xml:space="preserve"> the interviews, clinicians who did not consider blood-test requesting to be within their remit </w:t>
      </w:r>
      <w:r w:rsidRPr="00E0030E">
        <w:rPr>
          <w:rFonts w:ascii="Arial" w:hAnsi="Arial" w:cs="Arial"/>
          <w:color w:val="FF0000"/>
          <w:lang w:eastAsia="en-GB"/>
        </w:rPr>
        <w:lastRenderedPageBreak/>
        <w:t xml:space="preserve">described referring the decision to a GP or pharmacist, while GPs described longer-term monitoring as work that was usually undertaken by diabetes nurses. The interviews cannot demonstrate that these assumptions caused lower testing, but they show how a monitoring task could remain between professional roles even where the wider responsibility for diabetes care appeared clear. The uncertainty was therefore found at the level of the specific monitoring task, as general responsibility for diabetes care did not establish who would request and review vitamin </w:t>
      </w:r>
      <w:r>
        <w:rPr>
          <w:rFonts w:ascii="Arial" w:hAnsi="Arial" w:cs="Arial"/>
          <w:color w:val="FF0000"/>
          <w:lang w:eastAsia="en-GB"/>
        </w:rPr>
        <w:t>B</w:t>
      </w:r>
      <w:r w:rsidRPr="00E0030E">
        <w:rPr>
          <w:rFonts w:ascii="Arial" w:hAnsi="Arial" w:cs="Arial"/>
          <w:color w:val="FF0000"/>
          <w:vertAlign w:val="subscript"/>
          <w:lang w:eastAsia="en-GB"/>
        </w:rPr>
        <w:t>12</w:t>
      </w:r>
      <w:r w:rsidRPr="00E0030E">
        <w:rPr>
          <w:rFonts w:ascii="Arial" w:hAnsi="Arial" w:cs="Arial"/>
          <w:color w:val="FF0000"/>
          <w:lang w:eastAsia="en-GB"/>
        </w:rPr>
        <w:t xml:space="preserve"> testing.</w:t>
      </w:r>
    </w:p>
    <w:p w14:paraId="278267DC" w14:textId="77777777" w:rsidR="002B699E" w:rsidRPr="00D01A51" w:rsidRDefault="002B699E" w:rsidP="002B699E">
      <w:pPr>
        <w:spacing w:line="360" w:lineRule="auto"/>
        <w:rPr>
          <w:rFonts w:ascii="Arial" w:hAnsi="Arial" w:cs="Arial"/>
          <w:color w:val="000000"/>
          <w:lang w:eastAsia="en-GB"/>
        </w:rPr>
      </w:pPr>
      <w:r w:rsidRPr="00D01A51">
        <w:rPr>
          <w:rFonts w:ascii="Arial" w:hAnsi="Arial" w:cs="Arial"/>
          <w:b/>
          <w:bCs/>
          <w:color w:val="000000"/>
          <w:lang w:eastAsia="en-GB"/>
        </w:rPr>
        <w:t>Translating research evidence into practice</w:t>
      </w:r>
    </w:p>
    <w:p w14:paraId="50D72DB3" w14:textId="53415334" w:rsidR="009159A5" w:rsidRPr="000D79DE" w:rsidRDefault="009159A5" w:rsidP="009159A5">
      <w:pPr>
        <w:spacing w:line="360" w:lineRule="auto"/>
        <w:rPr>
          <w:rFonts w:ascii="Arial" w:hAnsi="Arial" w:cs="Arial"/>
          <w:color w:val="FF0000"/>
          <w:lang w:eastAsia="en-GB"/>
        </w:rPr>
      </w:pPr>
      <w:r w:rsidRPr="000D79DE">
        <w:rPr>
          <w:rFonts w:ascii="Arial" w:hAnsi="Arial" w:cs="Arial"/>
          <w:color w:val="FF0000"/>
          <w:lang w:eastAsia="en-GB"/>
        </w:rPr>
        <w:t xml:space="preserve">The </w:t>
      </w:r>
      <w:r w:rsidR="009D0A2B" w:rsidRPr="009D0A2B">
        <w:rPr>
          <w:rFonts w:ascii="Arial" w:hAnsi="Arial" w:cs="Arial"/>
          <w:color w:val="FF0000"/>
          <w:lang w:eastAsia="en-GB"/>
        </w:rPr>
        <w:t>Interview</w:t>
      </w:r>
      <w:r w:rsidR="009D0A2B">
        <w:rPr>
          <w:rFonts w:ascii="Arial" w:hAnsi="Arial" w:cs="Arial"/>
          <w:color w:val="FF0000"/>
          <w:lang w:eastAsia="en-GB"/>
        </w:rPr>
        <w:t>s</w:t>
      </w:r>
      <w:r w:rsidR="009D0A2B" w:rsidRPr="009D0A2B">
        <w:rPr>
          <w:rFonts w:ascii="Arial" w:hAnsi="Arial" w:cs="Arial"/>
          <w:color w:val="FF0000"/>
          <w:lang w:eastAsia="en-GB"/>
        </w:rPr>
        <w:t xml:space="preserve"> indicated</w:t>
      </w:r>
      <w:r w:rsidR="009D0A2B">
        <w:rPr>
          <w:rFonts w:ascii="Arial" w:hAnsi="Arial" w:cs="Arial"/>
          <w:color w:val="FF0000"/>
          <w:lang w:eastAsia="en-GB"/>
        </w:rPr>
        <w:t xml:space="preserve"> </w:t>
      </w:r>
      <w:r w:rsidRPr="000D79DE">
        <w:rPr>
          <w:rFonts w:ascii="Arial" w:hAnsi="Arial" w:cs="Arial"/>
          <w:color w:val="FF0000"/>
          <w:lang w:eastAsia="en-GB"/>
        </w:rPr>
        <w:t>that clinicians did not usually return to primary research when making decisions about vitamin B</w:t>
      </w:r>
      <w:r w:rsidRPr="000D79DE">
        <w:rPr>
          <w:rFonts w:ascii="Arial" w:hAnsi="Arial" w:cs="Arial"/>
          <w:color w:val="FF0000"/>
          <w:vertAlign w:val="subscript"/>
          <w:lang w:eastAsia="en-GB"/>
        </w:rPr>
        <w:t>12</w:t>
      </w:r>
      <w:r w:rsidRPr="000D79DE">
        <w:rPr>
          <w:rFonts w:ascii="Arial" w:hAnsi="Arial" w:cs="Arial"/>
          <w:color w:val="FF0000"/>
          <w:lang w:eastAsia="en-GB"/>
        </w:rPr>
        <w:t xml:space="preserve"> monitoring, with NICE guidance, Clinical Knowledge Summaries (CKS) and local formularies being used more frequently during consultations. The limited use of original research should not be interpreted as clinicians failing to use evidence, as these clinical resources had already considered the research and presented it in a form that could be used within primary care. However, clinicians still had to recognise that vitamin B</w:t>
      </w:r>
      <w:r w:rsidRPr="000D79DE">
        <w:rPr>
          <w:rFonts w:ascii="Arial" w:hAnsi="Arial" w:cs="Arial"/>
          <w:color w:val="FF0000"/>
          <w:vertAlign w:val="subscript"/>
          <w:lang w:eastAsia="en-GB"/>
        </w:rPr>
        <w:t>12</w:t>
      </w:r>
      <w:r w:rsidRPr="000D79DE">
        <w:rPr>
          <w:rFonts w:ascii="Arial" w:hAnsi="Arial" w:cs="Arial"/>
          <w:color w:val="FF0000"/>
          <w:lang w:eastAsia="en-GB"/>
        </w:rPr>
        <w:t xml:space="preserve"> monitoring was relevant before they would look for the recommendation. The participants also described having to keep up with safety alerts, emails, newsletters and changes to online guidance, with relevant information sometimes missed among the amount received. Leong et al.</w:t>
      </w:r>
      <w:r w:rsidRPr="000D79DE">
        <w:rPr>
          <w:rFonts w:ascii="Arial" w:hAnsi="Arial" w:cs="Arial"/>
          <w:color w:val="FF0000"/>
          <w:vertAlign w:val="superscript"/>
          <w:lang w:eastAsia="en-GB"/>
        </w:rPr>
        <w:t>30</w:t>
      </w:r>
      <w:r w:rsidRPr="000D79DE">
        <w:rPr>
          <w:rFonts w:ascii="Arial" w:hAnsi="Arial" w:cs="Arial"/>
          <w:color w:val="FF0000"/>
          <w:lang w:eastAsia="en-GB"/>
        </w:rPr>
        <w:t xml:space="preserve"> identified a similar problem in their systematic review, which found no consistent process for informing generalist clinicians about new and updated guidance. Leong et al</w:t>
      </w:r>
      <w:r w:rsidRPr="000D79DE">
        <w:rPr>
          <w:rFonts w:ascii="Arial" w:hAnsi="Arial" w:cs="Arial"/>
          <w:color w:val="FF0000"/>
          <w:vertAlign w:val="superscript"/>
          <w:lang w:eastAsia="en-GB"/>
        </w:rPr>
        <w:t>30</w:t>
      </w:r>
      <w:r w:rsidRPr="000D79DE">
        <w:rPr>
          <w:rFonts w:ascii="Arial" w:hAnsi="Arial" w:cs="Arial"/>
          <w:color w:val="FF0000"/>
          <w:lang w:eastAsia="en-GB"/>
        </w:rPr>
        <w:t xml:space="preserve"> reported that NICE published 48 new guidelines and updated a further 28 during 2023.</w:t>
      </w:r>
      <w:r w:rsidRPr="000D79DE">
        <w:rPr>
          <w:rFonts w:ascii="Arial" w:hAnsi="Arial" w:cs="Arial"/>
          <w:color w:val="FF0000"/>
          <w:vertAlign w:val="superscript"/>
          <w:lang w:eastAsia="en-GB"/>
        </w:rPr>
        <w:t>30</w:t>
      </w:r>
      <w:r w:rsidRPr="000D79DE">
        <w:rPr>
          <w:rFonts w:ascii="Arial" w:hAnsi="Arial" w:cs="Arial"/>
          <w:color w:val="FF0000"/>
          <w:lang w:eastAsia="en-GB"/>
        </w:rPr>
        <w:t xml:space="preserve"> These figures do not represent the amount of guidance that every clinician was expected to apply, but they demonstrate the scale of the information being produced for clinicians to read or understand. Fischer et al.</w:t>
      </w:r>
      <w:r w:rsidRPr="000D79DE">
        <w:rPr>
          <w:rFonts w:ascii="Arial" w:hAnsi="Arial" w:cs="Arial"/>
          <w:color w:val="FF0000"/>
          <w:vertAlign w:val="superscript"/>
          <w:lang w:eastAsia="en-GB"/>
        </w:rPr>
        <w:t>8</w:t>
      </w:r>
      <w:r w:rsidRPr="000D79DE">
        <w:rPr>
          <w:rFonts w:ascii="Arial" w:hAnsi="Arial" w:cs="Arial"/>
          <w:color w:val="FF0000"/>
          <w:lang w:eastAsia="en-GB"/>
        </w:rPr>
        <w:t xml:space="preserve"> also identified time, resources and the complexity of recommendations as barriers to guideline implementation. Therefore, the MHRA alert</w:t>
      </w:r>
      <w:r w:rsidRPr="000D79DE">
        <w:rPr>
          <w:rFonts w:ascii="Arial" w:hAnsi="Arial" w:cs="Arial"/>
          <w:color w:val="FF0000"/>
          <w:vertAlign w:val="superscript"/>
          <w:lang w:eastAsia="en-GB"/>
        </w:rPr>
        <w:t>7</w:t>
      </w:r>
      <w:r w:rsidRPr="000D79DE">
        <w:rPr>
          <w:rFonts w:ascii="Arial" w:hAnsi="Arial" w:cs="Arial"/>
          <w:color w:val="FF0000"/>
          <w:lang w:eastAsia="en-GB"/>
        </w:rPr>
        <w:t xml:space="preserve"> could be received and the guidance accessed by clinicians without any change being made to monitoring, as practices still had to decide how the recommendation would be included within their existing diabetes care.</w:t>
      </w:r>
    </w:p>
    <w:p w14:paraId="6A011081" w14:textId="77777777" w:rsidR="009159A5" w:rsidRPr="000D79DE" w:rsidRDefault="009159A5" w:rsidP="009159A5">
      <w:pPr>
        <w:spacing w:line="360" w:lineRule="auto"/>
        <w:rPr>
          <w:rFonts w:ascii="Arial" w:hAnsi="Arial" w:cs="Arial"/>
          <w:color w:val="FF0000"/>
          <w:lang w:eastAsia="en-GB"/>
        </w:rPr>
      </w:pPr>
      <w:r w:rsidRPr="000D79DE">
        <w:rPr>
          <w:rFonts w:ascii="Arial" w:hAnsi="Arial" w:cs="Arial"/>
          <w:color w:val="FF0000"/>
          <w:lang w:eastAsia="en-GB"/>
        </w:rPr>
        <w:t>Throughout the interviews the participants described clinical meetings and input from the pharmacy team as one way that this work was undertaken within the practice. Safety alerts could be discussed with other clinicians, their relevance to the practice considered and a decision made about whether the existing process needed to change. Knight et al.</w:t>
      </w:r>
      <w:r w:rsidRPr="000D79DE">
        <w:rPr>
          <w:rFonts w:ascii="Arial" w:hAnsi="Arial" w:cs="Arial"/>
          <w:color w:val="FF0000"/>
          <w:vertAlign w:val="superscript"/>
          <w:lang w:eastAsia="en-GB"/>
        </w:rPr>
        <w:t>31</w:t>
      </w:r>
      <w:r w:rsidRPr="000D79DE">
        <w:rPr>
          <w:rFonts w:ascii="Arial" w:hAnsi="Arial" w:cs="Arial"/>
          <w:color w:val="FF0000"/>
          <w:lang w:eastAsia="en-GB"/>
        </w:rPr>
        <w:t xml:space="preserve"> found that effective peer interaction and local support within general practice quality-improvement collaboratives assisted team working, the development of practice systems and the ability of practices to implement change. However, the study examined formal quality-improvement collaboratives and does not demonstrate that routine clinical meetings will produce the same </w:t>
      </w:r>
      <w:r w:rsidRPr="000D79DE">
        <w:rPr>
          <w:rFonts w:ascii="Arial" w:hAnsi="Arial" w:cs="Arial"/>
          <w:color w:val="FF0000"/>
          <w:lang w:eastAsia="en-GB"/>
        </w:rPr>
        <w:lastRenderedPageBreak/>
        <w:t xml:space="preserve">effect. </w:t>
      </w:r>
      <w:r w:rsidRPr="000D79DE">
        <w:rPr>
          <w:rFonts w:ascii="Arial" w:hAnsi="Arial" w:cs="Arial"/>
          <w:color w:val="FF0000"/>
          <w:vertAlign w:val="superscript"/>
          <w:lang w:eastAsia="en-GB"/>
        </w:rPr>
        <w:t>31</w:t>
      </w:r>
      <w:r w:rsidRPr="000D79DE">
        <w:rPr>
          <w:rFonts w:ascii="Arial" w:hAnsi="Arial" w:cs="Arial"/>
          <w:color w:val="FF0000"/>
          <w:lang w:eastAsia="en-GB"/>
        </w:rPr>
        <w:t xml:space="preserve"> The participants’ accounts implied that meetings supported implementation when the discussion resulted in an agreed change to a protocol, clinical system or monitoring process. Where the alert was discussed without a decision about what should happen next, awareness could increase without changing how patients were identified or tested.</w:t>
      </w:r>
    </w:p>
    <w:p w14:paraId="45E314F5" w14:textId="77777777" w:rsidR="008D3490" w:rsidRPr="000D79DE" w:rsidRDefault="008D3490" w:rsidP="008D3490">
      <w:pPr>
        <w:spacing w:line="360" w:lineRule="auto"/>
        <w:rPr>
          <w:rFonts w:ascii="Arial" w:hAnsi="Arial" w:cs="Arial"/>
          <w:color w:val="FF0000"/>
          <w:lang w:eastAsia="en-GB"/>
        </w:rPr>
      </w:pPr>
      <w:commentRangeStart w:id="13"/>
      <w:r w:rsidRPr="000D79DE">
        <w:rPr>
          <w:rFonts w:ascii="Arial" w:hAnsi="Arial" w:cs="Arial"/>
          <w:color w:val="FF0000"/>
          <w:lang w:eastAsia="en-GB"/>
        </w:rPr>
        <w:t>The participants described electronic prompts, pharmacist led searches and routine diabetes reviews as ways of supporting vitamin B</w:t>
      </w:r>
      <w:r w:rsidRPr="000D79DE">
        <w:rPr>
          <w:rFonts w:ascii="Arial" w:hAnsi="Arial" w:cs="Arial"/>
          <w:color w:val="FF0000"/>
          <w:vertAlign w:val="subscript"/>
          <w:lang w:eastAsia="en-GB"/>
        </w:rPr>
        <w:t xml:space="preserve">12 </w:t>
      </w:r>
      <w:r w:rsidRPr="000D79DE">
        <w:rPr>
          <w:rFonts w:ascii="Arial" w:hAnsi="Arial" w:cs="Arial"/>
          <w:color w:val="FF0000"/>
          <w:lang w:eastAsia="en-GB"/>
        </w:rPr>
        <w:t>monitoring, but they were addressing different parts of the implementation problem. An electronic prompt could bring vitamin B</w:t>
      </w:r>
      <w:r w:rsidRPr="000D79DE">
        <w:rPr>
          <w:rFonts w:ascii="Arial" w:hAnsi="Arial" w:cs="Arial"/>
          <w:color w:val="FF0000"/>
          <w:vertAlign w:val="subscript"/>
          <w:lang w:eastAsia="en-GB"/>
        </w:rPr>
        <w:t>12</w:t>
      </w:r>
      <w:r w:rsidRPr="000D79DE">
        <w:rPr>
          <w:rFonts w:ascii="Arial" w:hAnsi="Arial" w:cs="Arial"/>
          <w:color w:val="FF0000"/>
          <w:lang w:eastAsia="en-GB"/>
        </w:rPr>
        <w:t xml:space="preserve"> monitoring to the attention of a clinician, although responsibility for requesting the test and reviewing the result could remain unclear. Where these parts of the process had not been agreed, the prompt did not change how the monitoring was organised and left the decision within an already time-limited consultation. Pharmacist led searches and inclusion within routine diabetes reviews could support a different process by identifying patients outside an individual consultation and linking testing to an established part of diabetes care. Kilsdonk et al.</w:t>
      </w:r>
      <w:r w:rsidRPr="000D79DE">
        <w:rPr>
          <w:rFonts w:ascii="Arial" w:hAnsi="Arial" w:cs="Arial"/>
          <w:color w:val="FF0000"/>
          <w:vertAlign w:val="superscript"/>
          <w:lang w:eastAsia="en-GB"/>
        </w:rPr>
        <w:t>32</w:t>
      </w:r>
      <w:r w:rsidRPr="000D79DE">
        <w:rPr>
          <w:rFonts w:ascii="Arial" w:hAnsi="Arial" w:cs="Arial"/>
          <w:color w:val="FF0000"/>
          <w:lang w:eastAsia="en-GB"/>
        </w:rPr>
        <w:t xml:space="preserve"> found that research examining guideline-based clinical decision support had concentrated mainly on human and technological factors, with less attention given to the organisational conditions affecting implementation. This limitation can be applied to this study, as the effect of a prompt or patient search still depended on whether the practice had agreed who would act on the information and how testing and follow-up would be completed. The interviews cannot establish whether any of these approaches increased testing, although they indicate why introducing an electronic reminder alone would be unlikely to address the continuing variation identified within the earlier quantitative analysis.</w:t>
      </w:r>
      <w:r w:rsidRPr="000D79DE">
        <w:rPr>
          <w:rFonts w:ascii="Arial" w:hAnsi="Arial" w:cs="Arial"/>
          <w:color w:val="FF0000"/>
          <w:vertAlign w:val="superscript"/>
          <w:lang w:eastAsia="en-GB"/>
        </w:rPr>
        <w:t>10</w:t>
      </w:r>
      <w:commentRangeEnd w:id="13"/>
      <w:r w:rsidRPr="000D79DE">
        <w:rPr>
          <w:rStyle w:val="CommentReference"/>
          <w:rFonts w:ascii="Arial" w:hAnsi="Arial" w:cs="Arial"/>
          <w:color w:val="FF0000"/>
          <w:sz w:val="22"/>
          <w:szCs w:val="22"/>
          <w:lang w:eastAsia="en-GB"/>
        </w:rPr>
        <w:commentReference w:id="13"/>
      </w:r>
    </w:p>
    <w:p w14:paraId="33A7CAA7" w14:textId="77777777" w:rsidR="002B699E" w:rsidRPr="00D01A51" w:rsidRDefault="002B699E" w:rsidP="002B699E">
      <w:pPr>
        <w:spacing w:line="360" w:lineRule="auto"/>
        <w:rPr>
          <w:rFonts w:ascii="Arial" w:hAnsi="Arial" w:cs="Arial"/>
          <w:color w:val="000000"/>
          <w:lang w:eastAsia="en-GB"/>
        </w:rPr>
      </w:pPr>
      <w:r w:rsidRPr="00D01A51">
        <w:rPr>
          <w:rFonts w:ascii="Arial" w:hAnsi="Arial" w:cs="Arial"/>
          <w:b/>
          <w:bCs/>
          <w:color w:val="000000"/>
          <w:lang w:eastAsia="en-GB"/>
        </w:rPr>
        <w:t>Decision-making under uncertainty</w:t>
      </w:r>
    </w:p>
    <w:p w14:paraId="471645BB" w14:textId="77777777" w:rsidR="008D3490" w:rsidRPr="000D79DE" w:rsidRDefault="008D3490" w:rsidP="008D3490">
      <w:pPr>
        <w:spacing w:line="360" w:lineRule="auto"/>
        <w:rPr>
          <w:rFonts w:ascii="Arial" w:hAnsi="Arial" w:cs="Arial"/>
          <w:color w:val="FF0000"/>
          <w:lang w:eastAsia="en-GB"/>
        </w:rPr>
      </w:pPr>
      <w:r w:rsidRPr="000D79DE">
        <w:rPr>
          <w:rFonts w:ascii="Arial" w:hAnsi="Arial" w:cs="Arial"/>
          <w:color w:val="FF0000"/>
          <w:lang w:eastAsia="en-GB"/>
        </w:rPr>
        <w:t>The interviews demonstrated that awareness of the association between metformin and vitamin B</w:t>
      </w:r>
      <w:r w:rsidRPr="000D79DE">
        <w:rPr>
          <w:rFonts w:ascii="Arial" w:hAnsi="Arial" w:cs="Arial"/>
          <w:color w:val="FF0000"/>
          <w:vertAlign w:val="subscript"/>
          <w:lang w:eastAsia="en-GB"/>
        </w:rPr>
        <w:t>12</w:t>
      </w:r>
      <w:r w:rsidRPr="000D79DE">
        <w:rPr>
          <w:rFonts w:ascii="Arial" w:hAnsi="Arial" w:cs="Arial"/>
          <w:color w:val="FF0000"/>
          <w:lang w:eastAsia="en-GB"/>
        </w:rPr>
        <w:t xml:space="preserve"> deficiency did not remove uncertainty about its clinical relevance or how often monitoring should take place. The MHRA guidance</w:t>
      </w:r>
      <w:r w:rsidRPr="000D79DE">
        <w:rPr>
          <w:rFonts w:ascii="Arial" w:hAnsi="Arial" w:cs="Arial"/>
          <w:color w:val="FF0000"/>
          <w:vertAlign w:val="superscript"/>
          <w:lang w:eastAsia="en-GB"/>
        </w:rPr>
        <w:t xml:space="preserve">7 </w:t>
      </w:r>
      <w:r w:rsidRPr="000D79DE">
        <w:rPr>
          <w:rFonts w:ascii="Arial" w:hAnsi="Arial" w:cs="Arial"/>
          <w:color w:val="FF0000"/>
          <w:lang w:eastAsia="en-GB"/>
        </w:rPr>
        <w:t xml:space="preserve">advises clinicians to consider periodic monitoring in patients with risk factors but does not define the testing interval or how monitoring should be organised within primary care. </w:t>
      </w:r>
      <w:r w:rsidR="000D79DE" w:rsidRPr="000D79DE">
        <w:rPr>
          <w:rFonts w:ascii="Arial" w:hAnsi="Arial" w:cs="Arial"/>
          <w:color w:val="FF0000"/>
          <w:lang w:eastAsia="en-GB"/>
        </w:rPr>
        <w:t>Therefore, clinical judgement was required when applying the recommendation, and participants described interpreting the guidance for each patient when deciding whether testing was required</w:t>
      </w:r>
      <w:r w:rsidRPr="000D79DE">
        <w:rPr>
          <w:rFonts w:ascii="Arial" w:hAnsi="Arial" w:cs="Arial"/>
          <w:color w:val="FF0000"/>
          <w:lang w:eastAsia="en-GB"/>
        </w:rPr>
        <w:t>.</w:t>
      </w:r>
    </w:p>
    <w:p w14:paraId="3C7DE157" w14:textId="77777777" w:rsidR="002B699E" w:rsidRDefault="008D3490" w:rsidP="002B699E">
      <w:pPr>
        <w:spacing w:line="360" w:lineRule="auto"/>
        <w:rPr>
          <w:rFonts w:ascii="Arial" w:hAnsi="Arial" w:cs="Arial"/>
          <w:color w:val="FF0000"/>
          <w:lang w:eastAsia="en-GB"/>
        </w:rPr>
      </w:pPr>
      <w:r w:rsidRPr="000D79DE">
        <w:rPr>
          <w:rFonts w:ascii="Arial" w:hAnsi="Arial" w:cs="Arial"/>
          <w:color w:val="FF0000"/>
          <w:lang w:eastAsia="en-GB"/>
        </w:rPr>
        <w:t>Implementation research has described how perceived applicability, clinical judgement and organisational constraints affect the way recommendations are applied within clinical practice.</w:t>
      </w:r>
      <w:r w:rsidRPr="000D79DE">
        <w:rPr>
          <w:rFonts w:ascii="Arial" w:hAnsi="Arial" w:cs="Arial"/>
          <w:color w:val="FF0000"/>
          <w:vertAlign w:val="superscript"/>
          <w:lang w:eastAsia="en-GB"/>
        </w:rPr>
        <w:t>8,34,35</w:t>
      </w:r>
      <w:r w:rsidRPr="000D79DE">
        <w:rPr>
          <w:rFonts w:ascii="Arial" w:hAnsi="Arial" w:cs="Arial"/>
          <w:color w:val="FF0000"/>
          <w:lang w:eastAsia="en-GB"/>
        </w:rPr>
        <w:t xml:space="preserve">The difficulty is that changes </w:t>
      </w:r>
      <w:r w:rsidR="000D79DE" w:rsidRPr="000D79DE">
        <w:rPr>
          <w:rFonts w:ascii="Arial" w:hAnsi="Arial" w:cs="Arial"/>
          <w:color w:val="FF0000"/>
          <w:lang w:eastAsia="en-GB"/>
        </w:rPr>
        <w:t xml:space="preserve">that are </w:t>
      </w:r>
      <w:r w:rsidRPr="000D79DE">
        <w:rPr>
          <w:rFonts w:ascii="Arial" w:hAnsi="Arial" w:cs="Arial"/>
          <w:color w:val="FF0000"/>
          <w:lang w:eastAsia="en-GB"/>
        </w:rPr>
        <w:t>made to guidance can represent appropriate adaptation to the clinical setting, or variation arising because the organisation has not agreed how the recommendation should be applied. Where vitamin B</w:t>
      </w:r>
      <w:r w:rsidRPr="000D79DE">
        <w:rPr>
          <w:rFonts w:ascii="Arial" w:hAnsi="Arial" w:cs="Arial"/>
          <w:color w:val="FF0000"/>
          <w:vertAlign w:val="subscript"/>
          <w:lang w:eastAsia="en-GB"/>
        </w:rPr>
        <w:t>12</w:t>
      </w:r>
      <w:r w:rsidRPr="000D79DE">
        <w:rPr>
          <w:rFonts w:ascii="Arial" w:hAnsi="Arial" w:cs="Arial"/>
          <w:color w:val="FF0000"/>
          <w:lang w:eastAsia="en-GB"/>
        </w:rPr>
        <w:t xml:space="preserve"> testing had been included within routine diabetes reviews, the uncertainty had been addressed through </w:t>
      </w:r>
      <w:r w:rsidRPr="000D79DE">
        <w:rPr>
          <w:rFonts w:ascii="Arial" w:hAnsi="Arial" w:cs="Arial"/>
          <w:color w:val="FF0000"/>
          <w:lang w:eastAsia="en-GB"/>
        </w:rPr>
        <w:lastRenderedPageBreak/>
        <w:t>an organisational process and did not have to be reconsidered during each individual consultation. Where this had not occurred, the uncertainty remained with the individual clinician and monitoring depended on how they interpreted the recommendation for the individual patient. The interviews cannot determine whether these decisions were clinically appropriate, but the accounts suggest that the lack of detail within the guidance contributed to continued variation where no local approach had been agreed.</w:t>
      </w:r>
    </w:p>
    <w:p w14:paraId="443A883E" w14:textId="77777777" w:rsidR="00AE0879" w:rsidRPr="00AE0879" w:rsidRDefault="00AE0879" w:rsidP="00AE0879">
      <w:pPr>
        <w:spacing w:line="360" w:lineRule="auto"/>
        <w:rPr>
          <w:rFonts w:ascii="Arial" w:hAnsi="Arial" w:cs="Arial"/>
          <w:b/>
          <w:bCs/>
          <w:color w:val="FF0000"/>
          <w:lang w:eastAsia="en-GB"/>
        </w:rPr>
      </w:pPr>
      <w:r w:rsidRPr="00AE0879">
        <w:rPr>
          <w:rFonts w:ascii="Arial" w:hAnsi="Arial" w:cs="Arial"/>
          <w:b/>
          <w:bCs/>
          <w:color w:val="FF0000"/>
          <w:lang w:eastAsia="en-GB"/>
        </w:rPr>
        <w:t>Implications for implementation and future research</w:t>
      </w:r>
    </w:p>
    <w:p w14:paraId="148990DC" w14:textId="77777777" w:rsidR="00AE0879" w:rsidRPr="00AE0879" w:rsidRDefault="00AE0879" w:rsidP="00AE0879">
      <w:pPr>
        <w:spacing w:line="360" w:lineRule="auto"/>
        <w:rPr>
          <w:rFonts w:ascii="Arial" w:hAnsi="Arial" w:cs="Arial"/>
          <w:color w:val="FF0000"/>
          <w:lang w:eastAsia="en-GB"/>
        </w:rPr>
      </w:pPr>
      <w:commentRangeStart w:id="14"/>
      <w:r w:rsidRPr="00AE0879">
        <w:rPr>
          <w:rFonts w:ascii="Arial" w:hAnsi="Arial" w:cs="Arial"/>
          <w:color w:val="FF0000"/>
          <w:lang w:eastAsia="en-GB"/>
        </w:rPr>
        <w:t>This qualitative study follows two separate studies examining recorded vitamin B</w:t>
      </w:r>
      <w:r w:rsidRPr="00AE0879">
        <w:rPr>
          <w:rFonts w:ascii="Arial" w:hAnsi="Arial" w:cs="Arial"/>
          <w:color w:val="FF0000"/>
          <w:vertAlign w:val="subscript"/>
          <w:lang w:eastAsia="en-GB"/>
        </w:rPr>
        <w:t>12</w:t>
      </w:r>
      <w:r w:rsidRPr="00AE0879">
        <w:rPr>
          <w:rFonts w:ascii="Arial" w:hAnsi="Arial" w:cs="Arial"/>
          <w:color w:val="FF0000"/>
          <w:lang w:eastAsia="en-GB"/>
        </w:rPr>
        <w:t xml:space="preserve"> testing and clinician awareness,</w:t>
      </w:r>
      <w:r w:rsidRPr="00AE0879">
        <w:rPr>
          <w:rFonts w:ascii="Arial" w:hAnsi="Arial" w:cs="Arial"/>
          <w:color w:val="FF0000"/>
          <w:vertAlign w:val="superscript"/>
          <w:lang w:eastAsia="en-GB"/>
        </w:rPr>
        <w:t>10,11</w:t>
      </w:r>
      <w:r w:rsidRPr="00AE0879">
        <w:rPr>
          <w:rFonts w:ascii="Arial" w:hAnsi="Arial" w:cs="Arial"/>
          <w:color w:val="FF0000"/>
          <w:lang w:eastAsia="en-GB"/>
        </w:rPr>
        <w:t xml:space="preserve"> and together the three studies examine different parts of the response to the MHRA </w:t>
      </w:r>
      <w:r>
        <w:rPr>
          <w:rFonts w:ascii="Arial" w:hAnsi="Arial" w:cs="Arial"/>
          <w:color w:val="FF0000"/>
          <w:lang w:eastAsia="en-GB"/>
        </w:rPr>
        <w:t>alert</w:t>
      </w:r>
      <w:r w:rsidRPr="00AE0879">
        <w:rPr>
          <w:rFonts w:ascii="Arial" w:hAnsi="Arial" w:cs="Arial"/>
          <w:color w:val="FF0000"/>
          <w:vertAlign w:val="superscript"/>
          <w:lang w:eastAsia="en-GB"/>
        </w:rPr>
        <w:t>7</w:t>
      </w:r>
      <w:r w:rsidRPr="00AE0879">
        <w:rPr>
          <w:rFonts w:ascii="Arial" w:hAnsi="Arial" w:cs="Arial"/>
          <w:color w:val="FF0000"/>
          <w:lang w:eastAsia="en-GB"/>
        </w:rPr>
        <w:t>. The next stage of the research will</w:t>
      </w:r>
      <w:r>
        <w:rPr>
          <w:rFonts w:ascii="Arial" w:hAnsi="Arial" w:cs="Arial"/>
          <w:color w:val="FF0000"/>
          <w:lang w:eastAsia="en-GB"/>
        </w:rPr>
        <w:t xml:space="preserve"> be to</w:t>
      </w:r>
      <w:r w:rsidRPr="00AE0879">
        <w:rPr>
          <w:rFonts w:ascii="Arial" w:hAnsi="Arial" w:cs="Arial"/>
          <w:color w:val="FF0000"/>
          <w:lang w:eastAsia="en-GB"/>
        </w:rPr>
        <w:t xml:space="preserve"> integrate their findings to examine how the quantitative patterns relate to the organisational and clinical explanations developed from the interviews. Fetters et al.</w:t>
      </w:r>
      <w:r w:rsidRPr="00AE0879">
        <w:rPr>
          <w:rFonts w:ascii="Arial" w:hAnsi="Arial" w:cs="Arial"/>
          <w:color w:val="FF0000"/>
          <w:vertAlign w:val="superscript"/>
          <w:lang w:eastAsia="en-GB"/>
        </w:rPr>
        <w:t>36</w:t>
      </w:r>
      <w:r w:rsidRPr="00AE0879">
        <w:rPr>
          <w:rFonts w:ascii="Arial" w:hAnsi="Arial" w:cs="Arial"/>
          <w:color w:val="FF0000"/>
          <w:lang w:eastAsia="en-GB"/>
        </w:rPr>
        <w:t xml:space="preserve"> describe this form of mixed methods integration as occurring at the level of interpretation, where the relationship between datasets is used to develop conclusions that could not be reached from either dataset alone.</w:t>
      </w:r>
      <w:commentRangeEnd w:id="14"/>
      <w:r w:rsidRPr="00AE0879">
        <w:rPr>
          <w:rStyle w:val="CommentReference"/>
          <w:rFonts w:ascii="Arial" w:hAnsi="Arial" w:cs="Arial"/>
          <w:color w:val="FF0000"/>
          <w:sz w:val="22"/>
          <w:szCs w:val="22"/>
          <w:lang w:eastAsia="en-GB"/>
        </w:rPr>
        <w:commentReference w:id="14"/>
      </w:r>
    </w:p>
    <w:p w14:paraId="7C8715B2" w14:textId="77777777" w:rsidR="00AE0879" w:rsidRPr="00AE0879" w:rsidRDefault="00AE0879" w:rsidP="00AE0879">
      <w:pPr>
        <w:spacing w:line="360" w:lineRule="auto"/>
        <w:rPr>
          <w:rFonts w:ascii="Arial" w:hAnsi="Arial" w:cs="Arial"/>
          <w:color w:val="FF0000"/>
          <w:lang w:eastAsia="en-GB"/>
        </w:rPr>
      </w:pPr>
      <w:r w:rsidRPr="00AE0879">
        <w:rPr>
          <w:rFonts w:ascii="Arial" w:hAnsi="Arial" w:cs="Arial"/>
          <w:color w:val="FF0000"/>
          <w:lang w:eastAsia="en-GB"/>
        </w:rPr>
        <w:t>To provide structure for this analysis, the subsequent synthesis will apply the</w:t>
      </w:r>
      <w:r>
        <w:rPr>
          <w:rFonts w:ascii="Arial" w:hAnsi="Arial" w:cs="Arial"/>
          <w:color w:val="FF0000"/>
          <w:lang w:eastAsia="en-GB"/>
        </w:rPr>
        <w:t xml:space="preserve"> </w:t>
      </w:r>
      <w:r w:rsidRPr="00AE0879">
        <w:rPr>
          <w:rFonts w:ascii="Arial" w:hAnsi="Arial" w:cs="Arial"/>
          <w:color w:val="FF0000"/>
          <w:lang w:eastAsia="en-GB"/>
        </w:rPr>
        <w:t xml:space="preserve">Promoting Action on Research Implementation in Health Services </w:t>
      </w:r>
      <w:r>
        <w:rPr>
          <w:rFonts w:ascii="Arial" w:hAnsi="Arial" w:cs="Arial"/>
          <w:color w:val="FF0000"/>
          <w:lang w:eastAsia="en-GB"/>
        </w:rPr>
        <w:t>(</w:t>
      </w:r>
      <w:r w:rsidRPr="00AE0879">
        <w:rPr>
          <w:rFonts w:ascii="Arial" w:hAnsi="Arial" w:cs="Arial"/>
          <w:color w:val="FF0000"/>
          <w:lang w:eastAsia="en-GB"/>
        </w:rPr>
        <w:t>PARIHS</w:t>
      </w:r>
      <w:r>
        <w:rPr>
          <w:rFonts w:ascii="Arial" w:hAnsi="Arial" w:cs="Arial"/>
          <w:color w:val="FF0000"/>
          <w:lang w:eastAsia="en-GB"/>
        </w:rPr>
        <w:t>)</w:t>
      </w:r>
      <w:r w:rsidRPr="00AE0879">
        <w:rPr>
          <w:rFonts w:ascii="Arial" w:hAnsi="Arial" w:cs="Arial"/>
          <w:color w:val="FF0000"/>
          <w:lang w:eastAsia="en-GB"/>
        </w:rPr>
        <w:t xml:space="preserve"> framework to examine the contribution of evidence, context and facilitation to the implementation of vitamin B</w:t>
      </w:r>
      <w:r w:rsidRPr="00AE0879">
        <w:rPr>
          <w:rFonts w:ascii="Arial" w:hAnsi="Arial" w:cs="Arial"/>
          <w:color w:val="FF0000"/>
          <w:vertAlign w:val="subscript"/>
          <w:lang w:eastAsia="en-GB"/>
        </w:rPr>
        <w:t>12</w:t>
      </w:r>
      <w:r w:rsidRPr="00AE0879">
        <w:rPr>
          <w:rFonts w:ascii="Arial" w:hAnsi="Arial" w:cs="Arial"/>
          <w:color w:val="FF0000"/>
          <w:lang w:eastAsia="en-GB"/>
        </w:rPr>
        <w:t xml:space="preserve"> monitoring</w:t>
      </w:r>
      <w:r w:rsidRPr="00AE0879">
        <w:rPr>
          <w:rFonts w:ascii="Arial" w:hAnsi="Arial" w:cs="Arial"/>
          <w:color w:val="FF0000"/>
          <w:vertAlign w:val="superscript"/>
          <w:lang w:eastAsia="en-GB"/>
        </w:rPr>
        <w:t>37,38</w:t>
      </w:r>
      <w:r w:rsidRPr="00AE0879">
        <w:rPr>
          <w:rFonts w:ascii="Arial" w:hAnsi="Arial" w:cs="Arial"/>
          <w:color w:val="FF0000"/>
          <w:lang w:eastAsia="en-GB"/>
        </w:rPr>
        <w:t xml:space="preserve"> Bergström et al.</w:t>
      </w:r>
      <w:r w:rsidRPr="00AE0879">
        <w:rPr>
          <w:rFonts w:ascii="Arial" w:hAnsi="Arial" w:cs="Arial"/>
          <w:color w:val="FF0000"/>
          <w:vertAlign w:val="superscript"/>
          <w:lang w:eastAsia="en-GB"/>
        </w:rPr>
        <w:t>38</w:t>
      </w:r>
      <w:r w:rsidRPr="00AE0879">
        <w:rPr>
          <w:rFonts w:ascii="Arial" w:hAnsi="Arial" w:cs="Arial"/>
          <w:color w:val="FF0000"/>
          <w:lang w:eastAsia="en-GB"/>
        </w:rPr>
        <w:t xml:space="preserve"> found that applications of PARIHS within published research were frequently partial and poorly explained, despite 367 papers reporting use of the framework. The planned analysis will therefore need to define how the framework has been applied and examine the relationships between its elements, as placing the findings under three separate headings would add little to the findings already reported. The synthesis will examine how the nature of the guidance interacted with the organisation of primary care and the facilitation that followed publication of the alert.</w:t>
      </w:r>
    </w:p>
    <w:p w14:paraId="65583C55" w14:textId="77777777" w:rsidR="00AE0879" w:rsidRPr="00AE0879" w:rsidRDefault="00AE0879" w:rsidP="00AE0879">
      <w:pPr>
        <w:spacing w:line="360" w:lineRule="auto"/>
        <w:rPr>
          <w:rFonts w:ascii="Arial" w:hAnsi="Arial" w:cs="Arial"/>
          <w:color w:val="FF0000"/>
          <w:lang w:eastAsia="en-GB"/>
        </w:rPr>
      </w:pPr>
      <w:r w:rsidRPr="00AE0879">
        <w:rPr>
          <w:rFonts w:ascii="Arial" w:hAnsi="Arial" w:cs="Arial"/>
          <w:color w:val="FF0000"/>
          <w:lang w:eastAsia="en-GB"/>
        </w:rPr>
        <w:t>The findings from the synthesis will be used to identify what a future implementation process needs to address, following Powell et al.’s</w:t>
      </w:r>
      <w:r w:rsidRPr="00AE0879">
        <w:rPr>
          <w:rFonts w:ascii="Arial" w:hAnsi="Arial" w:cs="Arial"/>
          <w:color w:val="FF0000"/>
          <w:vertAlign w:val="superscript"/>
          <w:lang w:eastAsia="en-GB"/>
        </w:rPr>
        <w:t xml:space="preserve">35 </w:t>
      </w:r>
      <w:r w:rsidRPr="00AE0879">
        <w:rPr>
          <w:rFonts w:ascii="Arial" w:hAnsi="Arial" w:cs="Arial"/>
          <w:color w:val="FF0000"/>
          <w:lang w:eastAsia="en-GB"/>
        </w:rPr>
        <w:t>argument that implementation strategies should be linked to the determinants identified and the way in which change is expected to occur. The interviews did not test an implementation intervention and cannot determine whether the systems described by participants would improve monitoring. Any proposed approach would therefore require development with primary care teams and prospective evaluation before conclusions could be drawn about its effect.</w:t>
      </w:r>
    </w:p>
    <w:p w14:paraId="050F6DA9" w14:textId="77777777" w:rsidR="00AE0879" w:rsidRPr="000D79DE" w:rsidRDefault="00AE0879" w:rsidP="002B699E">
      <w:pPr>
        <w:spacing w:line="360" w:lineRule="auto"/>
        <w:rPr>
          <w:rFonts w:ascii="Arial" w:hAnsi="Arial" w:cs="Arial"/>
          <w:color w:val="FF0000"/>
          <w:lang w:eastAsia="en-GB"/>
        </w:rPr>
      </w:pPr>
    </w:p>
    <w:p w14:paraId="3BEEABA2" w14:textId="77777777" w:rsidR="002B699E" w:rsidRPr="00D01A51" w:rsidRDefault="002B699E" w:rsidP="002B699E">
      <w:pPr>
        <w:spacing w:line="360" w:lineRule="auto"/>
        <w:rPr>
          <w:rFonts w:ascii="Arial" w:hAnsi="Arial" w:cs="Arial"/>
          <w:b/>
          <w:bCs/>
        </w:rPr>
      </w:pPr>
      <w:r w:rsidRPr="00D01A51">
        <w:rPr>
          <w:rFonts w:ascii="Arial" w:hAnsi="Arial" w:cs="Arial"/>
          <w:b/>
          <w:bCs/>
        </w:rPr>
        <w:lastRenderedPageBreak/>
        <w:t>Strengths and Limitations</w:t>
      </w:r>
    </w:p>
    <w:p w14:paraId="4E3B4B61" w14:textId="77777777" w:rsidR="00502721" w:rsidRPr="00207AE2" w:rsidRDefault="00502721" w:rsidP="00502721">
      <w:pPr>
        <w:spacing w:line="360" w:lineRule="auto"/>
        <w:rPr>
          <w:rFonts w:ascii="Arial" w:hAnsi="Arial" w:cs="Arial"/>
          <w:color w:val="FF0000"/>
        </w:rPr>
      </w:pPr>
      <w:r w:rsidRPr="00207AE2">
        <w:rPr>
          <w:rFonts w:ascii="Arial" w:hAnsi="Arial" w:cs="Arial"/>
          <w:color w:val="FF0000"/>
        </w:rPr>
        <w:t>A key strength of this study comes from its position within a broader research programme examining the implementation of the MHRA alert</w:t>
      </w:r>
      <w:r w:rsidRPr="00207AE2">
        <w:rPr>
          <w:rFonts w:ascii="Arial" w:hAnsi="Arial" w:cs="Arial"/>
          <w:color w:val="FF0000"/>
          <w:vertAlign w:val="superscript"/>
        </w:rPr>
        <w:t>7</w:t>
      </w:r>
      <w:r w:rsidRPr="00207AE2">
        <w:rPr>
          <w:rFonts w:ascii="Arial" w:hAnsi="Arial" w:cs="Arial"/>
          <w:color w:val="FF0000"/>
        </w:rPr>
        <w:t xml:space="preserve"> on vitamin B</w:t>
      </w:r>
      <w:r w:rsidRPr="00207AE2">
        <w:rPr>
          <w:rFonts w:ascii="Arial" w:hAnsi="Arial" w:cs="Arial"/>
          <w:color w:val="FF0000"/>
          <w:vertAlign w:val="subscript"/>
        </w:rPr>
        <w:t>12</w:t>
      </w:r>
      <w:r w:rsidRPr="00207AE2">
        <w:rPr>
          <w:rFonts w:ascii="Arial" w:hAnsi="Arial" w:cs="Arial"/>
          <w:color w:val="FF0000"/>
        </w:rPr>
        <w:t xml:space="preserve"> monitoring in patients treated with metformin. The earlier quantitative analysis identified the variation in recorded testing,</w:t>
      </w:r>
      <w:r w:rsidRPr="00207AE2">
        <w:rPr>
          <w:rFonts w:ascii="Arial" w:hAnsi="Arial" w:cs="Arial"/>
          <w:color w:val="FF0000"/>
          <w:vertAlign w:val="superscript"/>
        </w:rPr>
        <w:t>10</w:t>
      </w:r>
      <w:r w:rsidRPr="00207AE2">
        <w:rPr>
          <w:rFonts w:ascii="Arial" w:hAnsi="Arial" w:cs="Arial"/>
          <w:color w:val="FF0000"/>
        </w:rPr>
        <w:t xml:space="preserve"> while the separate clinician survey demonstrated that high awareness had not resulted in a consistent approach to monitoring.</w:t>
      </w:r>
      <w:r w:rsidRPr="00207AE2">
        <w:rPr>
          <w:rFonts w:ascii="Arial" w:hAnsi="Arial" w:cs="Arial"/>
          <w:color w:val="FF0000"/>
          <w:vertAlign w:val="superscript"/>
        </w:rPr>
        <w:t>11</w:t>
      </w:r>
      <w:r w:rsidRPr="00207AE2">
        <w:rPr>
          <w:rFonts w:ascii="Arial" w:hAnsi="Arial" w:cs="Arial"/>
          <w:color w:val="FF0000"/>
        </w:rPr>
        <w:t xml:space="preserve"> Together, these studies provided the basis for the interviews, which examined how clinicians interpreted the guidance and how monitoring was influenced by the organisation of care within primary care. The inclusion of clinicians from different professional groups also allowed responsibility for monitoring to be considered from different positions within the primary care team. During the analysis, the initial structure of seven themes and the changes made as the four final themes were developed were retained, which provided a record of how the analysis progressed. The first author’s interpretation was also discussed with the other authors using the supporting transcript extracts, with these discussions used to question and develop the analysis while the first author remained responsible for the coding and construction of the themes.</w:t>
      </w:r>
    </w:p>
    <w:p w14:paraId="53C7A6CC" w14:textId="77777777" w:rsidR="00502721" w:rsidRPr="00207AE2" w:rsidRDefault="00502721" w:rsidP="00502721">
      <w:pPr>
        <w:spacing w:line="360" w:lineRule="auto"/>
        <w:rPr>
          <w:rFonts w:ascii="Arial" w:hAnsi="Arial" w:cs="Arial"/>
          <w:color w:val="FF0000"/>
        </w:rPr>
      </w:pPr>
      <w:commentRangeStart w:id="15"/>
      <w:r w:rsidRPr="00207AE2">
        <w:rPr>
          <w:rFonts w:ascii="Arial" w:hAnsi="Arial" w:cs="Arial"/>
          <w:color w:val="FF0000"/>
        </w:rPr>
        <w:t>However, several limitations need to be considered, particularly as the participants were recruited from one region of England and had already completed the preceding survey. The recruitment depended on clinicians volunteering twice within the wider study, which may have resulted in participants having greater knowledge of, or interest in, vitamin B</w:t>
      </w:r>
      <w:r w:rsidRPr="00207AE2">
        <w:rPr>
          <w:rFonts w:ascii="Arial" w:hAnsi="Arial" w:cs="Arial"/>
          <w:color w:val="FF0000"/>
          <w:vertAlign w:val="subscript"/>
        </w:rPr>
        <w:t xml:space="preserve">12 </w:t>
      </w:r>
      <w:r w:rsidRPr="00207AE2">
        <w:rPr>
          <w:rFonts w:ascii="Arial" w:hAnsi="Arial" w:cs="Arial"/>
          <w:color w:val="FF0000"/>
        </w:rPr>
        <w:t>monitoring than clinicians who did not take part. All 18 clinicians who volunteered were interviewed and no further purposive selection was undertaken, meaning that the sample was determined by those who came forward during the recruitment period. Although the final sample included clinicians from different professional groups, only their profession and prescribing status were collected. Consequently, the analysis could not examine whether clinical experience or differences in the organisation of individual practices influenced the accounts provided by participants. The findings may be transferable to similar primary care settings, but the limited information collected about the participants and their practices makes it more difficult to assess how they may apply within other services.</w:t>
      </w:r>
      <w:commentRangeEnd w:id="15"/>
      <w:r w:rsidRPr="00207AE2">
        <w:rPr>
          <w:rStyle w:val="CommentReference"/>
          <w:rFonts w:ascii="Arial" w:hAnsi="Arial" w:cs="Arial"/>
          <w:color w:val="FF0000"/>
          <w:sz w:val="22"/>
          <w:szCs w:val="22"/>
        </w:rPr>
        <w:commentReference w:id="15"/>
      </w:r>
    </w:p>
    <w:p w14:paraId="2D56C2CB" w14:textId="77777777" w:rsidR="00502721" w:rsidRPr="00207AE2" w:rsidRDefault="00502721" w:rsidP="00502721">
      <w:pPr>
        <w:spacing w:line="360" w:lineRule="auto"/>
        <w:rPr>
          <w:rFonts w:ascii="Arial" w:hAnsi="Arial" w:cs="Arial"/>
          <w:color w:val="FF0000"/>
        </w:rPr>
      </w:pPr>
      <w:r w:rsidRPr="00207AE2">
        <w:rPr>
          <w:rFonts w:ascii="Arial" w:hAnsi="Arial" w:cs="Arial"/>
          <w:color w:val="FF0000"/>
        </w:rPr>
        <w:t xml:space="preserve">Alongside the limitations of the sample, the interviews reflected what participants reported about their practice and were not supported by direct observation, meaning that the study cannot confirm how monitoring decisions were made during clinical care or whether the systems described were used consistently. The remote interviews allowed clinicians to participate from across the geographical area and made it easier to arrange interviews around their clinical work. However, conducting one remote interview with each participant limited the opportunity to explore their individual practice context in greater depth or return to </w:t>
      </w:r>
      <w:r w:rsidRPr="00207AE2">
        <w:rPr>
          <w:rFonts w:ascii="Arial" w:hAnsi="Arial" w:cs="Arial"/>
          <w:color w:val="FF0000"/>
        </w:rPr>
        <w:lastRenderedPageBreak/>
        <w:t>points that developed after the interview. The transcripts were returned to participants so that they could identify any inaccuracies or request corrections, with no corrections requested, although participants were not asked to comment on the themes or interpretation of the findings. The position of the lead researcher also needs to be considered, as working within primary care provided knowledge of the clinical setting but may have influenced the questions pursued during the interviews and the interpretation of participants’ accounts. Therefore, preliminary analytical notes were recorded, the earlier thematic structures were retained, and the developing interpretation was discussed with the other authors. Reflexive consideration cannot remove the researcher’s contribution to the analysis, but it made this contribution more visible throughout the development of the themes.</w:t>
      </w:r>
    </w:p>
    <w:p w14:paraId="747BA1B0" w14:textId="77777777" w:rsidR="005A56F1" w:rsidRPr="00D01A51" w:rsidRDefault="005A56F1" w:rsidP="005A56F1">
      <w:pPr>
        <w:spacing w:line="360" w:lineRule="auto"/>
        <w:rPr>
          <w:rFonts w:ascii="Arial" w:hAnsi="Arial" w:cs="Arial"/>
          <w:b/>
          <w:bCs/>
        </w:rPr>
      </w:pPr>
      <w:r w:rsidRPr="00D01A51">
        <w:rPr>
          <w:rFonts w:ascii="Arial" w:hAnsi="Arial" w:cs="Arial"/>
          <w:b/>
          <w:bCs/>
        </w:rPr>
        <w:t>Implications for Practice and Policy</w:t>
      </w:r>
    </w:p>
    <w:p w14:paraId="45F6C2C4" w14:textId="77777777" w:rsidR="005A56F1" w:rsidRDefault="005A56F1" w:rsidP="002B699E">
      <w:pPr>
        <w:spacing w:line="360" w:lineRule="auto"/>
        <w:rPr>
          <w:rFonts w:ascii="Arial" w:hAnsi="Arial" w:cs="Arial"/>
          <w:b/>
          <w:bCs/>
        </w:rPr>
      </w:pPr>
      <w:r w:rsidRPr="00D01A51">
        <w:rPr>
          <w:rFonts w:ascii="Arial" w:hAnsi="Arial" w:cs="Arial"/>
        </w:rPr>
        <w:t>Improving implementation of vitamin B</w:t>
      </w:r>
      <w:r w:rsidRPr="00D01A51">
        <w:rPr>
          <w:rFonts w:ascii="Arial" w:hAnsi="Arial" w:cs="Arial"/>
          <w:vertAlign w:val="subscript"/>
        </w:rPr>
        <w:t>12</w:t>
      </w:r>
      <w:r w:rsidRPr="00D01A51">
        <w:rPr>
          <w:rFonts w:ascii="Arial" w:hAnsi="Arial" w:cs="Arial"/>
        </w:rPr>
        <w:t xml:space="preserve"> monitoring is therefore unlikely to be achieved through awareness of guidance alone. Instead, monitoring recommendations may need to be more clearly integrated into existing primary care systems, including diabetes review processes, electronic prompts and locally agreed monitoring responsibilities within multidisciplinary teams. A</w:t>
      </w:r>
      <w:r>
        <w:rPr>
          <w:rFonts w:ascii="Arial" w:hAnsi="Arial" w:cs="Arial"/>
        </w:rPr>
        <w:t>ny a</w:t>
      </w:r>
      <w:r w:rsidRPr="00D01A51">
        <w:rPr>
          <w:rFonts w:ascii="Arial" w:hAnsi="Arial" w:cs="Arial"/>
        </w:rPr>
        <w:t>pproaches that align monitoring with established workflows are more likely to assist consistent implementation than reliance on individual clinician behaviour.</w:t>
      </w:r>
    </w:p>
    <w:p w14:paraId="269AAD59" w14:textId="77777777" w:rsidR="002B699E" w:rsidRPr="00D01A51" w:rsidRDefault="002B699E" w:rsidP="002B699E">
      <w:pPr>
        <w:spacing w:line="360" w:lineRule="auto"/>
        <w:rPr>
          <w:rFonts w:ascii="Arial" w:hAnsi="Arial" w:cs="Arial"/>
          <w:b/>
          <w:bCs/>
        </w:rPr>
      </w:pPr>
      <w:r w:rsidRPr="00D01A51">
        <w:rPr>
          <w:rFonts w:ascii="Arial" w:hAnsi="Arial" w:cs="Arial"/>
          <w:b/>
          <w:bCs/>
        </w:rPr>
        <w:t>Conclusion</w:t>
      </w:r>
    </w:p>
    <w:p w14:paraId="16F90880" w14:textId="77777777" w:rsidR="005A56F1" w:rsidRPr="005A56F1" w:rsidRDefault="005A56F1" w:rsidP="002B699E">
      <w:pPr>
        <w:spacing w:line="360" w:lineRule="auto"/>
        <w:rPr>
          <w:rFonts w:ascii="Arial" w:hAnsi="Arial" w:cs="Arial"/>
          <w:color w:val="FF0000"/>
        </w:rPr>
      </w:pPr>
      <w:commentRangeStart w:id="16"/>
      <w:r w:rsidRPr="005A56F1">
        <w:rPr>
          <w:rFonts w:ascii="Arial" w:hAnsi="Arial" w:cs="Arial"/>
          <w:color w:val="FF0000"/>
        </w:rPr>
        <w:t>The findings from this study show that the variation in vitamin B</w:t>
      </w:r>
      <w:r w:rsidRPr="005A56F1">
        <w:rPr>
          <w:rFonts w:ascii="Arial" w:hAnsi="Arial" w:cs="Arial"/>
          <w:color w:val="FF0000"/>
          <w:vertAlign w:val="subscript"/>
        </w:rPr>
        <w:t>12</w:t>
      </w:r>
      <w:r w:rsidRPr="005A56F1">
        <w:rPr>
          <w:rFonts w:ascii="Arial" w:hAnsi="Arial" w:cs="Arial"/>
          <w:color w:val="FF0000"/>
        </w:rPr>
        <w:t xml:space="preserve"> monitoring was not explained by clinician awareness alone, as the MHRA alert communicated the risk, but practices still had to decide how monitoring would be included within routine diabetes care. Where this had been agreed, testing was less dependent on an individual clinician remembering to consider it during a consultation. However, where no process had been established, the testing interval and responsibility for requesting and reviewing the result remained uncertain, and monitoring continued to depend on clinical judgement and the existing organisation of care. Therefore, the remaining gap was between publication of the recommendation and the work required within practices to make monitoring part of routine care, which may explain why increased awareness had not resulted in a consistent change in monitoring.</w:t>
      </w:r>
      <w:commentRangeEnd w:id="16"/>
      <w:r w:rsidRPr="005A56F1">
        <w:rPr>
          <w:rStyle w:val="CommentReference"/>
          <w:rFonts w:ascii="Arial" w:hAnsi="Arial" w:cs="Arial"/>
          <w:color w:val="FF0000"/>
          <w:sz w:val="22"/>
          <w:szCs w:val="22"/>
        </w:rPr>
        <w:commentReference w:id="16"/>
      </w:r>
    </w:p>
    <w:p w14:paraId="6AC7CFD1" w14:textId="77777777" w:rsidR="002B699E" w:rsidRPr="00D01A51" w:rsidRDefault="002B699E" w:rsidP="002B699E">
      <w:pPr>
        <w:spacing w:line="360" w:lineRule="auto"/>
        <w:rPr>
          <w:rFonts w:ascii="Arial" w:hAnsi="Arial" w:cs="Arial"/>
          <w:b/>
          <w:bCs/>
        </w:rPr>
      </w:pPr>
      <w:r w:rsidRPr="00D01A51">
        <w:rPr>
          <w:rFonts w:ascii="Arial" w:hAnsi="Arial" w:cs="Arial"/>
          <w:b/>
          <w:bCs/>
        </w:rPr>
        <w:t>Declarations</w:t>
      </w:r>
    </w:p>
    <w:p w14:paraId="0E7C8368" w14:textId="77777777" w:rsidR="002B699E" w:rsidRDefault="002B699E" w:rsidP="002B699E">
      <w:pPr>
        <w:spacing w:line="360" w:lineRule="auto"/>
        <w:rPr>
          <w:rFonts w:ascii="Arial" w:hAnsi="Arial" w:cs="Arial"/>
          <w:b/>
          <w:bCs/>
        </w:rPr>
      </w:pPr>
      <w:r w:rsidRPr="00D01A51">
        <w:rPr>
          <w:rFonts w:ascii="Arial" w:hAnsi="Arial" w:cs="Arial"/>
          <w:b/>
          <w:bCs/>
        </w:rPr>
        <w:t>Abbreviations</w:t>
      </w:r>
    </w:p>
    <w:p w14:paraId="59C9F7A2" w14:textId="77777777" w:rsidR="00AE0879" w:rsidRPr="00AE0879" w:rsidRDefault="00AE0879" w:rsidP="00AE0879">
      <w:pPr>
        <w:spacing w:line="360" w:lineRule="auto"/>
        <w:rPr>
          <w:rFonts w:ascii="Arial" w:hAnsi="Arial" w:cs="Arial"/>
        </w:rPr>
      </w:pPr>
      <w:r w:rsidRPr="00AE0879">
        <w:rPr>
          <w:rFonts w:ascii="Arial" w:hAnsi="Arial" w:cs="Arial"/>
        </w:rPr>
        <w:t xml:space="preserve">ACP – Advanced Clinical Practitioner </w:t>
      </w:r>
    </w:p>
    <w:p w14:paraId="342DED4D" w14:textId="77777777" w:rsidR="00AE0879" w:rsidRPr="00AE0879" w:rsidRDefault="00AE0879" w:rsidP="00AE0879">
      <w:pPr>
        <w:spacing w:line="360" w:lineRule="auto"/>
        <w:rPr>
          <w:rFonts w:ascii="Arial" w:hAnsi="Arial" w:cs="Arial"/>
        </w:rPr>
      </w:pPr>
      <w:r w:rsidRPr="00AE0879">
        <w:rPr>
          <w:rFonts w:ascii="Arial" w:hAnsi="Arial" w:cs="Arial"/>
        </w:rPr>
        <w:lastRenderedPageBreak/>
        <w:t xml:space="preserve">B12 – Vitamin B12 </w:t>
      </w:r>
    </w:p>
    <w:p w14:paraId="60F56894" w14:textId="77777777" w:rsidR="00AE0879" w:rsidRPr="00AE0879" w:rsidRDefault="00AE0879" w:rsidP="00AE0879">
      <w:pPr>
        <w:spacing w:line="360" w:lineRule="auto"/>
        <w:rPr>
          <w:rFonts w:ascii="Arial" w:hAnsi="Arial" w:cs="Arial"/>
        </w:rPr>
      </w:pPr>
      <w:r w:rsidRPr="00AE0879">
        <w:rPr>
          <w:rFonts w:ascii="Arial" w:hAnsi="Arial" w:cs="Arial"/>
        </w:rPr>
        <w:t xml:space="preserve">CKS – Clinical Knowledge Summaries </w:t>
      </w:r>
    </w:p>
    <w:p w14:paraId="41B9EC27" w14:textId="77777777" w:rsidR="00AE0879" w:rsidRPr="00AE0879" w:rsidRDefault="00AE0879" w:rsidP="00AE0879">
      <w:pPr>
        <w:spacing w:line="360" w:lineRule="auto"/>
        <w:rPr>
          <w:rFonts w:ascii="Arial" w:hAnsi="Arial" w:cs="Arial"/>
        </w:rPr>
      </w:pPr>
      <w:r w:rsidRPr="00AE0879">
        <w:rPr>
          <w:rFonts w:ascii="Arial" w:hAnsi="Arial" w:cs="Arial"/>
        </w:rPr>
        <w:t xml:space="preserve">COREQ – Consolidated criteria for reporting qualitative research </w:t>
      </w:r>
    </w:p>
    <w:p w14:paraId="14A56DB6" w14:textId="77777777" w:rsidR="00AE0879" w:rsidRPr="00AE0879" w:rsidRDefault="00AE0879" w:rsidP="00AE0879">
      <w:pPr>
        <w:spacing w:line="360" w:lineRule="auto"/>
        <w:rPr>
          <w:rFonts w:ascii="Arial" w:hAnsi="Arial" w:cs="Arial"/>
        </w:rPr>
      </w:pPr>
      <w:r w:rsidRPr="00AE0879">
        <w:rPr>
          <w:rFonts w:ascii="Arial" w:hAnsi="Arial" w:cs="Arial"/>
        </w:rPr>
        <w:t xml:space="preserve">GP – General Practitioner </w:t>
      </w:r>
    </w:p>
    <w:p w14:paraId="296E94EB" w14:textId="77777777" w:rsidR="00AE0879" w:rsidRPr="00AE0879" w:rsidRDefault="00AE0879" w:rsidP="00AE0879">
      <w:pPr>
        <w:spacing w:line="360" w:lineRule="auto"/>
        <w:rPr>
          <w:rFonts w:ascii="Arial" w:hAnsi="Arial" w:cs="Arial"/>
        </w:rPr>
      </w:pPr>
      <w:r w:rsidRPr="00AE0879">
        <w:rPr>
          <w:rFonts w:ascii="Arial" w:hAnsi="Arial" w:cs="Arial"/>
        </w:rPr>
        <w:t xml:space="preserve">HRA – Health Research Authority </w:t>
      </w:r>
    </w:p>
    <w:p w14:paraId="1253BEE2" w14:textId="77777777" w:rsidR="00AE0879" w:rsidRPr="00AE0879" w:rsidRDefault="00AE0879" w:rsidP="00AE0879">
      <w:pPr>
        <w:spacing w:line="360" w:lineRule="auto"/>
        <w:rPr>
          <w:rFonts w:ascii="Arial" w:hAnsi="Arial" w:cs="Arial"/>
        </w:rPr>
      </w:pPr>
      <w:r w:rsidRPr="00AE0879">
        <w:rPr>
          <w:rFonts w:ascii="Arial" w:hAnsi="Arial" w:cs="Arial"/>
        </w:rPr>
        <w:t xml:space="preserve">IDF – International Diabetes Federation </w:t>
      </w:r>
    </w:p>
    <w:p w14:paraId="31CEB0D4" w14:textId="77777777" w:rsidR="00AE0879" w:rsidRPr="00AE0879" w:rsidRDefault="00AE0879" w:rsidP="00AE0879">
      <w:pPr>
        <w:spacing w:line="360" w:lineRule="auto"/>
        <w:rPr>
          <w:rFonts w:ascii="Arial" w:hAnsi="Arial" w:cs="Arial"/>
        </w:rPr>
      </w:pPr>
      <w:r w:rsidRPr="00AE0879">
        <w:rPr>
          <w:rFonts w:ascii="Arial" w:hAnsi="Arial" w:cs="Arial"/>
        </w:rPr>
        <w:t xml:space="preserve">MHRA – Medicines and Healthcare products Regulatory Agency </w:t>
      </w:r>
    </w:p>
    <w:p w14:paraId="61628EDA" w14:textId="77777777" w:rsidR="00AE0879" w:rsidRPr="00AE0879" w:rsidRDefault="00AE0879" w:rsidP="00AE0879">
      <w:pPr>
        <w:spacing w:line="360" w:lineRule="auto"/>
        <w:rPr>
          <w:rFonts w:ascii="Arial" w:hAnsi="Arial" w:cs="Arial"/>
        </w:rPr>
      </w:pPr>
      <w:r w:rsidRPr="00AE0879">
        <w:rPr>
          <w:rFonts w:ascii="Arial" w:hAnsi="Arial" w:cs="Arial"/>
        </w:rPr>
        <w:t xml:space="preserve">NICE – National Institute for Health and Care Excellence </w:t>
      </w:r>
    </w:p>
    <w:p w14:paraId="1D0F393C" w14:textId="77777777" w:rsidR="00AE0879" w:rsidRPr="00502721" w:rsidRDefault="00AE0879" w:rsidP="00AE0879">
      <w:pPr>
        <w:spacing w:line="360" w:lineRule="auto"/>
        <w:rPr>
          <w:rFonts w:ascii="Arial" w:hAnsi="Arial" w:cs="Arial"/>
          <w:color w:val="FF0000"/>
        </w:rPr>
      </w:pPr>
      <w:r w:rsidRPr="00502721">
        <w:rPr>
          <w:rFonts w:ascii="Arial" w:hAnsi="Arial" w:cs="Arial"/>
          <w:color w:val="FF0000"/>
        </w:rPr>
        <w:t xml:space="preserve">PARIHS- Promoting Action on Research Implementation in Health Services </w:t>
      </w:r>
    </w:p>
    <w:p w14:paraId="6C1365D2" w14:textId="77777777" w:rsidR="00AE0879" w:rsidRPr="00AE0879" w:rsidRDefault="00AE0879" w:rsidP="00AE0879">
      <w:pPr>
        <w:spacing w:line="360" w:lineRule="auto"/>
        <w:rPr>
          <w:rFonts w:ascii="Arial" w:hAnsi="Arial" w:cs="Arial"/>
        </w:rPr>
      </w:pPr>
      <w:r w:rsidRPr="00AE0879">
        <w:rPr>
          <w:rFonts w:ascii="Arial" w:hAnsi="Arial" w:cs="Arial"/>
        </w:rPr>
        <w:t xml:space="preserve">RTA – Reflexive Thematic Analysis </w:t>
      </w:r>
    </w:p>
    <w:p w14:paraId="3F361DE1" w14:textId="77777777" w:rsidR="00AE0879" w:rsidRPr="00AE0879" w:rsidRDefault="00AE0879" w:rsidP="00AE0879">
      <w:pPr>
        <w:spacing w:line="360" w:lineRule="auto"/>
        <w:rPr>
          <w:rFonts w:ascii="Arial" w:hAnsi="Arial" w:cs="Arial"/>
        </w:rPr>
      </w:pPr>
      <w:r w:rsidRPr="00AE0879">
        <w:rPr>
          <w:rFonts w:ascii="Arial" w:hAnsi="Arial" w:cs="Arial"/>
        </w:rPr>
        <w:t>T2DM – Type 2 Diabetes Mellitus</w:t>
      </w:r>
    </w:p>
    <w:p w14:paraId="1A250C7E" w14:textId="77777777" w:rsidR="00AE0879" w:rsidRPr="00AE0879" w:rsidRDefault="00AE0879" w:rsidP="002B699E">
      <w:pPr>
        <w:spacing w:line="360" w:lineRule="auto"/>
        <w:rPr>
          <w:rFonts w:ascii="Arial" w:hAnsi="Arial" w:cs="Arial"/>
        </w:rPr>
      </w:pPr>
    </w:p>
    <w:p w14:paraId="1A5D09C1" w14:textId="77777777" w:rsidR="002B699E" w:rsidRPr="00D01A51" w:rsidRDefault="002B699E" w:rsidP="002B699E">
      <w:pPr>
        <w:spacing w:line="360" w:lineRule="auto"/>
        <w:rPr>
          <w:rFonts w:ascii="Arial" w:hAnsi="Arial" w:cs="Arial"/>
          <w:b/>
          <w:bCs/>
        </w:rPr>
      </w:pPr>
      <w:r w:rsidRPr="00D01A51">
        <w:rPr>
          <w:rFonts w:ascii="Arial" w:hAnsi="Arial" w:cs="Arial"/>
          <w:b/>
          <w:bCs/>
        </w:rPr>
        <w:t>Ethics approval and consent to participate</w:t>
      </w:r>
    </w:p>
    <w:p w14:paraId="7E4BEBA1" w14:textId="77777777" w:rsidR="002B699E" w:rsidRPr="00D01A51" w:rsidRDefault="002B699E" w:rsidP="002B699E">
      <w:pPr>
        <w:spacing w:line="360" w:lineRule="auto"/>
        <w:rPr>
          <w:rFonts w:ascii="Arial" w:hAnsi="Arial" w:cs="Arial"/>
        </w:rPr>
      </w:pPr>
      <w:r w:rsidRPr="00D01A51">
        <w:rPr>
          <w:rFonts w:ascii="Arial" w:hAnsi="Arial" w:cs="Arial"/>
        </w:rPr>
        <w:t xml:space="preserve">This project is part of a wider thesis as part of a Post Doctoral award. </w:t>
      </w:r>
    </w:p>
    <w:p w14:paraId="419B7A5F" w14:textId="77777777" w:rsidR="002B699E" w:rsidRPr="00D01A51" w:rsidRDefault="002B699E" w:rsidP="002B699E">
      <w:pPr>
        <w:spacing w:line="360" w:lineRule="auto"/>
        <w:rPr>
          <w:rFonts w:ascii="Arial" w:hAnsi="Arial" w:cs="Arial"/>
        </w:rPr>
      </w:pPr>
      <w:bookmarkStart w:id="17" w:name="_Hlk206053743"/>
      <w:r w:rsidRPr="00D01A51">
        <w:rPr>
          <w:rFonts w:ascii="Arial" w:hAnsi="Arial" w:cs="Arial"/>
        </w:rPr>
        <w:t xml:space="preserve">The study was conducted in accordance with the ethical principles of the Declaration of Helsinki (2013). Ethical approval was granted by the University of Bath Research Ethics Committee (reference 1759-7102) and the Health Research Authority (IRAS ID 336490), with the University of Bath acting as study sponsor. All methods were performed in accordance with relevant institutional and national research guidelines and regulations. No personal identifiable information was collected. </w:t>
      </w:r>
      <w:r w:rsidR="00685104">
        <w:rPr>
          <w:rFonts w:ascii="Arial" w:hAnsi="Arial" w:cs="Arial"/>
        </w:rPr>
        <w:t>Written</w:t>
      </w:r>
      <w:r w:rsidRPr="00D01A51">
        <w:rPr>
          <w:rFonts w:ascii="Arial" w:hAnsi="Arial" w:cs="Arial"/>
        </w:rPr>
        <w:t xml:space="preserve"> consent </w:t>
      </w:r>
      <w:r w:rsidR="00685104">
        <w:rPr>
          <w:rFonts w:ascii="Arial" w:hAnsi="Arial" w:cs="Arial"/>
        </w:rPr>
        <w:t xml:space="preserve">was gained </w:t>
      </w:r>
      <w:r w:rsidRPr="00D01A51">
        <w:rPr>
          <w:rFonts w:ascii="Arial" w:hAnsi="Arial" w:cs="Arial"/>
        </w:rPr>
        <w:t>from each individual. This was agreed both by the University of Bath Ethics board and the Health Re</w:t>
      </w:r>
      <w:r w:rsidR="006F5A31">
        <w:rPr>
          <w:rFonts w:ascii="Arial" w:hAnsi="Arial" w:cs="Arial"/>
        </w:rPr>
        <w:t>search</w:t>
      </w:r>
      <w:r w:rsidRPr="00D01A51">
        <w:rPr>
          <w:rFonts w:ascii="Arial" w:hAnsi="Arial" w:cs="Arial"/>
        </w:rPr>
        <w:t xml:space="preserve"> Authority.</w:t>
      </w:r>
      <w:bookmarkEnd w:id="17"/>
    </w:p>
    <w:p w14:paraId="04B26429" w14:textId="77777777" w:rsidR="002B699E" w:rsidRPr="00D01A51" w:rsidRDefault="002B699E" w:rsidP="002B699E">
      <w:pPr>
        <w:spacing w:line="360" w:lineRule="auto"/>
        <w:rPr>
          <w:rFonts w:ascii="Arial" w:hAnsi="Arial" w:cs="Arial"/>
          <w:b/>
          <w:bCs/>
        </w:rPr>
      </w:pPr>
      <w:r w:rsidRPr="00D01A51">
        <w:rPr>
          <w:rFonts w:ascii="Arial" w:hAnsi="Arial" w:cs="Arial"/>
          <w:b/>
          <w:bCs/>
        </w:rPr>
        <w:t>Consent for publication</w:t>
      </w:r>
    </w:p>
    <w:p w14:paraId="4AB91D9C" w14:textId="77777777" w:rsidR="002B699E" w:rsidRPr="00D01A51" w:rsidRDefault="002B699E" w:rsidP="002B699E">
      <w:pPr>
        <w:spacing w:line="360" w:lineRule="auto"/>
        <w:rPr>
          <w:rFonts w:ascii="Arial" w:hAnsi="Arial" w:cs="Arial"/>
        </w:rPr>
      </w:pPr>
      <w:r w:rsidRPr="00D01A51">
        <w:rPr>
          <w:rFonts w:ascii="Arial" w:hAnsi="Arial" w:cs="Arial"/>
        </w:rPr>
        <w:t>Not applicable</w:t>
      </w:r>
    </w:p>
    <w:p w14:paraId="3AB1C3A9" w14:textId="77777777" w:rsidR="002B699E" w:rsidRPr="00D01A51" w:rsidRDefault="002B699E" w:rsidP="002B699E">
      <w:pPr>
        <w:spacing w:line="360" w:lineRule="auto"/>
        <w:rPr>
          <w:rFonts w:ascii="Arial" w:hAnsi="Arial" w:cs="Arial"/>
          <w:b/>
          <w:bCs/>
        </w:rPr>
      </w:pPr>
      <w:r w:rsidRPr="00D01A51">
        <w:rPr>
          <w:rFonts w:ascii="Arial" w:hAnsi="Arial" w:cs="Arial"/>
          <w:b/>
          <w:bCs/>
        </w:rPr>
        <w:t>Availability of data and materials</w:t>
      </w:r>
    </w:p>
    <w:p w14:paraId="50AC0A01" w14:textId="77777777" w:rsidR="002B699E" w:rsidRPr="00D01A51" w:rsidRDefault="002B699E" w:rsidP="002B699E">
      <w:pPr>
        <w:spacing w:line="360" w:lineRule="auto"/>
        <w:rPr>
          <w:rFonts w:ascii="Arial" w:hAnsi="Arial" w:cs="Arial"/>
        </w:rPr>
      </w:pPr>
      <w:r w:rsidRPr="00D01A51">
        <w:rPr>
          <w:rFonts w:ascii="Arial" w:hAnsi="Arial" w:cs="Arial"/>
        </w:rPr>
        <w:t xml:space="preserve">Data </w:t>
      </w:r>
      <w:r w:rsidR="00685104">
        <w:rPr>
          <w:rFonts w:ascii="Arial" w:hAnsi="Arial" w:cs="Arial"/>
        </w:rPr>
        <w:t>is</w:t>
      </w:r>
      <w:r w:rsidRPr="00D01A51">
        <w:rPr>
          <w:rFonts w:ascii="Arial" w:hAnsi="Arial" w:cs="Arial"/>
        </w:rPr>
        <w:t xml:space="preserve"> available upon reasonable request. De-identified participant data </w:t>
      </w:r>
      <w:r w:rsidR="00685104">
        <w:rPr>
          <w:rFonts w:ascii="Arial" w:hAnsi="Arial" w:cs="Arial"/>
        </w:rPr>
        <w:t>is only</w:t>
      </w:r>
      <w:r w:rsidRPr="00D01A51">
        <w:rPr>
          <w:rFonts w:ascii="Arial" w:hAnsi="Arial" w:cs="Arial"/>
        </w:rPr>
        <w:t xml:space="preserve"> available upon reasonable request </w:t>
      </w:r>
      <w:r w:rsidR="00685104">
        <w:rPr>
          <w:rFonts w:ascii="Arial" w:hAnsi="Arial" w:cs="Arial"/>
        </w:rPr>
        <w:t>to the</w:t>
      </w:r>
      <w:r w:rsidRPr="00D01A51">
        <w:rPr>
          <w:rFonts w:ascii="Arial" w:hAnsi="Arial" w:cs="Arial"/>
        </w:rPr>
        <w:t xml:space="preserve"> corresponding author.</w:t>
      </w:r>
    </w:p>
    <w:p w14:paraId="73089982" w14:textId="77777777" w:rsidR="002B699E" w:rsidRPr="00D01A51" w:rsidRDefault="002B699E" w:rsidP="002B699E">
      <w:pPr>
        <w:spacing w:line="360" w:lineRule="auto"/>
        <w:rPr>
          <w:rFonts w:ascii="Arial" w:hAnsi="Arial" w:cs="Arial"/>
          <w:b/>
          <w:bCs/>
        </w:rPr>
      </w:pPr>
      <w:r w:rsidRPr="00D01A51">
        <w:rPr>
          <w:rFonts w:ascii="Arial" w:hAnsi="Arial" w:cs="Arial"/>
          <w:b/>
          <w:bCs/>
        </w:rPr>
        <w:lastRenderedPageBreak/>
        <w:t>Competing interests</w:t>
      </w:r>
    </w:p>
    <w:p w14:paraId="2BF60591" w14:textId="77777777" w:rsidR="002B699E" w:rsidRPr="00D01A51" w:rsidRDefault="002B699E" w:rsidP="002B699E">
      <w:pPr>
        <w:spacing w:line="360" w:lineRule="auto"/>
        <w:rPr>
          <w:rFonts w:ascii="Arial" w:hAnsi="Arial" w:cs="Arial"/>
        </w:rPr>
      </w:pPr>
      <w:r w:rsidRPr="00D01A51">
        <w:rPr>
          <w:rFonts w:ascii="Arial" w:hAnsi="Arial" w:cs="Arial"/>
        </w:rPr>
        <w:t>There are no conflicts of interest to declare. All authors have completed the Unified Competing Interest form (available on request from the corresponding author) and declare: no support from any organisation for the submitted work; no financial relationships with any organisations that might have an interest in the submitted work in the previous three years, no other relationships or activities that could appear to have influenced the submitted work.</w:t>
      </w:r>
    </w:p>
    <w:p w14:paraId="1840508A" w14:textId="77777777" w:rsidR="002B699E" w:rsidRPr="00D01A51" w:rsidRDefault="002B699E" w:rsidP="002B699E">
      <w:pPr>
        <w:spacing w:line="360" w:lineRule="auto"/>
        <w:rPr>
          <w:rFonts w:ascii="Arial" w:hAnsi="Arial" w:cs="Arial"/>
          <w:b/>
          <w:bCs/>
        </w:rPr>
      </w:pPr>
      <w:r w:rsidRPr="00D01A51">
        <w:rPr>
          <w:rFonts w:ascii="Arial" w:hAnsi="Arial" w:cs="Arial"/>
          <w:b/>
          <w:bCs/>
        </w:rPr>
        <w:t>Funding</w:t>
      </w:r>
    </w:p>
    <w:p w14:paraId="765E6ED5" w14:textId="77777777" w:rsidR="002B699E" w:rsidRPr="00D01A51" w:rsidRDefault="002B699E" w:rsidP="002B699E">
      <w:pPr>
        <w:spacing w:line="360" w:lineRule="auto"/>
        <w:rPr>
          <w:rFonts w:ascii="Arial" w:hAnsi="Arial" w:cs="Arial"/>
        </w:rPr>
      </w:pPr>
      <w:r w:rsidRPr="00D01A51">
        <w:rPr>
          <w:rFonts w:ascii="Arial" w:hAnsi="Arial" w:cs="Arial"/>
        </w:rPr>
        <w:t>This is being undertaken as part of a self-funded Post Doctoral course and is not subject to any external funding.</w:t>
      </w:r>
      <w:r w:rsidRPr="00D01A51">
        <w:rPr>
          <w:rFonts w:ascii="Arial" w:hAnsi="Arial" w:cs="Arial"/>
        </w:rPr>
        <w:tab/>
      </w:r>
    </w:p>
    <w:p w14:paraId="1FCEE422" w14:textId="77777777" w:rsidR="002B699E" w:rsidRPr="00D01A51" w:rsidRDefault="002B699E" w:rsidP="002B699E">
      <w:pPr>
        <w:spacing w:line="360" w:lineRule="auto"/>
        <w:rPr>
          <w:rFonts w:ascii="Arial" w:hAnsi="Arial" w:cs="Arial"/>
          <w:b/>
          <w:bCs/>
        </w:rPr>
      </w:pPr>
      <w:r w:rsidRPr="00D01A51">
        <w:rPr>
          <w:rFonts w:ascii="Arial" w:hAnsi="Arial" w:cs="Arial"/>
          <w:b/>
          <w:bCs/>
        </w:rPr>
        <w:t>Authors' contributions</w:t>
      </w:r>
    </w:p>
    <w:p w14:paraId="5F129E7A" w14:textId="77777777" w:rsidR="002B699E" w:rsidRPr="00D01A51" w:rsidRDefault="002B699E" w:rsidP="002B699E">
      <w:pPr>
        <w:spacing w:before="100" w:beforeAutospacing="1" w:after="100" w:afterAutospacing="1" w:line="360" w:lineRule="auto"/>
        <w:rPr>
          <w:rFonts w:ascii="Arial" w:hAnsi="Arial" w:cs="Arial"/>
          <w:lang w:eastAsia="en-GB"/>
        </w:rPr>
      </w:pPr>
      <w:r w:rsidRPr="00D01A51">
        <w:rPr>
          <w:rFonts w:ascii="Arial" w:hAnsi="Arial" w:cs="Arial"/>
          <w:lang w:eastAsia="en-GB"/>
        </w:rPr>
        <w:t>IP conceived the study as part of a wider research programme and led the development of the research question with contribution from the co-authors. IP designed the study, conducted the literature review, developed the methodology, and undertook data collection and analysis. Data were analysed using reflexive thematic analysis, led by IP with interpretive input from all authors. IP drafted the initial manuscript.</w:t>
      </w:r>
    </w:p>
    <w:p w14:paraId="68569C03" w14:textId="77777777" w:rsidR="002B699E" w:rsidRPr="00D01A51" w:rsidRDefault="002B699E" w:rsidP="002B699E">
      <w:pPr>
        <w:spacing w:before="100" w:beforeAutospacing="1" w:after="100" w:afterAutospacing="1" w:line="360" w:lineRule="auto"/>
        <w:rPr>
          <w:rFonts w:ascii="Arial" w:hAnsi="Arial" w:cs="Arial"/>
          <w:lang w:eastAsia="en-GB"/>
        </w:rPr>
      </w:pPr>
      <w:r w:rsidRPr="00D01A51">
        <w:rPr>
          <w:rFonts w:ascii="Arial" w:hAnsi="Arial" w:cs="Arial"/>
          <w:lang w:eastAsia="en-GB"/>
        </w:rPr>
        <w:t>DW and JB contributed to the study design, provided critical input to the methodology and analysis, and critically revised the manuscript for important intellectual content. All authors contributed to the interpretation of findings and refinement of the manuscript and approved the final version.</w:t>
      </w:r>
    </w:p>
    <w:p w14:paraId="5DAC1C4B" w14:textId="77777777" w:rsidR="002B699E" w:rsidRPr="00D01A51" w:rsidRDefault="002B699E" w:rsidP="002B699E">
      <w:pPr>
        <w:spacing w:before="100" w:beforeAutospacing="1" w:after="100" w:afterAutospacing="1" w:line="360" w:lineRule="auto"/>
        <w:rPr>
          <w:rFonts w:ascii="Arial" w:hAnsi="Arial" w:cs="Arial"/>
          <w:lang w:eastAsia="en-GB"/>
        </w:rPr>
      </w:pPr>
      <w:r w:rsidRPr="00D01A51">
        <w:rPr>
          <w:rFonts w:ascii="Arial" w:hAnsi="Arial" w:cs="Arial"/>
          <w:lang w:eastAsia="en-GB"/>
        </w:rPr>
        <w:t>IP acts as guarantor and accepts responsibility for the integrity of the work and the overall conduct of the study.</w:t>
      </w:r>
    </w:p>
    <w:p w14:paraId="2EC65718" w14:textId="77777777" w:rsidR="002B699E" w:rsidRPr="00D01A51" w:rsidRDefault="002B699E" w:rsidP="002B699E">
      <w:pPr>
        <w:spacing w:line="360" w:lineRule="auto"/>
        <w:rPr>
          <w:rFonts w:ascii="Arial" w:hAnsi="Arial" w:cs="Arial"/>
          <w:b/>
          <w:bCs/>
        </w:rPr>
      </w:pPr>
      <w:r w:rsidRPr="00D01A51">
        <w:rPr>
          <w:rFonts w:ascii="Arial" w:hAnsi="Arial" w:cs="Arial"/>
          <w:b/>
          <w:bCs/>
        </w:rPr>
        <w:t>Acknowledgements</w:t>
      </w:r>
    </w:p>
    <w:p w14:paraId="0A07F223" w14:textId="77777777" w:rsidR="002B699E" w:rsidRPr="00D01A51" w:rsidRDefault="002B699E" w:rsidP="002B699E">
      <w:pPr>
        <w:spacing w:line="360" w:lineRule="auto"/>
        <w:rPr>
          <w:rFonts w:ascii="Arial" w:hAnsi="Arial" w:cs="Arial"/>
        </w:rPr>
      </w:pPr>
      <w:r w:rsidRPr="00D01A51">
        <w:rPr>
          <w:rFonts w:ascii="Arial" w:hAnsi="Arial" w:cs="Arial"/>
        </w:rPr>
        <w:t>Not applicable</w:t>
      </w:r>
    </w:p>
    <w:p w14:paraId="6DE0E7F4" w14:textId="77777777" w:rsidR="002B699E" w:rsidRPr="00D01A51" w:rsidRDefault="002B699E" w:rsidP="002B699E">
      <w:pPr>
        <w:rPr>
          <w:rFonts w:ascii="Arial" w:hAnsi="Arial" w:cs="Arial"/>
          <w:b/>
          <w:bCs/>
        </w:rPr>
      </w:pPr>
      <w:r w:rsidRPr="00D01A51">
        <w:rPr>
          <w:rFonts w:ascii="Arial" w:hAnsi="Arial" w:cs="Arial"/>
          <w:b/>
          <w:bCs/>
        </w:rPr>
        <w:t>References</w:t>
      </w:r>
    </w:p>
    <w:p w14:paraId="682F612B" w14:textId="77777777" w:rsidR="002B699E" w:rsidRPr="00D01A51" w:rsidRDefault="002B699E" w:rsidP="002B699E">
      <w:pPr>
        <w:rPr>
          <w:rFonts w:ascii="Arial" w:hAnsi="Arial" w:cs="Arial"/>
        </w:rPr>
      </w:pPr>
      <w:r w:rsidRPr="00D01A51">
        <w:rPr>
          <w:rFonts w:ascii="Arial" w:hAnsi="Arial" w:cs="Arial"/>
          <w:b/>
          <w:bCs/>
        </w:rPr>
        <w:t>1.</w:t>
      </w:r>
      <w:r w:rsidRPr="00D01A51">
        <w:rPr>
          <w:rFonts w:ascii="Arial" w:hAnsi="Arial" w:cs="Arial"/>
        </w:rPr>
        <w:t xml:space="preserve"> International Diabetes Federation. </w:t>
      </w:r>
      <w:r w:rsidRPr="00D01A51">
        <w:rPr>
          <w:rFonts w:ascii="Arial" w:hAnsi="Arial" w:cs="Arial"/>
          <w:i/>
          <w:iCs/>
        </w:rPr>
        <w:t>IDF Diabetes Atlas</w:t>
      </w:r>
      <w:r w:rsidRPr="00D01A51">
        <w:rPr>
          <w:rFonts w:ascii="Arial" w:hAnsi="Arial" w:cs="Arial"/>
        </w:rPr>
        <w:t>. 11th ed. Brussels: International Diabetes Federation; 2025.</w:t>
      </w:r>
    </w:p>
    <w:p w14:paraId="7CAF8D41" w14:textId="77777777" w:rsidR="002B699E" w:rsidRPr="00D01A51" w:rsidRDefault="002B699E" w:rsidP="002B699E">
      <w:pPr>
        <w:rPr>
          <w:rFonts w:ascii="Arial" w:hAnsi="Arial" w:cs="Arial"/>
        </w:rPr>
      </w:pPr>
      <w:r w:rsidRPr="00D01A51">
        <w:rPr>
          <w:rFonts w:ascii="Arial" w:hAnsi="Arial" w:cs="Arial"/>
          <w:b/>
          <w:bCs/>
        </w:rPr>
        <w:t>2.</w:t>
      </w:r>
      <w:r w:rsidRPr="00D01A51">
        <w:rPr>
          <w:rFonts w:ascii="Arial" w:hAnsi="Arial" w:cs="Arial"/>
        </w:rPr>
        <w:t xml:space="preserve"> Ceriello A, Prattichizzo F, Berra C. Is glycaemic control still central in the hierarchy of priorities in type 2 diabetes management? The way forward is to combine glucose control and the prevention of cardiorenal complications. </w:t>
      </w:r>
      <w:r w:rsidRPr="00D01A51">
        <w:rPr>
          <w:rFonts w:ascii="Arial" w:hAnsi="Arial" w:cs="Arial"/>
          <w:i/>
          <w:iCs/>
        </w:rPr>
        <w:t>Diabetologia</w:t>
      </w:r>
      <w:r w:rsidRPr="00D01A51">
        <w:rPr>
          <w:rFonts w:ascii="Arial" w:hAnsi="Arial" w:cs="Arial"/>
        </w:rPr>
        <w:t>. 2024;68(1):245–246. doi:10.1007/s00125-024-06284-4.</w:t>
      </w:r>
    </w:p>
    <w:p w14:paraId="75CAE042" w14:textId="77777777" w:rsidR="002B699E" w:rsidRPr="00D01A51" w:rsidRDefault="002B699E" w:rsidP="002B699E">
      <w:pPr>
        <w:rPr>
          <w:rFonts w:ascii="Arial" w:hAnsi="Arial" w:cs="Arial"/>
        </w:rPr>
      </w:pPr>
      <w:r w:rsidRPr="00D01A51">
        <w:rPr>
          <w:rFonts w:ascii="Arial" w:hAnsi="Arial" w:cs="Arial"/>
          <w:b/>
          <w:bCs/>
        </w:rPr>
        <w:lastRenderedPageBreak/>
        <w:t>3.</w:t>
      </w:r>
      <w:r w:rsidRPr="00D01A51">
        <w:rPr>
          <w:rFonts w:ascii="Arial" w:hAnsi="Arial" w:cs="Arial"/>
        </w:rPr>
        <w:t xml:space="preserve"> Infante M, et al. Long-term metformin therapy and vitamin B12 deficiency: an association to bear in mind. </w:t>
      </w:r>
      <w:r w:rsidRPr="00D01A51">
        <w:rPr>
          <w:rFonts w:ascii="Arial" w:hAnsi="Arial" w:cs="Arial"/>
          <w:i/>
          <w:iCs/>
        </w:rPr>
        <w:t>World J Diabetes</w:t>
      </w:r>
      <w:r w:rsidRPr="00D01A51">
        <w:rPr>
          <w:rFonts w:ascii="Arial" w:hAnsi="Arial" w:cs="Arial"/>
        </w:rPr>
        <w:t>. 2021;12(7):916–931. doi:10.4239/wjd.v12.i7.916.</w:t>
      </w:r>
    </w:p>
    <w:p w14:paraId="030A48AE" w14:textId="77777777" w:rsidR="002B699E" w:rsidRPr="00D01A51" w:rsidRDefault="002B699E" w:rsidP="002B699E">
      <w:pPr>
        <w:rPr>
          <w:rFonts w:ascii="Arial" w:hAnsi="Arial" w:cs="Arial"/>
        </w:rPr>
      </w:pPr>
      <w:r w:rsidRPr="002B4EA5">
        <w:rPr>
          <w:rFonts w:ascii="Arial" w:hAnsi="Arial" w:cs="Arial"/>
          <w:b/>
          <w:bCs/>
        </w:rPr>
        <w:t>4.</w:t>
      </w:r>
      <w:r w:rsidRPr="002B4EA5">
        <w:rPr>
          <w:rFonts w:ascii="Arial" w:hAnsi="Arial" w:cs="Arial"/>
        </w:rPr>
        <w:t xml:space="preserve"> Al Zoubi MS, Al Kreasha R, Aqel S, Saeed A, Al-Qudimat AR, Al-Zoubi RM. </w:t>
      </w:r>
      <w:r w:rsidRPr="00D01A51">
        <w:rPr>
          <w:rFonts w:ascii="Arial" w:hAnsi="Arial" w:cs="Arial"/>
        </w:rPr>
        <w:t xml:space="preserve">Vitamin B12 deficiency in diabetic patients treated with metformin: a narrative review. </w:t>
      </w:r>
      <w:r w:rsidRPr="00D01A51">
        <w:rPr>
          <w:rFonts w:ascii="Arial" w:hAnsi="Arial" w:cs="Arial"/>
          <w:i/>
          <w:iCs/>
        </w:rPr>
        <w:t>Ir J Med Sci</w:t>
      </w:r>
      <w:r w:rsidRPr="00D01A51">
        <w:rPr>
          <w:rFonts w:ascii="Arial" w:hAnsi="Arial" w:cs="Arial"/>
        </w:rPr>
        <w:t>. 2024;193(4):1827–1835. doi:10.1007/s11845-024-03634-4.</w:t>
      </w:r>
    </w:p>
    <w:p w14:paraId="3C92E2B3" w14:textId="77777777" w:rsidR="002B699E" w:rsidRPr="00D01A51" w:rsidRDefault="002B699E" w:rsidP="002B699E">
      <w:pPr>
        <w:rPr>
          <w:rFonts w:ascii="Arial" w:hAnsi="Arial" w:cs="Arial"/>
        </w:rPr>
      </w:pPr>
      <w:r w:rsidRPr="00D01A51">
        <w:rPr>
          <w:rFonts w:ascii="Arial" w:hAnsi="Arial" w:cs="Arial"/>
          <w:b/>
          <w:bCs/>
        </w:rPr>
        <w:t>5.</w:t>
      </w:r>
      <w:r w:rsidRPr="00D01A51">
        <w:rPr>
          <w:rFonts w:ascii="Arial" w:hAnsi="Arial" w:cs="Arial"/>
        </w:rPr>
        <w:t xml:space="preserve"> Alshammari AN, Iqbal R, Baksh IP. Vitamin B12 deficiency and the knowledge and practice of physicians regarding screening for vitamin B12 deficiency among type 2 diabetic patients on metformin in selected hospitals in Riyadh, Saudi Arabia. </w:t>
      </w:r>
      <w:r w:rsidRPr="00D01A51">
        <w:rPr>
          <w:rFonts w:ascii="Arial" w:hAnsi="Arial" w:cs="Arial"/>
          <w:i/>
          <w:iCs/>
        </w:rPr>
        <w:t>J Fam Med Prim Care</w:t>
      </w:r>
      <w:r w:rsidRPr="00D01A51">
        <w:rPr>
          <w:rFonts w:ascii="Arial" w:hAnsi="Arial" w:cs="Arial"/>
        </w:rPr>
        <w:t>. 2019;8(7):2306–2311. doi:10.4103/jfmpc.jfmpc_416_19.</w:t>
      </w:r>
    </w:p>
    <w:p w14:paraId="6A0FBC4D" w14:textId="77777777" w:rsidR="002B699E" w:rsidRPr="00D01A51" w:rsidRDefault="002B699E" w:rsidP="002B699E">
      <w:pPr>
        <w:rPr>
          <w:rFonts w:ascii="Arial" w:hAnsi="Arial" w:cs="Arial"/>
        </w:rPr>
      </w:pPr>
      <w:r w:rsidRPr="00D01A51">
        <w:rPr>
          <w:rFonts w:ascii="Arial" w:hAnsi="Arial" w:cs="Arial"/>
          <w:b/>
          <w:bCs/>
        </w:rPr>
        <w:t>6.</w:t>
      </w:r>
      <w:r w:rsidRPr="00D01A51">
        <w:rPr>
          <w:rFonts w:ascii="Arial" w:hAnsi="Arial" w:cs="Arial"/>
        </w:rPr>
        <w:t xml:space="preserve"> Yazidi M, et al. Vitamin B12 deficiency in long-term metformin-treated type 2 diabetes: prevalence and risk factors. </w:t>
      </w:r>
      <w:r w:rsidRPr="00D01A51">
        <w:rPr>
          <w:rFonts w:ascii="Arial" w:hAnsi="Arial" w:cs="Arial"/>
          <w:i/>
          <w:iCs/>
        </w:rPr>
        <w:t>J R Coll Physicians Edinb</w:t>
      </w:r>
      <w:r w:rsidRPr="00D01A51">
        <w:rPr>
          <w:rFonts w:ascii="Arial" w:hAnsi="Arial" w:cs="Arial"/>
        </w:rPr>
        <w:t>. 2024;54(2):118–125. doi:10.1177/1478271524123456.</w:t>
      </w:r>
    </w:p>
    <w:p w14:paraId="78B7CD8E" w14:textId="77777777" w:rsidR="002B699E" w:rsidRPr="00D01A51" w:rsidRDefault="002B699E" w:rsidP="002B699E">
      <w:pPr>
        <w:rPr>
          <w:rFonts w:ascii="Arial" w:hAnsi="Arial" w:cs="Arial"/>
        </w:rPr>
      </w:pPr>
      <w:r w:rsidRPr="00D01A51">
        <w:rPr>
          <w:rFonts w:ascii="Arial" w:hAnsi="Arial" w:cs="Arial"/>
          <w:b/>
          <w:bCs/>
        </w:rPr>
        <w:t>7.</w:t>
      </w:r>
      <w:r w:rsidRPr="00D01A51">
        <w:rPr>
          <w:rFonts w:ascii="Arial" w:hAnsi="Arial" w:cs="Arial"/>
        </w:rPr>
        <w:t xml:space="preserve"> Medicines and Healthcare products Regulatory Agency. Metformin and vitamin B12 deficiency: Drug safety update. 2022. Available from: </w:t>
      </w:r>
      <w:hyperlink r:id="rId10" w:tgtFrame="_new" w:history="1">
        <w:r w:rsidRPr="00D01A51">
          <w:rPr>
            <w:rFonts w:ascii="Arial" w:hAnsi="Arial" w:cs="Arial"/>
            <w:color w:val="0000FF"/>
            <w:u w:val="single"/>
          </w:rPr>
          <w:t>https://www.gov.uk/drug-safety-update/metformin-risk-of-vitamin-b12-deficiency</w:t>
        </w:r>
      </w:hyperlink>
    </w:p>
    <w:p w14:paraId="3E55BCE4" w14:textId="77777777" w:rsidR="002B699E" w:rsidRPr="00D01A51" w:rsidRDefault="002B699E" w:rsidP="002B699E">
      <w:pPr>
        <w:rPr>
          <w:rFonts w:ascii="Arial" w:hAnsi="Arial" w:cs="Arial"/>
        </w:rPr>
      </w:pPr>
      <w:r w:rsidRPr="00D01A51">
        <w:rPr>
          <w:rFonts w:ascii="Arial" w:hAnsi="Arial" w:cs="Arial"/>
          <w:b/>
          <w:bCs/>
        </w:rPr>
        <w:t>8.</w:t>
      </w:r>
      <w:r w:rsidRPr="00D01A51">
        <w:rPr>
          <w:rFonts w:ascii="Arial" w:hAnsi="Arial" w:cs="Arial"/>
        </w:rPr>
        <w:t xml:space="preserve"> Fischer F, Lange K, Klose K, Greiner W, Kraemer A. Barriers and strategies in guideline implementation—a scoping review. </w:t>
      </w:r>
      <w:r w:rsidRPr="00D01A51">
        <w:rPr>
          <w:rFonts w:ascii="Arial" w:hAnsi="Arial" w:cs="Arial"/>
          <w:i/>
          <w:iCs/>
        </w:rPr>
        <w:t>Healthcare</w:t>
      </w:r>
      <w:r w:rsidRPr="00D01A51">
        <w:rPr>
          <w:rFonts w:ascii="Arial" w:hAnsi="Arial" w:cs="Arial"/>
        </w:rPr>
        <w:t>. 2016;4(3):36. doi:10.3390/healthcare4030036.</w:t>
      </w:r>
    </w:p>
    <w:p w14:paraId="7A3C5DDA" w14:textId="77777777" w:rsidR="002B699E" w:rsidRPr="00D01A51" w:rsidRDefault="002B699E" w:rsidP="002B699E">
      <w:pPr>
        <w:rPr>
          <w:rFonts w:ascii="Arial" w:hAnsi="Arial" w:cs="Arial"/>
        </w:rPr>
      </w:pPr>
      <w:r w:rsidRPr="00D01A51">
        <w:rPr>
          <w:rFonts w:ascii="Arial" w:hAnsi="Arial" w:cs="Arial"/>
          <w:b/>
          <w:bCs/>
        </w:rPr>
        <w:t>9.</w:t>
      </w:r>
      <w:r w:rsidRPr="00D01A51">
        <w:rPr>
          <w:rFonts w:ascii="Arial" w:hAnsi="Arial" w:cs="Arial"/>
        </w:rPr>
        <w:t xml:space="preserve"> Grimshaw JM, Patey AM, Kirkham KR, Hall A, Dowling SK, Rodondi N, et al. De-implementing wisely: developing the evidence base to reduce low-value care. </w:t>
      </w:r>
      <w:r w:rsidRPr="00D01A51">
        <w:rPr>
          <w:rFonts w:ascii="Arial" w:hAnsi="Arial" w:cs="Arial"/>
          <w:i/>
          <w:iCs/>
        </w:rPr>
        <w:t>BMJ Qual Saf</w:t>
      </w:r>
      <w:r w:rsidRPr="00D01A51">
        <w:rPr>
          <w:rFonts w:ascii="Arial" w:hAnsi="Arial" w:cs="Arial"/>
        </w:rPr>
        <w:t>. 2020;29(5):409–417. doi:10.1136/bmjqs-2019-010060.</w:t>
      </w:r>
    </w:p>
    <w:p w14:paraId="78E96B07" w14:textId="77777777" w:rsidR="002B699E" w:rsidRPr="00D01A51" w:rsidRDefault="002B699E" w:rsidP="002B699E">
      <w:pPr>
        <w:rPr>
          <w:rFonts w:ascii="Arial" w:hAnsi="Arial" w:cs="Arial"/>
        </w:rPr>
      </w:pPr>
      <w:r w:rsidRPr="00D01A51">
        <w:rPr>
          <w:rFonts w:ascii="Arial" w:hAnsi="Arial" w:cs="Arial"/>
          <w:b/>
          <w:bCs/>
        </w:rPr>
        <w:t>10.</w:t>
      </w:r>
      <w:r w:rsidRPr="00D01A51">
        <w:rPr>
          <w:rFonts w:ascii="Arial" w:hAnsi="Arial" w:cs="Arial"/>
        </w:rPr>
        <w:t xml:space="preserve"> Parsonage I, Wainwright D, Barratt J. Impact of the MHRA safety update on vitamin B12 testing and coding in metformin users: a retrospective primary care analysis. </w:t>
      </w:r>
      <w:r w:rsidRPr="00D01A51">
        <w:rPr>
          <w:rFonts w:ascii="Arial" w:hAnsi="Arial" w:cs="Arial"/>
          <w:i/>
          <w:iCs/>
        </w:rPr>
        <w:t>BMC Prim Care</w:t>
      </w:r>
      <w:r w:rsidRPr="00D01A51">
        <w:rPr>
          <w:rFonts w:ascii="Arial" w:hAnsi="Arial" w:cs="Arial"/>
        </w:rPr>
        <w:t>. 2025;27(1). doi:10.1186/s12875-025-03116-1.</w:t>
      </w:r>
    </w:p>
    <w:p w14:paraId="2DBBEF0B" w14:textId="77777777" w:rsidR="002B699E" w:rsidRPr="00D01A51" w:rsidRDefault="002B699E" w:rsidP="002B699E">
      <w:pPr>
        <w:rPr>
          <w:rFonts w:ascii="Arial" w:hAnsi="Arial" w:cs="Arial"/>
        </w:rPr>
      </w:pPr>
      <w:r w:rsidRPr="00D01A51">
        <w:rPr>
          <w:rFonts w:ascii="Arial" w:hAnsi="Arial" w:cs="Arial"/>
          <w:b/>
          <w:bCs/>
        </w:rPr>
        <w:t>11.</w:t>
      </w:r>
      <w:r w:rsidRPr="00D01A51">
        <w:rPr>
          <w:rFonts w:ascii="Arial" w:hAnsi="Arial" w:cs="Arial"/>
        </w:rPr>
        <w:t xml:space="preserve"> Parsonage I, Wainwright D, Barratt J. Clinician awareness and implementation of vitamin B12 monitoring guidance in metformin users: a primary care survey. </w:t>
      </w:r>
      <w:r w:rsidRPr="00D01A51">
        <w:rPr>
          <w:rFonts w:ascii="Arial" w:hAnsi="Arial" w:cs="Arial"/>
          <w:i/>
          <w:iCs/>
        </w:rPr>
        <w:t>BMC Prim Care</w:t>
      </w:r>
      <w:r w:rsidRPr="00D01A51">
        <w:rPr>
          <w:rFonts w:ascii="Arial" w:hAnsi="Arial" w:cs="Arial"/>
        </w:rPr>
        <w:t>. 2026;27(1). doi:10.1186/s12875-026-03185-w.</w:t>
      </w:r>
    </w:p>
    <w:p w14:paraId="1DCE4A72" w14:textId="77777777" w:rsidR="002B699E" w:rsidRPr="00D01A51" w:rsidRDefault="002B699E" w:rsidP="002B699E">
      <w:pPr>
        <w:rPr>
          <w:rFonts w:ascii="Arial" w:hAnsi="Arial" w:cs="Arial"/>
        </w:rPr>
      </w:pPr>
      <w:r w:rsidRPr="00D01A51">
        <w:rPr>
          <w:rFonts w:ascii="Arial" w:hAnsi="Arial" w:cs="Arial"/>
          <w:b/>
          <w:bCs/>
        </w:rPr>
        <w:t>12.</w:t>
      </w:r>
      <w:r w:rsidRPr="00D01A51">
        <w:rPr>
          <w:rFonts w:ascii="Arial" w:hAnsi="Arial" w:cs="Arial"/>
        </w:rPr>
        <w:t xml:space="preserve"> AlSaad S, AlHadlaq R, Alaraik E, Alnomany A, AlSaif H, Almigbal T, et al. Evaluating physician knowledge, attitudes, and practices in screening and supplementation for vitamin B12 deficiency in type 2 diabetes patients treated with metformin. </w:t>
      </w:r>
      <w:r w:rsidRPr="00D01A51">
        <w:rPr>
          <w:rFonts w:ascii="Arial" w:hAnsi="Arial" w:cs="Arial"/>
          <w:i/>
          <w:iCs/>
        </w:rPr>
        <w:t>Diabetes Metab Syndr Obes</w:t>
      </w:r>
      <w:r w:rsidRPr="00D01A51">
        <w:rPr>
          <w:rFonts w:ascii="Arial" w:hAnsi="Arial" w:cs="Arial"/>
        </w:rPr>
        <w:t>. 2024;17:3925–3934. doi:10.2147/DMSO.S486059.</w:t>
      </w:r>
    </w:p>
    <w:p w14:paraId="0E0ABBE7" w14:textId="77777777" w:rsidR="002B699E" w:rsidRPr="00D01A51" w:rsidRDefault="002B699E" w:rsidP="002B699E">
      <w:pPr>
        <w:rPr>
          <w:rFonts w:ascii="Arial" w:hAnsi="Arial" w:cs="Arial"/>
        </w:rPr>
      </w:pPr>
      <w:r w:rsidRPr="00D01A51">
        <w:rPr>
          <w:rFonts w:ascii="Arial" w:hAnsi="Arial" w:cs="Arial"/>
          <w:b/>
          <w:bCs/>
        </w:rPr>
        <w:t>13.</w:t>
      </w:r>
      <w:r w:rsidRPr="00D01A51">
        <w:rPr>
          <w:rFonts w:ascii="Arial" w:hAnsi="Arial" w:cs="Arial"/>
        </w:rPr>
        <w:t xml:space="preserve"> Alwadi M, Badaineh R, Alwedyan T, Gogazeh E, Badir OA. Assessment of the knowledge and practice of Jordanian family medicine practitioners regarding vitamin B12 screening for type 2 diabetes mellitus patients on metformin. </w:t>
      </w:r>
      <w:r w:rsidRPr="00D01A51">
        <w:rPr>
          <w:rFonts w:ascii="Arial" w:hAnsi="Arial" w:cs="Arial"/>
          <w:i/>
          <w:iCs/>
        </w:rPr>
        <w:t>Pharm Pract (Granada)</w:t>
      </w:r>
      <w:r w:rsidRPr="00D01A51">
        <w:rPr>
          <w:rFonts w:ascii="Arial" w:hAnsi="Arial" w:cs="Arial"/>
        </w:rPr>
        <w:t>. 2024;21(4):1–10. doi:10.18549/pharmpract.2023.4.2893.</w:t>
      </w:r>
    </w:p>
    <w:p w14:paraId="4CD74124" w14:textId="77777777" w:rsidR="002B699E" w:rsidRPr="00D01A51" w:rsidRDefault="002B699E" w:rsidP="002B699E">
      <w:pPr>
        <w:rPr>
          <w:rFonts w:ascii="Arial" w:hAnsi="Arial" w:cs="Arial"/>
        </w:rPr>
      </w:pPr>
      <w:r w:rsidRPr="00D01A51">
        <w:rPr>
          <w:rFonts w:ascii="Arial" w:hAnsi="Arial" w:cs="Arial"/>
          <w:b/>
          <w:bCs/>
        </w:rPr>
        <w:t>14.</w:t>
      </w:r>
      <w:r w:rsidRPr="00D01A51">
        <w:rPr>
          <w:rFonts w:ascii="Arial" w:hAnsi="Arial" w:cs="Arial"/>
        </w:rPr>
        <w:t xml:space="preserve"> Woolf SH. The meaning of translational research and why it matters. </w:t>
      </w:r>
      <w:r w:rsidRPr="00D01A51">
        <w:rPr>
          <w:rFonts w:ascii="Arial" w:hAnsi="Arial" w:cs="Arial"/>
          <w:i/>
          <w:iCs/>
        </w:rPr>
        <w:t>JAMA</w:t>
      </w:r>
      <w:r w:rsidRPr="00D01A51">
        <w:rPr>
          <w:rFonts w:ascii="Arial" w:hAnsi="Arial" w:cs="Arial"/>
        </w:rPr>
        <w:t>. 2008;299(2). doi:10.1001/jama.2007.26.</w:t>
      </w:r>
    </w:p>
    <w:p w14:paraId="78EAF311" w14:textId="77777777" w:rsidR="002B699E" w:rsidRPr="00D01A51" w:rsidRDefault="002B699E" w:rsidP="002B699E">
      <w:pPr>
        <w:rPr>
          <w:rFonts w:ascii="Arial" w:hAnsi="Arial" w:cs="Arial"/>
        </w:rPr>
      </w:pPr>
      <w:r w:rsidRPr="00D01A51">
        <w:rPr>
          <w:rFonts w:ascii="Arial" w:hAnsi="Arial" w:cs="Arial"/>
          <w:b/>
          <w:bCs/>
        </w:rPr>
        <w:lastRenderedPageBreak/>
        <w:t>15.</w:t>
      </w:r>
      <w:r w:rsidRPr="00D01A51">
        <w:rPr>
          <w:rFonts w:ascii="Arial" w:hAnsi="Arial" w:cs="Arial"/>
        </w:rPr>
        <w:t xml:space="preserve"> Morris ZS, Wooding S, Grant J. The answer is 17 years, what is the question: understanding time lags in translational research. </w:t>
      </w:r>
      <w:r w:rsidRPr="00D01A51">
        <w:rPr>
          <w:rFonts w:ascii="Arial" w:hAnsi="Arial" w:cs="Arial"/>
          <w:i/>
          <w:iCs/>
        </w:rPr>
        <w:t>J R Soc Med</w:t>
      </w:r>
      <w:r w:rsidRPr="00D01A51">
        <w:rPr>
          <w:rFonts w:ascii="Arial" w:hAnsi="Arial" w:cs="Arial"/>
        </w:rPr>
        <w:t>. 2011;104(12):510–520. doi:10.1258/jrsm.2011.110180.</w:t>
      </w:r>
    </w:p>
    <w:p w14:paraId="687BD014" w14:textId="77777777" w:rsidR="002B699E" w:rsidRPr="00D01A51" w:rsidRDefault="002B699E" w:rsidP="002B699E">
      <w:pPr>
        <w:rPr>
          <w:rFonts w:ascii="Arial" w:hAnsi="Arial" w:cs="Arial"/>
        </w:rPr>
      </w:pPr>
      <w:r w:rsidRPr="00D01A51">
        <w:rPr>
          <w:rFonts w:ascii="Arial" w:hAnsi="Arial" w:cs="Arial"/>
          <w:b/>
          <w:bCs/>
        </w:rPr>
        <w:t>16.</w:t>
      </w:r>
      <w:r w:rsidRPr="00D01A51">
        <w:rPr>
          <w:rFonts w:ascii="Arial" w:hAnsi="Arial" w:cs="Arial"/>
        </w:rPr>
        <w:t xml:space="preserve"> Bauer MS, Kirchner J. Implementation science: what is it and why should I care? </w:t>
      </w:r>
      <w:r w:rsidRPr="00D01A51">
        <w:rPr>
          <w:rFonts w:ascii="Arial" w:hAnsi="Arial" w:cs="Arial"/>
          <w:i/>
          <w:iCs/>
        </w:rPr>
        <w:t>Psychiatry Res</w:t>
      </w:r>
      <w:r w:rsidRPr="00D01A51">
        <w:rPr>
          <w:rFonts w:ascii="Arial" w:hAnsi="Arial" w:cs="Arial"/>
        </w:rPr>
        <w:t>. 2020;283:112376. doi:10.1016/j.psychres.2019.04.025.</w:t>
      </w:r>
    </w:p>
    <w:p w14:paraId="70EA87AC" w14:textId="77777777" w:rsidR="002B699E" w:rsidRPr="00D01A51" w:rsidRDefault="002B699E" w:rsidP="002B699E">
      <w:pPr>
        <w:rPr>
          <w:rFonts w:ascii="Arial" w:hAnsi="Arial" w:cs="Arial"/>
        </w:rPr>
      </w:pPr>
      <w:r w:rsidRPr="00D01A51">
        <w:rPr>
          <w:rFonts w:ascii="Arial" w:hAnsi="Arial" w:cs="Arial"/>
          <w:b/>
          <w:bCs/>
        </w:rPr>
        <w:t>17.</w:t>
      </w:r>
      <w:r w:rsidRPr="00D01A51">
        <w:rPr>
          <w:rFonts w:ascii="Arial" w:hAnsi="Arial" w:cs="Arial"/>
        </w:rPr>
        <w:t xml:space="preserve"> Akintola A, Newbury-Birch D, Kilinc S. Bridging the gap between research evidence and its implementation in public health practice: case studies of embedded research model. </w:t>
      </w:r>
      <w:r w:rsidRPr="00D01A51">
        <w:rPr>
          <w:rFonts w:ascii="Arial" w:hAnsi="Arial" w:cs="Arial"/>
          <w:i/>
          <w:iCs/>
        </w:rPr>
        <w:t>BMC Public Health</w:t>
      </w:r>
      <w:r w:rsidRPr="00D01A51">
        <w:rPr>
          <w:rFonts w:ascii="Arial" w:hAnsi="Arial" w:cs="Arial"/>
        </w:rPr>
        <w:t>. 2024;24:1299. doi:10.1186/s12889-024-18727-z.</w:t>
      </w:r>
    </w:p>
    <w:p w14:paraId="7063CDB6" w14:textId="77777777" w:rsidR="002B699E" w:rsidRPr="00D01A51" w:rsidRDefault="002B699E" w:rsidP="002B699E">
      <w:pPr>
        <w:rPr>
          <w:rFonts w:ascii="Arial" w:hAnsi="Arial" w:cs="Arial"/>
        </w:rPr>
      </w:pPr>
      <w:r w:rsidRPr="00D01A51">
        <w:rPr>
          <w:rFonts w:ascii="Arial" w:hAnsi="Arial" w:cs="Arial"/>
          <w:b/>
          <w:bCs/>
        </w:rPr>
        <w:t>18.</w:t>
      </w:r>
      <w:r w:rsidRPr="00D01A51">
        <w:rPr>
          <w:rFonts w:ascii="Arial" w:hAnsi="Arial" w:cs="Arial"/>
        </w:rPr>
        <w:t xml:space="preserve"> Squires JE, Aloisio LD, Grimshaw JM, Bashir K, Dorrance K, Coughlin M, et al. Attributes of context relevant to healthcare professionals’ use of research evidence in clinical practice: a multi-study analysis. </w:t>
      </w:r>
      <w:r w:rsidRPr="00D01A51">
        <w:rPr>
          <w:rFonts w:ascii="Arial" w:hAnsi="Arial" w:cs="Arial"/>
          <w:i/>
          <w:iCs/>
        </w:rPr>
        <w:t>Implement Sci</w:t>
      </w:r>
      <w:r w:rsidRPr="00D01A51">
        <w:rPr>
          <w:rFonts w:ascii="Arial" w:hAnsi="Arial" w:cs="Arial"/>
        </w:rPr>
        <w:t>. 2019;14(1). doi:10.1186/s13012-019-0900-8.</w:t>
      </w:r>
    </w:p>
    <w:p w14:paraId="3FD7C59D" w14:textId="77777777" w:rsidR="002B699E" w:rsidRDefault="002B699E" w:rsidP="002B699E">
      <w:pPr>
        <w:rPr>
          <w:rFonts w:ascii="Arial" w:hAnsi="Arial" w:cs="Arial"/>
        </w:rPr>
      </w:pPr>
      <w:r w:rsidRPr="00D01A51">
        <w:rPr>
          <w:rFonts w:ascii="Arial" w:hAnsi="Arial" w:cs="Arial"/>
          <w:b/>
          <w:bCs/>
        </w:rPr>
        <w:t>19.</w:t>
      </w:r>
      <w:r w:rsidRPr="00D01A51">
        <w:rPr>
          <w:rFonts w:ascii="Arial" w:hAnsi="Arial" w:cs="Arial"/>
        </w:rPr>
        <w:t xml:space="preserve"> Birken SA, Haines ER, Hwang S, Chambers DA, Bunger AC, Nilsen P. Advancing understanding and identifying strategies for sustaining evidence-based practices: a review of reviews. </w:t>
      </w:r>
      <w:r w:rsidRPr="00D01A51">
        <w:rPr>
          <w:rFonts w:ascii="Arial" w:hAnsi="Arial" w:cs="Arial"/>
          <w:i/>
          <w:iCs/>
        </w:rPr>
        <w:t>Implement Sci</w:t>
      </w:r>
      <w:r w:rsidRPr="00D01A51">
        <w:rPr>
          <w:rFonts w:ascii="Arial" w:hAnsi="Arial" w:cs="Arial"/>
        </w:rPr>
        <w:t>. 2020;15(1). doi:10.1186/s13012-020-01040-9.</w:t>
      </w:r>
    </w:p>
    <w:p w14:paraId="53C4F3AC" w14:textId="77777777" w:rsidR="00D9679A" w:rsidRPr="00D9679A" w:rsidRDefault="00D9679A" w:rsidP="002B699E">
      <w:pPr>
        <w:rPr>
          <w:rFonts w:ascii="Arial" w:hAnsi="Arial" w:cs="Arial"/>
          <w:color w:val="FF0000"/>
        </w:rPr>
      </w:pPr>
      <w:r w:rsidRPr="00D9679A">
        <w:rPr>
          <w:rFonts w:ascii="Arial" w:hAnsi="Arial" w:cs="Arial"/>
          <w:color w:val="FF0000"/>
        </w:rPr>
        <w:t>20. Bajaj M, McCoy RG, Balapattabi K, Bannuru RR, Bellini NJ, et al. 3. Prevention or Delay of Diabetes and Associated Comorbidities: Standards of Care in Diabetes—2026. Diabetes Care [Internet]. American Diabetes Association; 2025;49:S50–60. https://doi.org/10.2337/dc26-s003</w:t>
      </w:r>
    </w:p>
    <w:p w14:paraId="45C4ECF1"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1</w:t>
      </w:r>
      <w:r w:rsidRPr="00D01A51">
        <w:rPr>
          <w:rFonts w:ascii="Arial" w:hAnsi="Arial" w:cs="Arial"/>
          <w:b/>
          <w:bCs/>
        </w:rPr>
        <w:t>.</w:t>
      </w:r>
      <w:r w:rsidRPr="00D01A51">
        <w:rPr>
          <w:rFonts w:ascii="Arial" w:hAnsi="Arial" w:cs="Arial"/>
        </w:rPr>
        <w:t xml:space="preserve"> Zhang T. Critical realism: a critical evaluation. </w:t>
      </w:r>
      <w:r w:rsidRPr="00D01A51">
        <w:rPr>
          <w:rFonts w:ascii="Arial" w:hAnsi="Arial" w:cs="Arial"/>
          <w:i/>
          <w:iCs/>
        </w:rPr>
        <w:t>Soc Epistemol</w:t>
      </w:r>
      <w:r w:rsidRPr="00D01A51">
        <w:rPr>
          <w:rFonts w:ascii="Arial" w:hAnsi="Arial" w:cs="Arial"/>
        </w:rPr>
        <w:t>. 2022;37(1):15–29. doi:10.1080/02691728.2022.2080127.</w:t>
      </w:r>
    </w:p>
    <w:p w14:paraId="2EC2C320"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2</w:t>
      </w:r>
      <w:r w:rsidRPr="00D01A51">
        <w:rPr>
          <w:rFonts w:ascii="Arial" w:hAnsi="Arial" w:cs="Arial"/>
          <w:b/>
          <w:bCs/>
        </w:rPr>
        <w:t>.</w:t>
      </w:r>
      <w:r w:rsidRPr="00D01A51">
        <w:rPr>
          <w:rFonts w:ascii="Arial" w:hAnsi="Arial" w:cs="Arial"/>
        </w:rPr>
        <w:t xml:space="preserve"> Braun V, Clarke V. Using thematic analysis in psychology. </w:t>
      </w:r>
      <w:r w:rsidRPr="00D01A51">
        <w:rPr>
          <w:rFonts w:ascii="Arial" w:hAnsi="Arial" w:cs="Arial"/>
          <w:i/>
          <w:iCs/>
        </w:rPr>
        <w:t>Qual Res Psychol</w:t>
      </w:r>
      <w:r w:rsidRPr="00D01A51">
        <w:rPr>
          <w:rFonts w:ascii="Arial" w:hAnsi="Arial" w:cs="Arial"/>
        </w:rPr>
        <w:t>. 2006;3(2):77–101. doi:10.1191/1478088706qp063oa.</w:t>
      </w:r>
    </w:p>
    <w:p w14:paraId="00C479D9"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3</w:t>
      </w:r>
      <w:r w:rsidRPr="00D01A51">
        <w:rPr>
          <w:rFonts w:ascii="Arial" w:hAnsi="Arial" w:cs="Arial"/>
          <w:b/>
          <w:bCs/>
        </w:rPr>
        <w:t>.</w:t>
      </w:r>
      <w:r w:rsidRPr="00D01A51">
        <w:rPr>
          <w:rFonts w:ascii="Arial" w:hAnsi="Arial" w:cs="Arial"/>
        </w:rPr>
        <w:t xml:space="preserve"> Braun V, Clarke V. </w:t>
      </w:r>
      <w:r w:rsidRPr="00D01A51">
        <w:rPr>
          <w:rFonts w:ascii="Arial" w:hAnsi="Arial" w:cs="Arial"/>
          <w:i/>
          <w:iCs/>
        </w:rPr>
        <w:t>Thematic Analysis: A Practical Guide</w:t>
      </w:r>
      <w:r w:rsidRPr="00D01A51">
        <w:rPr>
          <w:rFonts w:ascii="Arial" w:hAnsi="Arial" w:cs="Arial"/>
        </w:rPr>
        <w:t>. London: Sage; 2021.</w:t>
      </w:r>
    </w:p>
    <w:p w14:paraId="0C83176F"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4</w:t>
      </w:r>
      <w:r w:rsidRPr="00D01A51">
        <w:rPr>
          <w:rFonts w:ascii="Arial" w:hAnsi="Arial" w:cs="Arial"/>
          <w:b/>
          <w:bCs/>
        </w:rPr>
        <w:t>.</w:t>
      </w:r>
      <w:r w:rsidRPr="00D01A51">
        <w:rPr>
          <w:rFonts w:ascii="Arial" w:hAnsi="Arial" w:cs="Arial"/>
        </w:rPr>
        <w:t xml:space="preserve"> Tong A, Sainsbury P, Craig J. Consolidated criteria for reporting qualitative research (COREQ): a 32-item checklist for interviews and focus groups. </w:t>
      </w:r>
      <w:r w:rsidRPr="00D01A51">
        <w:rPr>
          <w:rFonts w:ascii="Arial" w:hAnsi="Arial" w:cs="Arial"/>
          <w:i/>
          <w:iCs/>
        </w:rPr>
        <w:t>Int J Qual Health Care</w:t>
      </w:r>
      <w:r w:rsidRPr="00D01A51">
        <w:rPr>
          <w:rFonts w:ascii="Arial" w:hAnsi="Arial" w:cs="Arial"/>
        </w:rPr>
        <w:t>. 2007;19(6):349–357. doi:10.1093/intqhc/mzm042.</w:t>
      </w:r>
    </w:p>
    <w:p w14:paraId="1C26A723"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5</w:t>
      </w:r>
      <w:r w:rsidRPr="00D01A51">
        <w:rPr>
          <w:rFonts w:ascii="Arial" w:hAnsi="Arial" w:cs="Arial"/>
          <w:b/>
          <w:bCs/>
        </w:rPr>
        <w:t>.</w:t>
      </w:r>
      <w:r w:rsidRPr="00D01A51">
        <w:rPr>
          <w:rFonts w:ascii="Arial" w:hAnsi="Arial" w:cs="Arial"/>
        </w:rPr>
        <w:t xml:space="preserve"> Korownyk C, McCormack J, Kolber MR, Garrison S, Allan GM. Competing demands and opportunities in primary care. </w:t>
      </w:r>
      <w:r w:rsidRPr="00D01A51">
        <w:rPr>
          <w:rFonts w:ascii="Arial" w:hAnsi="Arial" w:cs="Arial"/>
          <w:i/>
          <w:iCs/>
        </w:rPr>
        <w:t>Can Fam Physician</w:t>
      </w:r>
      <w:r w:rsidRPr="00D01A51">
        <w:rPr>
          <w:rFonts w:ascii="Arial" w:hAnsi="Arial" w:cs="Arial"/>
        </w:rPr>
        <w:t>. 2017;63(9):664–668.</w:t>
      </w:r>
    </w:p>
    <w:p w14:paraId="11E6B655"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6</w:t>
      </w:r>
      <w:r w:rsidRPr="00D01A51">
        <w:rPr>
          <w:rFonts w:ascii="Arial" w:hAnsi="Arial" w:cs="Arial"/>
          <w:b/>
          <w:bCs/>
        </w:rPr>
        <w:t>.</w:t>
      </w:r>
      <w:r w:rsidRPr="00D01A51">
        <w:rPr>
          <w:rFonts w:ascii="Arial" w:hAnsi="Arial" w:cs="Arial"/>
        </w:rPr>
        <w:t xml:space="preserve"> Jaen CR, Stange KC, Nutting PA. Competing demands of primary care: a model for the delivery of clinical preventive services. </w:t>
      </w:r>
      <w:r w:rsidRPr="00D01A51">
        <w:rPr>
          <w:rFonts w:ascii="Arial" w:hAnsi="Arial" w:cs="Arial"/>
          <w:i/>
          <w:iCs/>
        </w:rPr>
        <w:t>J Fam Pract</w:t>
      </w:r>
      <w:r w:rsidRPr="00D01A51">
        <w:rPr>
          <w:rFonts w:ascii="Arial" w:hAnsi="Arial" w:cs="Arial"/>
        </w:rPr>
        <w:t>. 1994;38(2):166–171.</w:t>
      </w:r>
    </w:p>
    <w:p w14:paraId="5AED9715"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7</w:t>
      </w:r>
      <w:r w:rsidRPr="00D01A51">
        <w:rPr>
          <w:rFonts w:ascii="Arial" w:hAnsi="Arial" w:cs="Arial"/>
          <w:b/>
          <w:bCs/>
        </w:rPr>
        <w:t>.</w:t>
      </w:r>
      <w:r w:rsidRPr="00D01A51">
        <w:rPr>
          <w:rFonts w:ascii="Arial" w:hAnsi="Arial" w:cs="Arial"/>
        </w:rPr>
        <w:t xml:space="preserve"> Holloway D, James S, Ekinci E, Craft J. Systematic review of the effectiveness of nurse-led care in reducing glycated haemoglobin in adults with type 1 or 2 diabetes. </w:t>
      </w:r>
      <w:r w:rsidRPr="00D01A51">
        <w:rPr>
          <w:rFonts w:ascii="Arial" w:hAnsi="Arial" w:cs="Arial"/>
          <w:i/>
          <w:iCs/>
        </w:rPr>
        <w:t>Int J Nurs Pract</w:t>
      </w:r>
      <w:r w:rsidRPr="00D01A51">
        <w:rPr>
          <w:rFonts w:ascii="Arial" w:hAnsi="Arial" w:cs="Arial"/>
        </w:rPr>
        <w:t>. 2023;29(6). doi:10.1111/ijn.13135.</w:t>
      </w:r>
    </w:p>
    <w:p w14:paraId="67C9EBA9"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8</w:t>
      </w:r>
      <w:r w:rsidRPr="00D01A51">
        <w:rPr>
          <w:rFonts w:ascii="Arial" w:hAnsi="Arial" w:cs="Arial"/>
          <w:b/>
          <w:bCs/>
        </w:rPr>
        <w:t>.</w:t>
      </w:r>
      <w:r w:rsidRPr="00D01A51">
        <w:rPr>
          <w:rFonts w:ascii="Arial" w:hAnsi="Arial" w:cs="Arial"/>
        </w:rPr>
        <w:t xml:space="preserve"> Martínez-González NA, Rosemann T, Tandjung R, Djalali S. The effect of physician–nurse substitution in primary care in chronic diseases: a systematic review. </w:t>
      </w:r>
      <w:r w:rsidRPr="00D01A51">
        <w:rPr>
          <w:rFonts w:ascii="Arial" w:hAnsi="Arial" w:cs="Arial"/>
          <w:i/>
          <w:iCs/>
        </w:rPr>
        <w:t>Swiss Med Wkly</w:t>
      </w:r>
      <w:r w:rsidRPr="00D01A51">
        <w:rPr>
          <w:rFonts w:ascii="Arial" w:hAnsi="Arial" w:cs="Arial"/>
        </w:rPr>
        <w:t>. 2015;145:w14031. doi:10.4414/smw.2015.14031.</w:t>
      </w:r>
    </w:p>
    <w:p w14:paraId="4862B19F" w14:textId="77777777" w:rsidR="002B699E" w:rsidRPr="00D01A51" w:rsidRDefault="002B699E" w:rsidP="002B699E">
      <w:pPr>
        <w:rPr>
          <w:rFonts w:ascii="Arial" w:hAnsi="Arial" w:cs="Arial"/>
        </w:rPr>
      </w:pPr>
      <w:r w:rsidRPr="00D01A51">
        <w:rPr>
          <w:rFonts w:ascii="Arial" w:hAnsi="Arial" w:cs="Arial"/>
          <w:b/>
          <w:bCs/>
        </w:rPr>
        <w:t>2</w:t>
      </w:r>
      <w:r w:rsidR="005A396F">
        <w:rPr>
          <w:rFonts w:ascii="Arial" w:hAnsi="Arial" w:cs="Arial"/>
          <w:b/>
          <w:bCs/>
        </w:rPr>
        <w:t>9</w:t>
      </w:r>
      <w:r w:rsidRPr="00D01A51">
        <w:rPr>
          <w:rFonts w:ascii="Arial" w:hAnsi="Arial" w:cs="Arial"/>
          <w:b/>
          <w:bCs/>
        </w:rPr>
        <w:t>.</w:t>
      </w:r>
      <w:r w:rsidRPr="00D01A51">
        <w:rPr>
          <w:rFonts w:ascii="Arial" w:hAnsi="Arial" w:cs="Arial"/>
        </w:rPr>
        <w:t xml:space="preserve"> Harris M, Advocat J, Crabtree B, Levesque JF, Miller W, Gunn J, et al. Interprofessional teamwork innovations for primary health care practices and practitioners: evidence from a </w:t>
      </w:r>
      <w:r w:rsidRPr="00D01A51">
        <w:rPr>
          <w:rFonts w:ascii="Arial" w:hAnsi="Arial" w:cs="Arial"/>
        </w:rPr>
        <w:lastRenderedPageBreak/>
        <w:t xml:space="preserve">comparison of reform in three countries. </w:t>
      </w:r>
      <w:r w:rsidRPr="00D01A51">
        <w:rPr>
          <w:rFonts w:ascii="Arial" w:hAnsi="Arial" w:cs="Arial"/>
          <w:i/>
          <w:iCs/>
        </w:rPr>
        <w:t>J Multidiscip Healthc</w:t>
      </w:r>
      <w:r w:rsidRPr="00D01A51">
        <w:rPr>
          <w:rFonts w:ascii="Arial" w:hAnsi="Arial" w:cs="Arial"/>
        </w:rPr>
        <w:t>. 2016;9:35–46. doi:10.2147/JMDH.S97371.</w:t>
      </w:r>
    </w:p>
    <w:p w14:paraId="0D450AF0" w14:textId="77777777" w:rsidR="002B699E" w:rsidRPr="00D01A51" w:rsidRDefault="005A396F" w:rsidP="002B699E">
      <w:pPr>
        <w:rPr>
          <w:rFonts w:ascii="Arial" w:hAnsi="Arial" w:cs="Arial"/>
        </w:rPr>
      </w:pPr>
      <w:r>
        <w:rPr>
          <w:rFonts w:ascii="Arial" w:hAnsi="Arial" w:cs="Arial"/>
          <w:b/>
          <w:bCs/>
        </w:rPr>
        <w:t>30</w:t>
      </w:r>
      <w:r w:rsidR="002B699E" w:rsidRPr="00D01A51">
        <w:rPr>
          <w:rFonts w:ascii="Arial" w:hAnsi="Arial" w:cs="Arial"/>
          <w:b/>
          <w:bCs/>
        </w:rPr>
        <w:t>.</w:t>
      </w:r>
      <w:r w:rsidR="002B699E" w:rsidRPr="00D01A51">
        <w:rPr>
          <w:rFonts w:ascii="Arial" w:hAnsi="Arial" w:cs="Arial"/>
        </w:rPr>
        <w:t xml:space="preserve"> Leong CE, Kallis L, Kuhn IL, Martin GP, Fritz Z. How are generalist doctors made aware, on an ongoing basis, of key new and updated clinical guidelines? A systematic review. </w:t>
      </w:r>
      <w:r w:rsidR="002B699E" w:rsidRPr="00D01A51">
        <w:rPr>
          <w:rFonts w:ascii="Arial" w:hAnsi="Arial" w:cs="Arial"/>
          <w:i/>
          <w:iCs/>
        </w:rPr>
        <w:t>Clin Med (Lond)</w:t>
      </w:r>
      <w:r w:rsidR="002B699E" w:rsidRPr="00D01A51">
        <w:rPr>
          <w:rFonts w:ascii="Arial" w:hAnsi="Arial" w:cs="Arial"/>
        </w:rPr>
        <w:t>. 2025;25(6):100518. doi:10.1016/j.clinme.2025.100518.</w:t>
      </w:r>
    </w:p>
    <w:p w14:paraId="2CC15B6D" w14:textId="77777777" w:rsidR="002B699E" w:rsidRPr="00655A16" w:rsidRDefault="002B699E" w:rsidP="002B699E">
      <w:pPr>
        <w:rPr>
          <w:rFonts w:ascii="Arial" w:hAnsi="Arial" w:cs="Arial"/>
          <w:lang w:val="de-DE"/>
        </w:rPr>
      </w:pPr>
      <w:r w:rsidRPr="00D01A51">
        <w:rPr>
          <w:rFonts w:ascii="Arial" w:hAnsi="Arial" w:cs="Arial"/>
          <w:b/>
          <w:bCs/>
        </w:rPr>
        <w:t>3</w:t>
      </w:r>
      <w:r w:rsidR="005A396F">
        <w:rPr>
          <w:rFonts w:ascii="Arial" w:hAnsi="Arial" w:cs="Arial"/>
          <w:b/>
          <w:bCs/>
        </w:rPr>
        <w:t>1</w:t>
      </w:r>
      <w:r w:rsidRPr="00D01A51">
        <w:rPr>
          <w:rFonts w:ascii="Arial" w:hAnsi="Arial" w:cs="Arial"/>
          <w:b/>
          <w:bCs/>
        </w:rPr>
        <w:t>.</w:t>
      </w:r>
      <w:r w:rsidRPr="00D01A51">
        <w:rPr>
          <w:rFonts w:ascii="Arial" w:hAnsi="Arial" w:cs="Arial"/>
        </w:rPr>
        <w:t xml:space="preserve"> </w:t>
      </w:r>
      <w:r w:rsidR="009159A5" w:rsidRPr="009159A5">
        <w:rPr>
          <w:rFonts w:ascii="Arial" w:hAnsi="Arial" w:cs="Arial"/>
          <w:color w:val="FF0000"/>
        </w:rPr>
        <w:t xml:space="preserve">Knight AW, Tam CWM, Dennis S, Fraser J, Pond D. The role of quality improvement collaboratives in general practice: a qualitative systematic review. </w:t>
      </w:r>
      <w:r w:rsidR="009159A5" w:rsidRPr="00655A16">
        <w:rPr>
          <w:rFonts w:ascii="Arial" w:hAnsi="Arial" w:cs="Arial"/>
          <w:color w:val="FF0000"/>
          <w:lang w:val="de-DE"/>
        </w:rPr>
        <w:t>BMJ Open Qual [Internet]. BMJ; 2022;11:e001800. https://doi.org/10.1136/bmjoq-2021-001800</w:t>
      </w:r>
      <w:r w:rsidRPr="00655A16">
        <w:rPr>
          <w:rFonts w:ascii="Arial" w:hAnsi="Arial" w:cs="Arial"/>
          <w:lang w:val="de-DE"/>
        </w:rPr>
        <w:t>.</w:t>
      </w:r>
    </w:p>
    <w:p w14:paraId="10DD2DF5" w14:textId="77777777" w:rsidR="002B699E" w:rsidRPr="00D01A51" w:rsidRDefault="002B699E" w:rsidP="002B699E">
      <w:pPr>
        <w:rPr>
          <w:rFonts w:ascii="Arial" w:hAnsi="Arial" w:cs="Arial"/>
        </w:rPr>
      </w:pPr>
      <w:r w:rsidRPr="00D01A51">
        <w:rPr>
          <w:rFonts w:ascii="Arial" w:hAnsi="Arial" w:cs="Arial"/>
          <w:b/>
          <w:bCs/>
          <w:lang w:val="de-DE"/>
        </w:rPr>
        <w:t>3</w:t>
      </w:r>
      <w:r w:rsidR="005A396F">
        <w:rPr>
          <w:rFonts w:ascii="Arial" w:hAnsi="Arial" w:cs="Arial"/>
          <w:b/>
          <w:bCs/>
          <w:lang w:val="de-DE"/>
        </w:rPr>
        <w:t>2</w:t>
      </w:r>
      <w:r w:rsidRPr="00D01A51">
        <w:rPr>
          <w:rFonts w:ascii="Arial" w:hAnsi="Arial" w:cs="Arial"/>
          <w:b/>
          <w:bCs/>
          <w:lang w:val="de-DE"/>
        </w:rPr>
        <w:t>.</w:t>
      </w:r>
      <w:r w:rsidRPr="00D01A51">
        <w:rPr>
          <w:rFonts w:ascii="Arial" w:hAnsi="Arial" w:cs="Arial"/>
          <w:lang w:val="de-DE"/>
        </w:rPr>
        <w:t xml:space="preserve"> Kilsdonk E, Peute LW, Jaspers MWM. </w:t>
      </w:r>
      <w:r w:rsidRPr="00D01A51">
        <w:rPr>
          <w:rFonts w:ascii="Arial" w:hAnsi="Arial" w:cs="Arial"/>
        </w:rPr>
        <w:t xml:space="preserve">Factors influencing implementation success of guideline-based clinical decision support systems: a systematic review and gaps analysis. </w:t>
      </w:r>
      <w:r w:rsidRPr="00D01A51">
        <w:rPr>
          <w:rFonts w:ascii="Arial" w:hAnsi="Arial" w:cs="Arial"/>
          <w:i/>
          <w:iCs/>
        </w:rPr>
        <w:t>Int J Med Inform</w:t>
      </w:r>
      <w:r w:rsidRPr="00D01A51">
        <w:rPr>
          <w:rFonts w:ascii="Arial" w:hAnsi="Arial" w:cs="Arial"/>
        </w:rPr>
        <w:t>. 2017;98:56–64. doi:10.1016/j.ijmedinf.2016.12.001.</w:t>
      </w:r>
    </w:p>
    <w:p w14:paraId="1038BCD0" w14:textId="77777777" w:rsidR="002B699E" w:rsidRPr="00D01A51" w:rsidRDefault="002B699E" w:rsidP="002B699E">
      <w:pPr>
        <w:rPr>
          <w:rFonts w:ascii="Arial" w:hAnsi="Arial" w:cs="Arial"/>
        </w:rPr>
      </w:pPr>
      <w:r w:rsidRPr="00D01A51">
        <w:rPr>
          <w:rFonts w:ascii="Arial" w:hAnsi="Arial" w:cs="Arial"/>
          <w:b/>
          <w:bCs/>
        </w:rPr>
        <w:t>3</w:t>
      </w:r>
      <w:r w:rsidR="005A396F">
        <w:rPr>
          <w:rFonts w:ascii="Arial" w:hAnsi="Arial" w:cs="Arial"/>
          <w:b/>
          <w:bCs/>
        </w:rPr>
        <w:t>3</w:t>
      </w:r>
      <w:r w:rsidRPr="00D01A51">
        <w:rPr>
          <w:rFonts w:ascii="Arial" w:hAnsi="Arial" w:cs="Arial"/>
          <w:b/>
          <w:bCs/>
        </w:rPr>
        <w:t>.</w:t>
      </w:r>
      <w:r w:rsidRPr="00D01A51">
        <w:rPr>
          <w:rFonts w:ascii="Arial" w:hAnsi="Arial" w:cs="Arial"/>
        </w:rPr>
        <w:t xml:space="preserve"> Damschroder LJ, Aron DC, Keith RE, Kirsh SR, Alexander JA, Lowery JC. Fostering implementation of health services research findings into practice: a consolidated framework for advancing implementation science. </w:t>
      </w:r>
      <w:r w:rsidRPr="00D01A51">
        <w:rPr>
          <w:rFonts w:ascii="Arial" w:hAnsi="Arial" w:cs="Arial"/>
          <w:i/>
          <w:iCs/>
        </w:rPr>
        <w:t>Implement Sci</w:t>
      </w:r>
      <w:r w:rsidRPr="00D01A51">
        <w:rPr>
          <w:rFonts w:ascii="Arial" w:hAnsi="Arial" w:cs="Arial"/>
        </w:rPr>
        <w:t>. 2009;4(1). doi:10.1186/1748-5908-4-50.</w:t>
      </w:r>
    </w:p>
    <w:p w14:paraId="6BB042DD" w14:textId="77777777" w:rsidR="002B699E" w:rsidRPr="00D01A51" w:rsidRDefault="002B699E" w:rsidP="002B699E">
      <w:pPr>
        <w:rPr>
          <w:rFonts w:ascii="Arial" w:hAnsi="Arial" w:cs="Arial"/>
        </w:rPr>
      </w:pPr>
      <w:r w:rsidRPr="005F2C10">
        <w:rPr>
          <w:rFonts w:ascii="Arial" w:hAnsi="Arial" w:cs="Arial"/>
          <w:b/>
          <w:bCs/>
        </w:rPr>
        <w:t>3</w:t>
      </w:r>
      <w:r w:rsidR="005A396F" w:rsidRPr="005F2C10">
        <w:rPr>
          <w:rFonts w:ascii="Arial" w:hAnsi="Arial" w:cs="Arial"/>
          <w:b/>
          <w:bCs/>
        </w:rPr>
        <w:t>4</w:t>
      </w:r>
      <w:r w:rsidRPr="005F2C10">
        <w:rPr>
          <w:rFonts w:ascii="Arial" w:hAnsi="Arial" w:cs="Arial"/>
          <w:b/>
          <w:bCs/>
        </w:rPr>
        <w:t>.</w:t>
      </w:r>
      <w:r w:rsidRPr="005F2C10">
        <w:rPr>
          <w:rFonts w:ascii="Arial" w:hAnsi="Arial" w:cs="Arial"/>
        </w:rPr>
        <w:t xml:space="preserve"> Lugtenberg M, Burgers JS, Han D, Westert GP. </w:t>
      </w:r>
      <w:r w:rsidRPr="00D01A51">
        <w:rPr>
          <w:rFonts w:ascii="Arial" w:hAnsi="Arial" w:cs="Arial"/>
        </w:rPr>
        <w:t xml:space="preserve">General practitioners’ preferences for interventions to improve guideline adherence. </w:t>
      </w:r>
      <w:r w:rsidRPr="00D01A51">
        <w:rPr>
          <w:rFonts w:ascii="Arial" w:hAnsi="Arial" w:cs="Arial"/>
          <w:i/>
          <w:iCs/>
        </w:rPr>
        <w:t>J Eval Clin Pract</w:t>
      </w:r>
      <w:r w:rsidRPr="00D01A51">
        <w:rPr>
          <w:rFonts w:ascii="Arial" w:hAnsi="Arial" w:cs="Arial"/>
        </w:rPr>
        <w:t>. 2014;20(6):820–826. doi:10.1111/jep.12209.</w:t>
      </w:r>
    </w:p>
    <w:p w14:paraId="6402072D" w14:textId="77777777" w:rsidR="002B699E" w:rsidRDefault="002B699E" w:rsidP="002B699E">
      <w:pPr>
        <w:rPr>
          <w:rFonts w:ascii="Arial" w:hAnsi="Arial" w:cs="Arial"/>
        </w:rPr>
      </w:pPr>
      <w:r w:rsidRPr="00D01A51">
        <w:rPr>
          <w:rFonts w:ascii="Arial" w:hAnsi="Arial" w:cs="Arial"/>
          <w:b/>
          <w:bCs/>
        </w:rPr>
        <w:t>3</w:t>
      </w:r>
      <w:r w:rsidR="009159A5">
        <w:rPr>
          <w:rFonts w:ascii="Arial" w:hAnsi="Arial" w:cs="Arial"/>
          <w:b/>
          <w:bCs/>
        </w:rPr>
        <w:t>5</w:t>
      </w:r>
      <w:r w:rsidRPr="00D01A51">
        <w:rPr>
          <w:rFonts w:ascii="Arial" w:hAnsi="Arial" w:cs="Arial"/>
          <w:b/>
          <w:bCs/>
        </w:rPr>
        <w:t>.</w:t>
      </w:r>
      <w:r w:rsidRPr="00D01A51">
        <w:rPr>
          <w:rFonts w:ascii="Arial" w:hAnsi="Arial" w:cs="Arial"/>
        </w:rPr>
        <w:t xml:space="preserve"> Powell BJ, Fernandez ME, Williams NJ, Aarons GA, Beidas RS, Lewis CC, et al. Enhancing the impact of implementation strategies in healthcare: a research agenda. </w:t>
      </w:r>
      <w:r w:rsidRPr="00D01A51">
        <w:rPr>
          <w:rFonts w:ascii="Arial" w:hAnsi="Arial" w:cs="Arial"/>
          <w:i/>
          <w:iCs/>
        </w:rPr>
        <w:t>Front Public Health</w:t>
      </w:r>
      <w:r w:rsidRPr="00D01A51">
        <w:rPr>
          <w:rFonts w:ascii="Arial" w:hAnsi="Arial" w:cs="Arial"/>
        </w:rPr>
        <w:t>. 2019;7. doi:10.3389/fpubh.2019.00003.</w:t>
      </w:r>
    </w:p>
    <w:p w14:paraId="3CDA42F5" w14:textId="77777777" w:rsidR="006E17CE" w:rsidRPr="005F2C10" w:rsidRDefault="006E17CE" w:rsidP="002B699E">
      <w:pPr>
        <w:rPr>
          <w:rFonts w:ascii="Arial" w:hAnsi="Arial" w:cs="Arial"/>
          <w:color w:val="FF0000"/>
        </w:rPr>
      </w:pPr>
      <w:r w:rsidRPr="00502721">
        <w:rPr>
          <w:rFonts w:ascii="Arial" w:hAnsi="Arial" w:cs="Arial"/>
          <w:b/>
          <w:bCs/>
          <w:color w:val="FF0000"/>
        </w:rPr>
        <w:t xml:space="preserve">36. </w:t>
      </w:r>
      <w:r w:rsidRPr="00502721">
        <w:rPr>
          <w:rFonts w:ascii="Arial" w:hAnsi="Arial" w:cs="Arial"/>
          <w:color w:val="FF0000"/>
        </w:rPr>
        <w:t xml:space="preserve">Fetters MD, Curry LA, Creswell JW. Achieving Integration in Mixed Methods Designs—Principles and Practices. Health Services Research [Internet]. Wiley; 2013;48:2134–56. </w:t>
      </w:r>
      <w:hyperlink r:id="rId11" w:history="1">
        <w:r w:rsidRPr="005F2C10">
          <w:rPr>
            <w:rStyle w:val="Hyperlink"/>
            <w:rFonts w:ascii="Arial" w:hAnsi="Arial" w:cs="Arial"/>
            <w:color w:val="FF0000"/>
          </w:rPr>
          <w:t>https://doi.org/10.1111/1475-6773.12117</w:t>
        </w:r>
      </w:hyperlink>
    </w:p>
    <w:p w14:paraId="1C478347" w14:textId="77777777" w:rsidR="006E17CE" w:rsidRPr="00502721" w:rsidRDefault="006E17CE" w:rsidP="002B699E">
      <w:pPr>
        <w:rPr>
          <w:rFonts w:ascii="Arial" w:hAnsi="Arial" w:cs="Arial"/>
          <w:color w:val="FF0000"/>
        </w:rPr>
      </w:pPr>
      <w:r w:rsidRPr="005F2C10">
        <w:rPr>
          <w:rFonts w:ascii="Arial" w:hAnsi="Arial" w:cs="Arial"/>
          <w:b/>
          <w:bCs/>
          <w:color w:val="FF0000"/>
        </w:rPr>
        <w:t xml:space="preserve">37. </w:t>
      </w:r>
      <w:r w:rsidRPr="005F2C10">
        <w:rPr>
          <w:rFonts w:ascii="Arial" w:hAnsi="Arial" w:cs="Arial"/>
          <w:color w:val="FF0000"/>
        </w:rPr>
        <w:t xml:space="preserve">Stetler CB, Damschroder LJ, Helfrich CD, Hagedorn HJ. </w:t>
      </w:r>
      <w:r w:rsidRPr="00502721">
        <w:rPr>
          <w:rFonts w:ascii="Arial" w:hAnsi="Arial" w:cs="Arial"/>
          <w:color w:val="FF0000"/>
        </w:rPr>
        <w:t xml:space="preserve">A Guide for applying a revised version of the PARIHS framework for implementation. Implementation Sci [Internet]. Springer Science and Business Media LLC; 2011;6. </w:t>
      </w:r>
      <w:hyperlink r:id="rId12" w:history="1">
        <w:r w:rsidRPr="00502721">
          <w:rPr>
            <w:rStyle w:val="Hyperlink"/>
            <w:rFonts w:ascii="Arial" w:hAnsi="Arial" w:cs="Arial"/>
            <w:color w:val="FF0000"/>
          </w:rPr>
          <w:t>https://doi.org/10.1186/1748-5908-6-99</w:t>
        </w:r>
      </w:hyperlink>
    </w:p>
    <w:p w14:paraId="7E83FF33" w14:textId="77777777" w:rsidR="006E17CE" w:rsidRPr="00502721" w:rsidRDefault="006E17CE" w:rsidP="002B699E">
      <w:pPr>
        <w:rPr>
          <w:rFonts w:ascii="Arial" w:hAnsi="Arial" w:cs="Arial"/>
          <w:color w:val="FF0000"/>
        </w:rPr>
      </w:pPr>
      <w:r w:rsidRPr="00502721">
        <w:rPr>
          <w:rFonts w:ascii="Arial" w:hAnsi="Arial" w:cs="Arial"/>
          <w:b/>
          <w:bCs/>
          <w:color w:val="FF0000"/>
        </w:rPr>
        <w:t xml:space="preserve">38. </w:t>
      </w:r>
      <w:r w:rsidRPr="00502721">
        <w:rPr>
          <w:rFonts w:ascii="Arial" w:hAnsi="Arial" w:cs="Arial"/>
          <w:color w:val="FF0000"/>
        </w:rPr>
        <w:t xml:space="preserve">Bergström A, Ehrenberg A, Eldh AC, Graham ID, Gustafsson K, Harvey G, et al. The use of the PARIHS framework in implementation research and practice—a citation analysis of the literature. Implementation Sci [Internet]. Springer Science and Business Media LLC; 2020;15. </w:t>
      </w:r>
      <w:hyperlink r:id="rId13" w:history="1">
        <w:r w:rsidRPr="00502721">
          <w:rPr>
            <w:rStyle w:val="Hyperlink"/>
            <w:rFonts w:ascii="Arial" w:hAnsi="Arial" w:cs="Arial"/>
            <w:color w:val="FF0000"/>
          </w:rPr>
          <w:t>https://doi.org/10.1186/s13012-020-01003-0</w:t>
        </w:r>
      </w:hyperlink>
    </w:p>
    <w:p w14:paraId="28E24183" w14:textId="77777777" w:rsidR="006E17CE" w:rsidRPr="006E17CE" w:rsidRDefault="006E17CE" w:rsidP="002B699E">
      <w:pPr>
        <w:rPr>
          <w:rFonts w:ascii="Arial" w:hAnsi="Arial" w:cs="Arial"/>
        </w:rPr>
      </w:pPr>
    </w:p>
    <w:p w14:paraId="0AF80D58" w14:textId="77777777" w:rsidR="003160CA" w:rsidRPr="00D01A51" w:rsidRDefault="003160CA">
      <w:pPr>
        <w:rPr>
          <w:rFonts w:ascii="Arial" w:hAnsi="Arial" w:cs="Arial"/>
          <w:sz w:val="20"/>
          <w:szCs w:val="20"/>
        </w:rPr>
      </w:pPr>
    </w:p>
    <w:sectPr w:rsidR="003160CA" w:rsidRPr="00D01A51">
      <w:pgSz w:w="11906" w:h="16838"/>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an Parsonage" w:date="2026-08-02T09:36:00Z" w:initials="">
    <w:p w14:paraId="692498C5" w14:textId="77777777" w:rsidR="00D54B80" w:rsidRDefault="00655A16">
      <w:r>
        <w:rPr>
          <w:rStyle w:val="CommentReference"/>
        </w:rPr>
        <w:annotationRef/>
      </w:r>
      <w:r w:rsidR="00896D28">
        <w:t>The abstract has been revised to reflect the changes made throughout the manuscript and now presents the developed interpretation and conclusion.</w:t>
      </w:r>
    </w:p>
  </w:comment>
  <w:comment w:id="1" w:author="Ian Parsonage" w:date="2026-08-02T09:36:00Z" w:initials="">
    <w:p w14:paraId="3C05B96C" w14:textId="77777777" w:rsidR="00D54B80" w:rsidRDefault="00655A16">
      <w:r>
        <w:rPr>
          <w:rStyle w:val="CommentReference"/>
        </w:rPr>
        <w:annotationRef/>
      </w:r>
      <w:r w:rsidR="00896D28">
        <w:t>The introduction has been shortened to reduce repetition and the UK quantitative and survey findings are now interpreted more carefully.</w:t>
      </w:r>
    </w:p>
  </w:comment>
  <w:comment w:id="2" w:author="Ian Parsonage" w:date="2026-08-02T09:36:00Z" w:initials="">
    <w:p w14:paraId="42A747BD" w14:textId="77777777" w:rsidR="00D54B80" w:rsidRDefault="00655A16">
      <w:r>
        <w:rPr>
          <w:rStyle w:val="CommentReference"/>
        </w:rPr>
        <w:annotationRef/>
      </w:r>
      <w:r w:rsidR="00896D28">
        <w:t>The international evidence has been expanded and the limits of comparing studies undertaken in different healthcare systems are now acknowledged.</w:t>
      </w:r>
    </w:p>
  </w:comment>
  <w:comment w:id="3" w:author="Ian Parsonage" w:date="2026-08-02T09:36:00Z" w:initials="">
    <w:p w14:paraId="2677FFE5" w14:textId="77777777" w:rsidR="00D54B80" w:rsidRDefault="00655A16">
      <w:r>
        <w:rPr>
          <w:rStyle w:val="CommentReference"/>
        </w:rPr>
        <w:annotationRef/>
      </w:r>
      <w:r w:rsidR="00896D28">
        <w:t>The research-practice gap has been retained but developed further to explain why clinician awareness alone does not account for implementation within routine care.</w:t>
      </w:r>
    </w:p>
  </w:comment>
  <w:comment w:id="4" w:author="Ian Parsonage" w:date="2026-08-02T09:36:00Z" w:initials="">
    <w:p w14:paraId="64A0ACAF" w14:textId="77777777" w:rsidR="00D54B80" w:rsidRDefault="00655A16">
      <w:r>
        <w:rPr>
          <w:rStyle w:val="CommentReference"/>
        </w:rPr>
        <w:annotationRef/>
      </w:r>
      <w:r w:rsidR="00896D28">
        <w:t>The rationale for using qualitative interviews and the original contribution of the study have been made clearer.</w:t>
      </w:r>
    </w:p>
  </w:comment>
  <w:comment w:id="5" w:author="Ian Parsonage" w:date="2026-08-02T09:36:00Z" w:initials="">
    <w:p w14:paraId="030DB422" w14:textId="77777777" w:rsidR="00D54B80" w:rsidRDefault="00655A16">
      <w:r>
        <w:rPr>
          <w:rStyle w:val="CommentReference"/>
        </w:rPr>
        <w:annotationRef/>
      </w:r>
      <w:r w:rsidR="00896D28">
        <w:t>Recruitment and sampling have been rewritten to reflect the process used, including convenience sampling, the absence of further purposive selection and the fact that saturation did not determine the sample size.</w:t>
      </w:r>
    </w:p>
  </w:comment>
  <w:comment w:id="6" w:author="Ian Parsonage" w:date="2026-08-02T09:36:00Z" w:initials="">
    <w:p w14:paraId="3FC427CF" w14:textId="77777777" w:rsidR="00D54B80" w:rsidRDefault="00655A16">
      <w:r>
        <w:rPr>
          <w:rStyle w:val="CommentReference"/>
        </w:rPr>
        <w:annotationRef/>
      </w:r>
      <w:r w:rsidR="00896D28">
        <w:t>The reason for remote interviews has been added, together with the lack of repeat interviews, use of field notes and return of transcripts for an accuracy check.</w:t>
      </w:r>
    </w:p>
  </w:comment>
  <w:comment w:id="7" w:author="Ian Parsonage" w:date="2026-08-02T09:36:00Z" w:initials="">
    <w:p w14:paraId="63381787" w14:textId="77777777" w:rsidR="00D54B80" w:rsidRDefault="00655A16">
      <w:r>
        <w:rPr>
          <w:rStyle w:val="CommentReference"/>
        </w:rPr>
        <w:annotationRef/>
      </w:r>
      <w:r w:rsidR="00896D28">
        <w:t>The reason for selecting reflexive thematic analysis, its use within the critical realist position and the interpretive contribution of the researcher are now explained in greater detail.</w:t>
      </w:r>
    </w:p>
  </w:comment>
  <w:comment w:id="8" w:author="Ian Parsonage" w:date="2026-08-02T09:36:00Z" w:initials="">
    <w:p w14:paraId="79EB7307" w14:textId="77777777" w:rsidR="00D54B80" w:rsidRDefault="00655A16">
      <w:r>
        <w:rPr>
          <w:rStyle w:val="CommentReference"/>
        </w:rPr>
        <w:annotationRef/>
      </w:r>
      <w:r w:rsidR="00896D28">
        <w:t>The development from seven initial themes to four final themes, discussion with the other authors, retained analytical record and management of overlap between themes have been added. Figure 1 is also more clearly integrated into this account.</w:t>
      </w:r>
    </w:p>
  </w:comment>
  <w:comment w:id="9" w:author="Ian Parsonage" w:date="2026-08-02T09:36:00Z" w:initials="">
    <w:p w14:paraId="58A8BD57" w14:textId="77777777" w:rsidR="00D54B80" w:rsidRDefault="00655A16">
      <w:r>
        <w:rPr>
          <w:rStyle w:val="CommentReference"/>
        </w:rPr>
        <w:annotationRef/>
      </w:r>
      <w:r w:rsidR="00896D28">
        <w:t>Participant characteristics are reported to the extent collected, and the limits of the available participant and practice information are stated.</w:t>
      </w:r>
    </w:p>
  </w:comment>
  <w:comment w:id="10" w:author="Ian Parsonage" w:date="2026-08-02T09:36:00Z" w:initials="">
    <w:p w14:paraId="5C749EBA" w14:textId="77777777" w:rsidR="00D54B80" w:rsidRDefault="00655A16">
      <w:r>
        <w:rPr>
          <w:rStyle w:val="CommentReference"/>
        </w:rPr>
        <w:annotationRef/>
      </w:r>
      <w:r w:rsidR="00896D28">
        <w:t>The results have been revised to strengthen the boundaries and relationship between themes, include differences within the accounts and give greater attention to facilitators.</w:t>
      </w:r>
    </w:p>
  </w:comment>
  <w:comment w:id="11" w:author="Ian Parsonage" w:date="2026-08-02T09:36:00Z" w:initials="">
    <w:p w14:paraId="00FA2389" w14:textId="77777777" w:rsidR="00D54B80" w:rsidRDefault="00655A16">
      <w:r>
        <w:rPr>
          <w:rStyle w:val="CommentReference"/>
        </w:rPr>
        <w:annotationRef/>
      </w:r>
      <w:r w:rsidR="00896D28">
        <w:t>The discussion has been rewritten to reduce repetition of the results and develop the organisational and clinical processes that may explain the variation in monitoring.</w:t>
      </w:r>
    </w:p>
  </w:comment>
  <w:comment w:id="12" w:author="Ian Parsonage" w:date="2026-08-02T09:36:00Z" w:initials="">
    <w:p w14:paraId="1731E9B5" w14:textId="77777777" w:rsidR="00D54B80" w:rsidRDefault="00655A16">
      <w:r>
        <w:rPr>
          <w:rStyle w:val="CommentReference"/>
        </w:rPr>
        <w:annotationRef/>
      </w:r>
      <w:r w:rsidR="00896D28">
        <w:t>The discussion now considers workflow inertia and links the reported clinical processes with the organisational arrangements required for monitoring to become part of routine care.</w:t>
      </w:r>
    </w:p>
  </w:comment>
  <w:comment w:id="13" w:author="Ian Parsonage" w:date="2026-08-02T09:36:00Z" w:initials="">
    <w:p w14:paraId="70DF7B4D" w14:textId="77777777" w:rsidR="00D54B80" w:rsidRDefault="00655A16">
      <w:r>
        <w:rPr>
          <w:rStyle w:val="CommentReference"/>
        </w:rPr>
        <w:annotationRef/>
      </w:r>
      <w:r w:rsidR="00896D28">
        <w:t>Facilitators and possible implementation approaches are now considered critically, including the different contribution of prompts, searches, meetings and routine review processes. No claim of effectiveness is made because an intervention was not tested.</w:t>
      </w:r>
    </w:p>
  </w:comment>
  <w:comment w:id="14" w:author="Ian Parsonage" w:date="2026-08-02T09:36:00Z" w:initials="">
    <w:p w14:paraId="488A274E" w14:textId="77777777" w:rsidR="00D54B80" w:rsidRDefault="00655A16">
      <w:r>
        <w:rPr>
          <w:rStyle w:val="CommentReference"/>
        </w:rPr>
        <w:annotationRef/>
      </w:r>
      <w:r w:rsidR="00896D28">
        <w:t>The future mixed-methods synthesis and planned use of PARIHS are now explained. A formal framework was not applied retrospectively to an analysis that was not originally designed around it.</w:t>
      </w:r>
    </w:p>
  </w:comment>
  <w:comment w:id="15" w:author="Ian Parsonage" w:date="2026-08-02T09:36:00Z" w:initials="">
    <w:p w14:paraId="7712B3F9" w14:textId="77777777" w:rsidR="00D54B80" w:rsidRDefault="00655A16">
      <w:r>
        <w:rPr>
          <w:rStyle w:val="CommentReference"/>
        </w:rPr>
        <w:annotationRef/>
      </w:r>
      <w:r w:rsidR="00896D28">
        <w:t>The limitations have been expanded to include recruitment from previous survey respondents, the information collected about participants, remote and single interviews, absence of direct observation or analytical participant feedback, and the insider position of the lead researcher.</w:t>
      </w:r>
    </w:p>
  </w:comment>
  <w:comment w:id="16" w:author="Ian Parsonage" w:date="2026-08-02T09:36:00Z" w:initials="">
    <w:p w14:paraId="238F5317" w14:textId="77777777" w:rsidR="00D54B80" w:rsidRDefault="00655A16">
      <w:r>
        <w:rPr>
          <w:rStyle w:val="CommentReference"/>
        </w:rPr>
        <w:annotationRef/>
      </w:r>
      <w:r w:rsidR="00896D28">
        <w:t>The conclusion has been rewritten to identify the remaining implementation problem and provide a clearer contribution beyond confirming familiar barriers.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2498C5" w15:done="0"/>
  <w15:commentEx w15:paraId="3C05B96C" w15:done="0"/>
  <w15:commentEx w15:paraId="42A747BD" w15:done="0"/>
  <w15:commentEx w15:paraId="2677FFE5" w15:done="0"/>
  <w15:commentEx w15:paraId="64A0ACAF" w15:done="0"/>
  <w15:commentEx w15:paraId="030DB422" w15:done="0"/>
  <w15:commentEx w15:paraId="3FC427CF" w15:done="0"/>
  <w15:commentEx w15:paraId="63381787" w15:done="0"/>
  <w15:commentEx w15:paraId="79EB7307" w15:done="0"/>
  <w15:commentEx w15:paraId="58A8BD57" w15:done="0"/>
  <w15:commentEx w15:paraId="5C749EBA" w15:done="0"/>
  <w15:commentEx w15:paraId="00FA2389" w15:done="0"/>
  <w15:commentEx w15:paraId="1731E9B5" w15:done="0"/>
  <w15:commentEx w15:paraId="70DF7B4D" w15:done="0"/>
  <w15:commentEx w15:paraId="488A274E" w15:done="0"/>
  <w15:commentEx w15:paraId="7712B3F9" w15:done="0"/>
  <w15:commentEx w15:paraId="238F53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2498C5" w16cid:durableId="0EF190CD"/>
  <w16cid:commentId w16cid:paraId="3C05B96C" w16cid:durableId="6096375D"/>
  <w16cid:commentId w16cid:paraId="42A747BD" w16cid:durableId="21AF8C0E"/>
  <w16cid:commentId w16cid:paraId="2677FFE5" w16cid:durableId="6C6D56BC"/>
  <w16cid:commentId w16cid:paraId="64A0ACAF" w16cid:durableId="5E63F0DC"/>
  <w16cid:commentId w16cid:paraId="030DB422" w16cid:durableId="23738D22"/>
  <w16cid:commentId w16cid:paraId="3FC427CF" w16cid:durableId="3C854FDD"/>
  <w16cid:commentId w16cid:paraId="63381787" w16cid:durableId="3C157650"/>
  <w16cid:commentId w16cid:paraId="79EB7307" w16cid:durableId="0A71429A"/>
  <w16cid:commentId w16cid:paraId="58A8BD57" w16cid:durableId="0051E0F8"/>
  <w16cid:commentId w16cid:paraId="5C749EBA" w16cid:durableId="42D0A6D1"/>
  <w16cid:commentId w16cid:paraId="00FA2389" w16cid:durableId="7F6F3887"/>
  <w16cid:commentId w16cid:paraId="1731E9B5" w16cid:durableId="69AADBCC"/>
  <w16cid:commentId w16cid:paraId="70DF7B4D" w16cid:durableId="2ABE0D91"/>
  <w16cid:commentId w16cid:paraId="488A274E" w16cid:durableId="7FFB9AF6"/>
  <w16cid:commentId w16cid:paraId="7712B3F9" w16cid:durableId="6B5CE9EA"/>
  <w16cid:commentId w16cid:paraId="238F5317" w16cid:durableId="791FA1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A4BD" w14:textId="77777777" w:rsidR="003C0789" w:rsidRDefault="003C0789">
      <w:pPr>
        <w:spacing w:after="0" w:line="240" w:lineRule="auto"/>
      </w:pPr>
      <w:r>
        <w:separator/>
      </w:r>
    </w:p>
  </w:endnote>
  <w:endnote w:type="continuationSeparator" w:id="0">
    <w:p w14:paraId="29FC5A9D" w14:textId="77777777" w:rsidR="003C0789" w:rsidRDefault="003C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FB2F" w14:textId="77777777" w:rsidR="003C0789" w:rsidRDefault="003C0789">
      <w:pPr>
        <w:spacing w:after="0" w:line="240" w:lineRule="auto"/>
      </w:pPr>
      <w:r>
        <w:rPr>
          <w:color w:val="000000"/>
        </w:rPr>
        <w:separator/>
      </w:r>
    </w:p>
  </w:footnote>
  <w:footnote w:type="continuationSeparator" w:id="0">
    <w:p w14:paraId="723D7BF8" w14:textId="77777777" w:rsidR="003C0789" w:rsidRDefault="003C07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0CA"/>
    <w:rsid w:val="000210D4"/>
    <w:rsid w:val="00022F36"/>
    <w:rsid w:val="00025D6D"/>
    <w:rsid w:val="00027AC5"/>
    <w:rsid w:val="000361E1"/>
    <w:rsid w:val="000476D5"/>
    <w:rsid w:val="00057118"/>
    <w:rsid w:val="000B0ED8"/>
    <w:rsid w:val="000D79DE"/>
    <w:rsid w:val="000E5B90"/>
    <w:rsid w:val="000F1245"/>
    <w:rsid w:val="0010269A"/>
    <w:rsid w:val="00120188"/>
    <w:rsid w:val="00133363"/>
    <w:rsid w:val="00145C0E"/>
    <w:rsid w:val="00156476"/>
    <w:rsid w:val="001579E6"/>
    <w:rsid w:val="00186544"/>
    <w:rsid w:val="00207AE2"/>
    <w:rsid w:val="00210A90"/>
    <w:rsid w:val="00236A4C"/>
    <w:rsid w:val="002863C7"/>
    <w:rsid w:val="00296002"/>
    <w:rsid w:val="002B4EA5"/>
    <w:rsid w:val="002B699E"/>
    <w:rsid w:val="002C23FD"/>
    <w:rsid w:val="002D4822"/>
    <w:rsid w:val="002D4C73"/>
    <w:rsid w:val="002D7B64"/>
    <w:rsid w:val="002E6196"/>
    <w:rsid w:val="003039CD"/>
    <w:rsid w:val="003160CA"/>
    <w:rsid w:val="00343EE1"/>
    <w:rsid w:val="00360F5D"/>
    <w:rsid w:val="003768EC"/>
    <w:rsid w:val="003A407E"/>
    <w:rsid w:val="003B0A8E"/>
    <w:rsid w:val="003C0789"/>
    <w:rsid w:val="003C6290"/>
    <w:rsid w:val="003D477B"/>
    <w:rsid w:val="003D73A3"/>
    <w:rsid w:val="00404B41"/>
    <w:rsid w:val="00424590"/>
    <w:rsid w:val="0045336B"/>
    <w:rsid w:val="004543DB"/>
    <w:rsid w:val="00474527"/>
    <w:rsid w:val="00502721"/>
    <w:rsid w:val="005027AB"/>
    <w:rsid w:val="0051382E"/>
    <w:rsid w:val="00517D2C"/>
    <w:rsid w:val="00527242"/>
    <w:rsid w:val="00530A25"/>
    <w:rsid w:val="00537AF1"/>
    <w:rsid w:val="005A396F"/>
    <w:rsid w:val="005A56F1"/>
    <w:rsid w:val="005B4678"/>
    <w:rsid w:val="005B52AB"/>
    <w:rsid w:val="005D6B3D"/>
    <w:rsid w:val="005F2C10"/>
    <w:rsid w:val="00627C72"/>
    <w:rsid w:val="006357D1"/>
    <w:rsid w:val="00655A16"/>
    <w:rsid w:val="00660A3F"/>
    <w:rsid w:val="00660CB4"/>
    <w:rsid w:val="00664667"/>
    <w:rsid w:val="00685104"/>
    <w:rsid w:val="006907E2"/>
    <w:rsid w:val="00695636"/>
    <w:rsid w:val="006A05F6"/>
    <w:rsid w:val="006B5FDB"/>
    <w:rsid w:val="006E17CE"/>
    <w:rsid w:val="006E294F"/>
    <w:rsid w:val="006F5A31"/>
    <w:rsid w:val="007100B9"/>
    <w:rsid w:val="00721B64"/>
    <w:rsid w:val="00750753"/>
    <w:rsid w:val="00763EA9"/>
    <w:rsid w:val="00765756"/>
    <w:rsid w:val="00772C56"/>
    <w:rsid w:val="00792905"/>
    <w:rsid w:val="0079725E"/>
    <w:rsid w:val="007A1CA8"/>
    <w:rsid w:val="007D1CB8"/>
    <w:rsid w:val="007F5E19"/>
    <w:rsid w:val="008037B8"/>
    <w:rsid w:val="00823CAD"/>
    <w:rsid w:val="00837668"/>
    <w:rsid w:val="00876398"/>
    <w:rsid w:val="00896D28"/>
    <w:rsid w:val="008B074D"/>
    <w:rsid w:val="008D3490"/>
    <w:rsid w:val="009159A5"/>
    <w:rsid w:val="00962653"/>
    <w:rsid w:val="00973D49"/>
    <w:rsid w:val="00991442"/>
    <w:rsid w:val="009A636B"/>
    <w:rsid w:val="009D0A2B"/>
    <w:rsid w:val="009D2814"/>
    <w:rsid w:val="009D2C24"/>
    <w:rsid w:val="009E201A"/>
    <w:rsid w:val="00A119E2"/>
    <w:rsid w:val="00A20160"/>
    <w:rsid w:val="00A24137"/>
    <w:rsid w:val="00A52A2D"/>
    <w:rsid w:val="00A7171D"/>
    <w:rsid w:val="00A72283"/>
    <w:rsid w:val="00A91AE0"/>
    <w:rsid w:val="00A935E9"/>
    <w:rsid w:val="00AC3A83"/>
    <w:rsid w:val="00AD2117"/>
    <w:rsid w:val="00AE00E1"/>
    <w:rsid w:val="00AE0879"/>
    <w:rsid w:val="00AF4532"/>
    <w:rsid w:val="00B027EF"/>
    <w:rsid w:val="00B123D6"/>
    <w:rsid w:val="00B210F5"/>
    <w:rsid w:val="00B61F0E"/>
    <w:rsid w:val="00B62555"/>
    <w:rsid w:val="00B654BF"/>
    <w:rsid w:val="00B75D19"/>
    <w:rsid w:val="00B851DD"/>
    <w:rsid w:val="00B867F2"/>
    <w:rsid w:val="00BA156F"/>
    <w:rsid w:val="00BA196F"/>
    <w:rsid w:val="00BA6D96"/>
    <w:rsid w:val="00BB05C2"/>
    <w:rsid w:val="00BB4430"/>
    <w:rsid w:val="00BB533D"/>
    <w:rsid w:val="00C019BE"/>
    <w:rsid w:val="00C37E05"/>
    <w:rsid w:val="00C56510"/>
    <w:rsid w:val="00C63CEF"/>
    <w:rsid w:val="00CC0063"/>
    <w:rsid w:val="00CE1461"/>
    <w:rsid w:val="00CE50EB"/>
    <w:rsid w:val="00CF676B"/>
    <w:rsid w:val="00D01A51"/>
    <w:rsid w:val="00D143D9"/>
    <w:rsid w:val="00D54B80"/>
    <w:rsid w:val="00D55857"/>
    <w:rsid w:val="00D5706E"/>
    <w:rsid w:val="00D87F44"/>
    <w:rsid w:val="00D9679A"/>
    <w:rsid w:val="00DC71BC"/>
    <w:rsid w:val="00E0030E"/>
    <w:rsid w:val="00E05D52"/>
    <w:rsid w:val="00E1167E"/>
    <w:rsid w:val="00E138CF"/>
    <w:rsid w:val="00E251D3"/>
    <w:rsid w:val="00E34453"/>
    <w:rsid w:val="00E41517"/>
    <w:rsid w:val="00E47228"/>
    <w:rsid w:val="00E53A27"/>
    <w:rsid w:val="00E913AF"/>
    <w:rsid w:val="00EC5095"/>
    <w:rsid w:val="00F11627"/>
    <w:rsid w:val="00F62BAC"/>
    <w:rsid w:val="00F64700"/>
    <w:rsid w:val="00F70201"/>
    <w:rsid w:val="00F76A98"/>
    <w:rsid w:val="00F811C9"/>
    <w:rsid w:val="00FD2B71"/>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6C04"/>
  <w15:docId w15:val="{9B68ED29-3DF8-4429-8BFC-0978E54F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365F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365F9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365F9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365F91"/>
      <w:sz w:val="40"/>
      <w:szCs w:val="40"/>
    </w:rPr>
  </w:style>
  <w:style w:type="character" w:customStyle="1" w:styleId="Heading2Char">
    <w:name w:val="Heading 2 Char"/>
    <w:basedOn w:val="DefaultParagraphFont"/>
    <w:rPr>
      <w:rFonts w:ascii="Cambria" w:eastAsia="Times New Roman" w:hAnsi="Cambria" w:cs="Times New Roman"/>
      <w:color w:val="365F91"/>
      <w:sz w:val="32"/>
      <w:szCs w:val="32"/>
    </w:rPr>
  </w:style>
  <w:style w:type="character" w:customStyle="1" w:styleId="Heading3Char">
    <w:name w:val="Heading 3 Char"/>
    <w:basedOn w:val="DefaultParagraphFont"/>
    <w:rPr>
      <w:rFonts w:eastAsia="Times New Roman" w:cs="Times New Roman"/>
      <w:color w:val="365F91"/>
      <w:sz w:val="28"/>
      <w:szCs w:val="28"/>
    </w:rPr>
  </w:style>
  <w:style w:type="character" w:customStyle="1" w:styleId="Heading4Char">
    <w:name w:val="Heading 4 Char"/>
    <w:basedOn w:val="DefaultParagraphFont"/>
    <w:rPr>
      <w:rFonts w:eastAsia="Times New Roman" w:cs="Times New Roman"/>
      <w:i/>
      <w:iCs/>
      <w:color w:val="365F91"/>
    </w:rPr>
  </w:style>
  <w:style w:type="character" w:customStyle="1" w:styleId="Heading5Char">
    <w:name w:val="Heading 5 Char"/>
    <w:basedOn w:val="DefaultParagraphFont"/>
    <w:rPr>
      <w:rFonts w:eastAsia="Times New Roman" w:cs="Times New Roman"/>
      <w:color w:val="365F9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mbria" w:eastAsia="Times New Roman" w:hAnsi="Cambria"/>
      <w:spacing w:val="-10"/>
      <w:sz w:val="56"/>
      <w:szCs w:val="56"/>
    </w:rPr>
  </w:style>
  <w:style w:type="character" w:customStyle="1" w:styleId="TitleChar">
    <w:name w:val="Title Char"/>
    <w:basedOn w:val="DefaultParagraphFont"/>
    <w:rPr>
      <w:rFonts w:ascii="Cambria" w:eastAsia="Times New Roman" w:hAnsi="Cambria"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365F91"/>
    </w:rPr>
  </w:style>
  <w:style w:type="paragraph" w:styleId="IntenseQuote">
    <w:name w:val="Intense Quote"/>
    <w:basedOn w:val="Normal"/>
    <w:next w:val="Normal"/>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rPr>
      <w:i/>
      <w:iCs/>
      <w:color w:val="365F91"/>
    </w:rPr>
  </w:style>
  <w:style w:type="character" w:styleId="IntenseReference">
    <w:name w:val="Intense Reference"/>
    <w:basedOn w:val="DefaultParagraphFont"/>
    <w:rPr>
      <w:b/>
      <w:bCs/>
      <w:smallCaps/>
      <w:color w:val="365F91"/>
      <w:spacing w:val="5"/>
    </w:rPr>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uiPriority w:val="99"/>
    <w:rPr>
      <w:rFonts w:ascii="Times New Roman" w:hAnsi="Times New Roman"/>
      <w:sz w:val="24"/>
      <w:szCs w:val="24"/>
    </w:rPr>
  </w:style>
  <w:style w:type="paragraph" w:styleId="NoSpacing">
    <w:name w:val="No Spacing"/>
    <w:uiPriority w:val="1"/>
    <w:qFormat/>
    <w:rsid w:val="0010269A"/>
    <w:pPr>
      <w:suppressAutoHyphens/>
      <w:spacing w:after="0" w:line="240" w:lineRule="auto"/>
    </w:pPr>
  </w:style>
  <w:style w:type="character" w:styleId="CommentReference">
    <w:name w:val="annotation reference"/>
    <w:basedOn w:val="DefaultParagraphFont"/>
    <w:uiPriority w:val="99"/>
    <w:semiHidden/>
    <w:unhideWhenUsed/>
    <w:rsid w:val="00D01A51"/>
    <w:rPr>
      <w:sz w:val="16"/>
      <w:szCs w:val="16"/>
    </w:rPr>
  </w:style>
  <w:style w:type="paragraph" w:styleId="CommentText">
    <w:name w:val="annotation text"/>
    <w:basedOn w:val="Normal"/>
    <w:link w:val="CommentTextChar"/>
    <w:uiPriority w:val="99"/>
    <w:unhideWhenUsed/>
    <w:rsid w:val="00D01A51"/>
    <w:pPr>
      <w:spacing w:line="240" w:lineRule="auto"/>
    </w:pPr>
    <w:rPr>
      <w:sz w:val="20"/>
      <w:szCs w:val="20"/>
    </w:rPr>
  </w:style>
  <w:style w:type="character" w:customStyle="1" w:styleId="CommentTextChar">
    <w:name w:val="Comment Text Char"/>
    <w:basedOn w:val="DefaultParagraphFont"/>
    <w:link w:val="CommentText"/>
    <w:uiPriority w:val="99"/>
    <w:rsid w:val="00D01A51"/>
    <w:rPr>
      <w:sz w:val="20"/>
      <w:szCs w:val="20"/>
    </w:rPr>
  </w:style>
  <w:style w:type="paragraph" w:styleId="CommentSubject">
    <w:name w:val="annotation subject"/>
    <w:basedOn w:val="CommentText"/>
    <w:next w:val="CommentText"/>
    <w:link w:val="CommentSubjectChar"/>
    <w:uiPriority w:val="99"/>
    <w:semiHidden/>
    <w:unhideWhenUsed/>
    <w:rsid w:val="00D01A51"/>
    <w:rPr>
      <w:b/>
      <w:bCs/>
    </w:rPr>
  </w:style>
  <w:style w:type="character" w:customStyle="1" w:styleId="CommentSubjectChar">
    <w:name w:val="Comment Subject Char"/>
    <w:basedOn w:val="CommentTextChar"/>
    <w:link w:val="CommentSubject"/>
    <w:uiPriority w:val="99"/>
    <w:semiHidden/>
    <w:rsid w:val="00D01A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doi.org/10.1186/s13012-020-01003-0" TargetMode="Externa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s://doi.org/10.1186/1748-5908-6-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doi.org/10.1111/1475-6773.1211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gov.uk/drug-safety-update/metformin-risk-of-vitamin-b12-deficiency"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9308</Words>
  <Characters>53061</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Parsonage</dc:creator>
  <dc:description/>
  <cp:lastModifiedBy>PARSONAGE, Ian (COMPASS HOUSE MEDICAL CENTRES)</cp:lastModifiedBy>
  <cp:revision>5</cp:revision>
  <cp:lastPrinted>2025-10-30T14:47:00Z</cp:lastPrinted>
  <dcterms:created xsi:type="dcterms:W3CDTF">2026-08-02T09:45:00Z</dcterms:created>
  <dcterms:modified xsi:type="dcterms:W3CDTF">2026-08-02T10:06:00Z</dcterms:modified>
</cp:coreProperties>
</file>