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4AFC9" w14:textId="4CA86F8B" w:rsidR="00E1245E" w:rsidRPr="009755B1" w:rsidRDefault="00E1245E" w:rsidP="00E1245E">
      <w:pPr>
        <w:bidi w:val="0"/>
        <w:spacing w:line="360" w:lineRule="auto"/>
        <w:ind w:left="720"/>
        <w:rPr>
          <w:rFonts w:asciiTheme="majorBidi" w:hAnsiTheme="majorBidi" w:cstheme="majorBidi"/>
          <w:b/>
          <w:bCs/>
          <w:sz w:val="24"/>
          <w:szCs w:val="24"/>
        </w:rPr>
      </w:pPr>
      <w:r w:rsidRPr="009755B1">
        <w:rPr>
          <w:rFonts w:asciiTheme="majorBidi" w:hAnsiTheme="majorBidi" w:cstheme="majorBidi"/>
          <w:b/>
          <w:bCs/>
          <w:sz w:val="24"/>
          <w:szCs w:val="24"/>
        </w:rPr>
        <w:t>Examining the Impact of Telehealth Education on the General Health, Sleep Quality, and Resilience of Mothers with Children Diagnosed with Autism: A Clinical Trial</w:t>
      </w:r>
    </w:p>
    <w:p w14:paraId="6AD43CB4" w14:textId="270C5974" w:rsidR="00C15AF3" w:rsidRPr="009755B1" w:rsidRDefault="00C15AF3" w:rsidP="00C15AF3">
      <w:pPr>
        <w:bidi w:val="0"/>
        <w:spacing w:line="360" w:lineRule="auto"/>
        <w:ind w:left="720"/>
        <w:rPr>
          <w:rFonts w:asciiTheme="majorBidi" w:hAnsiTheme="majorBidi" w:cstheme="majorBidi"/>
          <w:sz w:val="24"/>
          <w:szCs w:val="24"/>
        </w:rPr>
      </w:pPr>
      <w:r w:rsidRPr="009755B1">
        <w:rPr>
          <w:rFonts w:asciiTheme="majorBidi" w:hAnsiTheme="majorBidi" w:cstheme="majorBidi"/>
          <w:sz w:val="24"/>
          <w:szCs w:val="24"/>
        </w:rPr>
        <w:t xml:space="preserve">Bi Bi Leila Mosavi </w:t>
      </w:r>
      <w:r w:rsidRPr="009755B1">
        <w:rPr>
          <w:rFonts w:asciiTheme="majorBidi" w:hAnsiTheme="majorBidi" w:cstheme="majorBidi"/>
          <w:sz w:val="24"/>
          <w:szCs w:val="24"/>
          <w:vertAlign w:val="superscript"/>
        </w:rPr>
        <w:t>1</w:t>
      </w:r>
      <w:r w:rsidRPr="009755B1">
        <w:rPr>
          <w:rFonts w:asciiTheme="majorBidi" w:hAnsiTheme="majorBidi" w:cstheme="majorBidi"/>
          <w:sz w:val="24"/>
          <w:szCs w:val="24"/>
        </w:rPr>
        <w:t xml:space="preserve">, Fatemeh Vizehfar </w:t>
      </w:r>
      <w:r w:rsidRPr="009755B1">
        <w:rPr>
          <w:rFonts w:asciiTheme="majorBidi" w:hAnsiTheme="majorBidi" w:cstheme="majorBidi"/>
          <w:sz w:val="24"/>
          <w:szCs w:val="24"/>
          <w:vertAlign w:val="superscript"/>
        </w:rPr>
        <w:t>2</w:t>
      </w:r>
      <w:r w:rsidR="00B326DA" w:rsidRPr="009755B1">
        <w:rPr>
          <w:rFonts w:asciiTheme="majorBidi" w:hAnsiTheme="majorBidi" w:cstheme="majorBidi"/>
          <w:sz w:val="24"/>
          <w:szCs w:val="24"/>
        </w:rPr>
        <w:t>*</w:t>
      </w:r>
      <w:r w:rsidRPr="009755B1">
        <w:rPr>
          <w:rFonts w:asciiTheme="majorBidi" w:hAnsiTheme="majorBidi" w:cstheme="majorBidi"/>
          <w:sz w:val="24"/>
          <w:szCs w:val="24"/>
        </w:rPr>
        <w:t>, Sorur Javanmardifard</w:t>
      </w:r>
      <w:r w:rsidRPr="009755B1">
        <w:rPr>
          <w:rFonts w:asciiTheme="majorBidi" w:hAnsiTheme="majorBidi" w:cstheme="majorBidi"/>
          <w:sz w:val="24"/>
          <w:szCs w:val="24"/>
          <w:vertAlign w:val="superscript"/>
        </w:rPr>
        <w:t>3</w:t>
      </w:r>
      <w:r w:rsidRPr="009755B1">
        <w:rPr>
          <w:rFonts w:asciiTheme="majorBidi" w:hAnsiTheme="majorBidi" w:cs="Times New Roman"/>
          <w:sz w:val="24"/>
          <w:szCs w:val="24"/>
          <w:rtl/>
        </w:rPr>
        <w:t xml:space="preserve"> </w:t>
      </w:r>
    </w:p>
    <w:p w14:paraId="3A40E48E" w14:textId="77777777" w:rsidR="00C15AF3" w:rsidRPr="009755B1" w:rsidRDefault="00C15AF3" w:rsidP="00C15AF3">
      <w:pPr>
        <w:bidi w:val="0"/>
        <w:spacing w:line="360" w:lineRule="auto"/>
        <w:ind w:left="720"/>
        <w:rPr>
          <w:rFonts w:asciiTheme="majorBidi" w:hAnsiTheme="majorBidi" w:cstheme="majorBidi"/>
          <w:sz w:val="24"/>
          <w:szCs w:val="24"/>
        </w:rPr>
      </w:pPr>
      <w:r w:rsidRPr="009755B1">
        <w:rPr>
          <w:rFonts w:asciiTheme="majorBidi" w:hAnsiTheme="majorBidi" w:cstheme="majorBidi"/>
          <w:sz w:val="24"/>
          <w:szCs w:val="24"/>
        </w:rPr>
        <w:t>1</w:t>
      </w:r>
      <w:r w:rsidRPr="009755B1">
        <w:rPr>
          <w:rFonts w:asciiTheme="majorBidi" w:hAnsiTheme="majorBidi" w:cs="Times New Roman"/>
          <w:sz w:val="24"/>
          <w:szCs w:val="24"/>
          <w:rtl/>
        </w:rPr>
        <w:t xml:space="preserve">. </w:t>
      </w:r>
      <w:r w:rsidRPr="009755B1">
        <w:rPr>
          <w:rFonts w:asciiTheme="majorBidi" w:hAnsiTheme="majorBidi" w:cstheme="majorBidi"/>
          <w:sz w:val="24"/>
          <w:szCs w:val="24"/>
        </w:rPr>
        <w:t>Student Research Committee, Shiraz University of Medical Sciences, Shiraz, Iran</w:t>
      </w:r>
    </w:p>
    <w:p w14:paraId="668CDD72" w14:textId="77777777" w:rsidR="00C15AF3" w:rsidRPr="009755B1" w:rsidRDefault="00C15AF3" w:rsidP="00C15AF3">
      <w:pPr>
        <w:bidi w:val="0"/>
        <w:spacing w:line="360" w:lineRule="auto"/>
        <w:ind w:left="720"/>
        <w:rPr>
          <w:rFonts w:asciiTheme="majorBidi" w:hAnsiTheme="majorBidi" w:cstheme="majorBidi"/>
          <w:sz w:val="24"/>
          <w:szCs w:val="24"/>
        </w:rPr>
      </w:pPr>
      <w:r w:rsidRPr="009755B1">
        <w:rPr>
          <w:rFonts w:asciiTheme="majorBidi" w:hAnsiTheme="majorBidi" w:cstheme="majorBidi"/>
          <w:sz w:val="24"/>
          <w:szCs w:val="24"/>
        </w:rPr>
        <w:t>2</w:t>
      </w:r>
      <w:r w:rsidRPr="009755B1">
        <w:rPr>
          <w:rFonts w:asciiTheme="majorBidi" w:hAnsiTheme="majorBidi" w:cs="Times New Roman"/>
          <w:sz w:val="24"/>
          <w:szCs w:val="24"/>
          <w:rtl/>
        </w:rPr>
        <w:t xml:space="preserve">. </w:t>
      </w:r>
      <w:r w:rsidRPr="009755B1">
        <w:rPr>
          <w:rFonts w:asciiTheme="majorBidi" w:hAnsiTheme="majorBidi" w:cstheme="majorBidi"/>
          <w:sz w:val="24"/>
          <w:szCs w:val="24"/>
        </w:rPr>
        <w:t>Community Based Psychiatric Care Research Center, Nursing Department, School of Nursing and Midwifery, Shiraz University of Medical Sciences, Shiraz, Iran, Orchid: 0000-0003-1261-7318</w:t>
      </w:r>
    </w:p>
    <w:p w14:paraId="451851A7" w14:textId="77777777" w:rsidR="00C15AF3" w:rsidRPr="009755B1" w:rsidRDefault="00C15AF3" w:rsidP="00C15AF3">
      <w:pPr>
        <w:bidi w:val="0"/>
        <w:spacing w:line="360" w:lineRule="auto"/>
        <w:ind w:left="720"/>
        <w:rPr>
          <w:rFonts w:asciiTheme="majorBidi" w:hAnsiTheme="majorBidi" w:cstheme="majorBidi"/>
          <w:sz w:val="24"/>
          <w:szCs w:val="24"/>
        </w:rPr>
      </w:pPr>
      <w:r w:rsidRPr="009755B1">
        <w:rPr>
          <w:rFonts w:asciiTheme="majorBidi" w:hAnsiTheme="majorBidi" w:cstheme="majorBidi"/>
          <w:sz w:val="24"/>
          <w:szCs w:val="24"/>
        </w:rPr>
        <w:t>3</w:t>
      </w:r>
      <w:r w:rsidRPr="009755B1">
        <w:rPr>
          <w:rFonts w:asciiTheme="majorBidi" w:hAnsiTheme="majorBidi" w:cs="Times New Roman"/>
          <w:sz w:val="24"/>
          <w:szCs w:val="24"/>
          <w:rtl/>
        </w:rPr>
        <w:t xml:space="preserve">. </w:t>
      </w:r>
      <w:r w:rsidRPr="009755B1">
        <w:rPr>
          <w:rFonts w:asciiTheme="majorBidi" w:hAnsiTheme="majorBidi" w:cstheme="majorBidi"/>
          <w:sz w:val="24"/>
          <w:szCs w:val="24"/>
        </w:rPr>
        <w:t>Community Based Psychiatric Care Research Center, School of Nursing and Midwifery, Shiraz University of Medical Sciences, Shiraz, Iran Orchid: 0000-0001-9891-852X</w:t>
      </w:r>
    </w:p>
    <w:p w14:paraId="74CBF438" w14:textId="70B076F5" w:rsidR="00C15AF3" w:rsidRPr="009755B1" w:rsidRDefault="00C15AF3" w:rsidP="00C15AF3">
      <w:pPr>
        <w:bidi w:val="0"/>
        <w:spacing w:line="360" w:lineRule="auto"/>
        <w:ind w:left="720"/>
        <w:rPr>
          <w:rFonts w:asciiTheme="majorBidi" w:hAnsiTheme="majorBidi" w:cstheme="majorBidi"/>
          <w:sz w:val="24"/>
          <w:szCs w:val="24"/>
          <w:rtl/>
        </w:rPr>
      </w:pPr>
      <w:r w:rsidRPr="009755B1">
        <w:rPr>
          <w:rFonts w:asciiTheme="majorBidi" w:hAnsiTheme="majorBidi" w:cstheme="majorBidi"/>
          <w:sz w:val="24"/>
          <w:szCs w:val="24"/>
        </w:rPr>
        <w:t>Corresponding author: Fatemeh Vizeshfar Community Based Psychiatric Care Research Center, Department of Nursing, School of Nursing and Midwifery, Shiraz University of Medical Sciences, Shiraz, Iran. P.O.Box:713451359 Tel: +98 711-6474255-8, vizeshfar@yahoo.com   ORCID: 0000-0003-1261-7318</w:t>
      </w:r>
    </w:p>
    <w:p w14:paraId="3CD08B64" w14:textId="7C213D74" w:rsidR="005B0D73" w:rsidRPr="009755B1" w:rsidRDefault="005B0D73" w:rsidP="005B0D73">
      <w:pPr>
        <w:bidi w:val="0"/>
        <w:spacing w:line="360" w:lineRule="auto"/>
        <w:ind w:left="720"/>
        <w:rPr>
          <w:rFonts w:asciiTheme="majorBidi" w:hAnsiTheme="majorBidi" w:cstheme="majorBidi"/>
          <w:b/>
          <w:bCs/>
          <w:sz w:val="24"/>
          <w:szCs w:val="24"/>
        </w:rPr>
      </w:pPr>
      <w:r w:rsidRPr="009755B1">
        <w:rPr>
          <w:rFonts w:asciiTheme="majorBidi" w:hAnsiTheme="majorBidi" w:cstheme="majorBidi"/>
          <w:b/>
          <w:bCs/>
          <w:sz w:val="24"/>
          <w:szCs w:val="24"/>
        </w:rPr>
        <w:t>Abstract</w:t>
      </w:r>
    </w:p>
    <w:p w14:paraId="657FA041" w14:textId="1324B070" w:rsidR="00E1245E" w:rsidRPr="009755B1" w:rsidRDefault="00C15AF3" w:rsidP="00E418F1">
      <w:pPr>
        <w:bidi w:val="0"/>
        <w:spacing w:line="360" w:lineRule="auto"/>
        <w:ind w:left="720"/>
        <w:jc w:val="both"/>
        <w:rPr>
          <w:rFonts w:asciiTheme="majorBidi" w:hAnsiTheme="majorBidi" w:cstheme="majorBidi"/>
          <w:b/>
          <w:bCs/>
          <w:sz w:val="24"/>
          <w:szCs w:val="24"/>
        </w:rPr>
      </w:pPr>
      <w:r w:rsidRPr="009755B1">
        <w:rPr>
          <w:rFonts w:asciiTheme="majorBidi" w:hAnsiTheme="majorBidi" w:cstheme="majorBidi"/>
          <w:b/>
          <w:bCs/>
          <w:sz w:val="24"/>
          <w:szCs w:val="24"/>
        </w:rPr>
        <w:t xml:space="preserve">Background: </w:t>
      </w:r>
      <w:r w:rsidR="006D29C0" w:rsidRPr="009755B1">
        <w:rPr>
          <w:rFonts w:asciiTheme="majorBidi" w:hAnsiTheme="majorBidi" w:cstheme="majorBidi"/>
          <w:sz w:val="24"/>
          <w:szCs w:val="24"/>
        </w:rPr>
        <w:t xml:space="preserve">Autism is one of the most prevalent intellectual disabilities worldwide. Given the lifelong nature of this condition, many families face significant challenges in caring for and raising children with autism, which may jeopardize various aspects of the caregivers' health, particularly the mothers. This study aimed to determine the impact of </w:t>
      </w:r>
      <w:r w:rsidR="002202B3" w:rsidRPr="009755B1">
        <w:rPr>
          <w:rFonts w:asciiTheme="majorBidi" w:hAnsiTheme="majorBidi" w:cstheme="majorBidi"/>
          <w:sz w:val="24"/>
          <w:szCs w:val="24"/>
        </w:rPr>
        <w:t>T</w:t>
      </w:r>
      <w:r w:rsidR="006D29C0" w:rsidRPr="009755B1">
        <w:rPr>
          <w:rFonts w:asciiTheme="majorBidi" w:hAnsiTheme="majorBidi" w:cstheme="majorBidi"/>
          <w:sz w:val="24"/>
          <w:szCs w:val="24"/>
        </w:rPr>
        <w:t>elehealth education on the general health, sleep quality, and resilience of mothers with children diagnosed with autism</w:t>
      </w:r>
      <w:r w:rsidR="006D29C0" w:rsidRPr="009755B1">
        <w:rPr>
          <w:rFonts w:asciiTheme="majorBidi" w:hAnsiTheme="majorBidi" w:cstheme="majorBidi"/>
          <w:b/>
          <w:bCs/>
          <w:sz w:val="24"/>
          <w:szCs w:val="24"/>
        </w:rPr>
        <w:t>.</w:t>
      </w:r>
    </w:p>
    <w:p w14:paraId="3BF2BEA8" w14:textId="31E5B28A" w:rsidR="00FF622F" w:rsidRPr="009755B1" w:rsidRDefault="006D29C0" w:rsidP="00E418F1">
      <w:pPr>
        <w:pStyle w:val="NormalWeb"/>
        <w:spacing w:before="0" w:beforeAutospacing="0" w:after="160" w:afterAutospacing="0" w:line="360" w:lineRule="auto"/>
        <w:ind w:left="720"/>
        <w:rPr>
          <w:lang w:val="en"/>
        </w:rPr>
      </w:pPr>
      <w:r w:rsidRPr="009755B1">
        <w:rPr>
          <w:rFonts w:asciiTheme="majorBidi" w:hAnsiTheme="majorBidi" w:cstheme="majorBidi"/>
          <w:b/>
          <w:bCs/>
        </w:rPr>
        <w:t>Methods</w:t>
      </w:r>
      <w:r w:rsidR="00C15AF3" w:rsidRPr="009755B1">
        <w:rPr>
          <w:rFonts w:asciiTheme="majorBidi" w:hAnsiTheme="majorBidi" w:cstheme="majorBidi"/>
          <w:b/>
          <w:bCs/>
        </w:rPr>
        <w:t>:</w:t>
      </w:r>
      <w:r w:rsidR="00C15AF3" w:rsidRPr="009755B1">
        <w:rPr>
          <w:rFonts w:asciiTheme="majorBidi" w:hAnsiTheme="majorBidi" w:cstheme="majorBidi"/>
        </w:rPr>
        <w:t xml:space="preserve"> </w:t>
      </w:r>
      <w:bookmarkStart w:id="0" w:name="_Hlk239046889"/>
      <w:r w:rsidR="00CD6300" w:rsidRPr="009755B1">
        <w:t>In this single-blind, cluster-allocated randomized trial with a 2-month follow-up, 80 mothers of children with ASD were recruited from two comprehensive pediatric rehabilitation centers in Shiraz, Iran. To prevent cross-contamination and treatment spillover, cluster allocation was utilized: one center served as the telehealth intervention group (</w:t>
      </w:r>
      <w:r w:rsidR="00CD6300" w:rsidRPr="009755B1">
        <w:rPr>
          <w:rStyle w:val="mord"/>
          <w:rFonts w:eastAsiaTheme="minorEastAsia"/>
        </w:rPr>
        <w:t>n</w:t>
      </w:r>
      <w:r w:rsidR="00CD6300" w:rsidRPr="009755B1">
        <w:rPr>
          <w:rStyle w:val="mrel"/>
          <w:rFonts w:eastAsiaTheme="majorEastAsia"/>
        </w:rPr>
        <w:t>=</w:t>
      </w:r>
      <w:r w:rsidR="00CD6300" w:rsidRPr="009755B1">
        <w:rPr>
          <w:rStyle w:val="mord"/>
          <w:rFonts w:eastAsiaTheme="minorEastAsia"/>
        </w:rPr>
        <w:t>40</w:t>
      </w:r>
      <w:r w:rsidR="00CD6300" w:rsidRPr="009755B1">
        <w:t>) and the second center served as the waitlist control group (</w:t>
      </w:r>
      <w:r w:rsidR="00CD6300" w:rsidRPr="009755B1">
        <w:rPr>
          <w:rStyle w:val="mord"/>
          <w:rFonts w:eastAsiaTheme="minorEastAsia"/>
        </w:rPr>
        <w:t>n</w:t>
      </w:r>
      <w:r w:rsidR="00CD6300" w:rsidRPr="009755B1">
        <w:rPr>
          <w:rStyle w:val="mrel"/>
          <w:rFonts w:eastAsiaTheme="majorEastAsia"/>
        </w:rPr>
        <w:t>=</w:t>
      </w:r>
      <w:r w:rsidR="00CD6300" w:rsidRPr="009755B1">
        <w:rPr>
          <w:rStyle w:val="mord"/>
          <w:rFonts w:eastAsiaTheme="minorEastAsia"/>
        </w:rPr>
        <w:t>40</w:t>
      </w:r>
      <w:r w:rsidR="00CD6300" w:rsidRPr="009755B1">
        <w:t>). The intervention comprised 11 weekly interactive virtual group sessions (65 min each). Primary outcome measures included the General Health Questionnaire (GHQ-28), Pittsburgh Sleep Quality Index (PSQI), and Connor–Davidson Resilience Scale (CD-RISC), administered at baseline (</w:t>
      </w:r>
      <w:r w:rsidR="00CD6300" w:rsidRPr="009755B1">
        <w:rPr>
          <w:rStyle w:val="mord"/>
          <w:rFonts w:eastAsiaTheme="minorEastAsia"/>
        </w:rPr>
        <w:t>T1</w:t>
      </w:r>
      <w:r w:rsidR="00CD6300" w:rsidRPr="009755B1">
        <w:rPr>
          <w:rStyle w:val="vlist-s"/>
        </w:rPr>
        <w:t>​</w:t>
      </w:r>
      <w:r w:rsidR="00CD6300" w:rsidRPr="009755B1">
        <w:t>), immediate post-test (</w:t>
      </w:r>
      <w:r w:rsidR="00CD6300" w:rsidRPr="009755B1">
        <w:rPr>
          <w:rStyle w:val="mord"/>
          <w:rFonts w:eastAsiaTheme="minorEastAsia"/>
        </w:rPr>
        <w:t>T2</w:t>
      </w:r>
      <w:r w:rsidR="00CD6300" w:rsidRPr="009755B1">
        <w:rPr>
          <w:rStyle w:val="vlist-s"/>
        </w:rPr>
        <w:t>​</w:t>
      </w:r>
      <w:r w:rsidR="00CD6300" w:rsidRPr="009755B1">
        <w:t>), and 2-month follow-up (</w:t>
      </w:r>
      <w:r w:rsidR="00CD6300" w:rsidRPr="009755B1">
        <w:rPr>
          <w:rStyle w:val="mord"/>
          <w:rFonts w:eastAsiaTheme="minorEastAsia"/>
        </w:rPr>
        <w:t>T3</w:t>
      </w:r>
      <w:r w:rsidR="00CD6300" w:rsidRPr="009755B1">
        <w:rPr>
          <w:rStyle w:val="vlist-s"/>
        </w:rPr>
        <w:t>​</w:t>
      </w:r>
      <w:r w:rsidR="00CD6300" w:rsidRPr="009755B1">
        <w:t>). Trajectories of longitudinal change were evaluated using Two-Way Mixed-Design Repeated Measures Analysis of Variance (RM-ANOVA).</w:t>
      </w:r>
    </w:p>
    <w:bookmarkEnd w:id="0"/>
    <w:p w14:paraId="1683F479" w14:textId="66F26184" w:rsidR="00FE792D" w:rsidRPr="009755B1" w:rsidRDefault="00AC2DEA" w:rsidP="00E418F1">
      <w:pPr>
        <w:bidi w:val="0"/>
        <w:spacing w:line="360" w:lineRule="auto"/>
        <w:ind w:left="720"/>
        <w:jc w:val="both"/>
        <w:rPr>
          <w:rFonts w:asciiTheme="majorBidi" w:hAnsiTheme="majorBidi" w:cstheme="majorBidi"/>
          <w:b/>
          <w:bCs/>
          <w:sz w:val="24"/>
          <w:szCs w:val="24"/>
        </w:rPr>
      </w:pPr>
      <w:r w:rsidRPr="009755B1">
        <w:rPr>
          <w:rFonts w:asciiTheme="majorBidi" w:hAnsiTheme="majorBidi" w:cstheme="majorBidi"/>
          <w:b/>
          <w:bCs/>
          <w:sz w:val="24"/>
          <w:szCs w:val="24"/>
        </w:rPr>
        <w:t>Result</w:t>
      </w:r>
      <w:r w:rsidR="00C15AF3" w:rsidRPr="009755B1">
        <w:rPr>
          <w:rFonts w:asciiTheme="majorBidi" w:hAnsiTheme="majorBidi" w:cstheme="majorBidi"/>
          <w:b/>
          <w:bCs/>
          <w:sz w:val="24"/>
          <w:szCs w:val="24"/>
        </w:rPr>
        <w:t xml:space="preserve">: </w:t>
      </w:r>
      <w:r w:rsidR="00FE792D" w:rsidRPr="009755B1">
        <w:rPr>
          <w:rFonts w:asciiTheme="majorBidi" w:hAnsiTheme="majorBidi" w:cstheme="majorBidi"/>
          <w:sz w:val="24"/>
          <w:szCs w:val="24"/>
        </w:rPr>
        <w:t>Baseline demographic characteristics and clinical baseline scores were equivalent between groups (</w:t>
      </w:r>
      <w:r w:rsidR="00FE792D" w:rsidRPr="009755B1">
        <w:rPr>
          <w:rStyle w:val="mord"/>
          <w:rFonts w:asciiTheme="majorBidi" w:hAnsiTheme="majorBidi" w:cstheme="majorBidi"/>
          <w:sz w:val="24"/>
          <w:szCs w:val="24"/>
        </w:rPr>
        <w:t>p</w:t>
      </w:r>
      <w:r w:rsidR="00FE792D" w:rsidRPr="009755B1">
        <w:rPr>
          <w:rStyle w:val="mrel"/>
          <w:rFonts w:asciiTheme="majorBidi" w:hAnsiTheme="majorBidi" w:cstheme="majorBidi"/>
          <w:sz w:val="24"/>
          <w:szCs w:val="24"/>
        </w:rPr>
        <w:t>&gt;</w:t>
      </w:r>
      <w:r w:rsidR="00FE792D" w:rsidRPr="009755B1">
        <w:rPr>
          <w:rStyle w:val="mord"/>
          <w:rFonts w:asciiTheme="majorBidi" w:hAnsiTheme="majorBidi" w:cstheme="majorBidi"/>
          <w:sz w:val="24"/>
          <w:szCs w:val="24"/>
        </w:rPr>
        <w:t>.05</w:t>
      </w:r>
      <w:r w:rsidR="00FE792D" w:rsidRPr="009755B1">
        <w:rPr>
          <w:rFonts w:asciiTheme="majorBidi" w:hAnsiTheme="majorBidi" w:cstheme="majorBidi"/>
          <w:sz w:val="24"/>
          <w:szCs w:val="24"/>
        </w:rPr>
        <w:t xml:space="preserve">). Mixed-design RM-ANOVA revealed statistically significant Group </w:t>
      </w:r>
      <w:r w:rsidR="00FE792D" w:rsidRPr="009755B1">
        <w:rPr>
          <w:rStyle w:val="mord"/>
          <w:rFonts w:asciiTheme="majorBidi" w:hAnsiTheme="majorBidi" w:cstheme="majorBidi"/>
          <w:sz w:val="24"/>
          <w:szCs w:val="24"/>
        </w:rPr>
        <w:t>×</w:t>
      </w:r>
      <w:r w:rsidR="00FE792D" w:rsidRPr="009755B1">
        <w:rPr>
          <w:rFonts w:asciiTheme="majorBidi" w:hAnsiTheme="majorBidi" w:cstheme="majorBidi"/>
          <w:sz w:val="24"/>
          <w:szCs w:val="24"/>
        </w:rPr>
        <w:t xml:space="preserve"> Time interaction effects across all primary outcomes: General Health, </w:t>
      </w:r>
      <w:r w:rsidR="00FE792D" w:rsidRPr="009755B1">
        <w:rPr>
          <w:rStyle w:val="katex-mathml"/>
          <w:rFonts w:asciiTheme="majorBidi" w:hAnsiTheme="majorBidi" w:cstheme="majorBidi"/>
          <w:sz w:val="24"/>
          <w:szCs w:val="24"/>
        </w:rPr>
        <w:t>F(1.526,119.031)=8.435,p=.001,ηp2=.098</w:t>
      </w:r>
      <w:r w:rsidR="00DC4AC0" w:rsidRPr="009755B1">
        <w:rPr>
          <w:rStyle w:val="mopen"/>
          <w:rFonts w:asciiTheme="majorBidi" w:hAnsiTheme="majorBidi" w:cstheme="majorBidi"/>
          <w:sz w:val="24"/>
          <w:szCs w:val="24"/>
        </w:rPr>
        <w:t xml:space="preserve"> ,</w:t>
      </w:r>
      <w:r w:rsidR="00FE792D" w:rsidRPr="009755B1">
        <w:rPr>
          <w:rFonts w:asciiTheme="majorBidi" w:hAnsiTheme="majorBidi" w:cstheme="majorBidi"/>
          <w:sz w:val="24"/>
          <w:szCs w:val="24"/>
        </w:rPr>
        <w:t xml:space="preserve">Sleep Quality, </w:t>
      </w:r>
      <w:r w:rsidR="00FE792D" w:rsidRPr="009755B1">
        <w:rPr>
          <w:rStyle w:val="katex-mathml"/>
          <w:rFonts w:asciiTheme="majorBidi" w:hAnsiTheme="majorBidi" w:cstheme="majorBidi"/>
          <w:sz w:val="24"/>
          <w:szCs w:val="24"/>
        </w:rPr>
        <w:t>F(1</w:t>
      </w:r>
      <w:r w:rsidR="00B739D2" w:rsidRPr="009755B1">
        <w:rPr>
          <w:rStyle w:val="katex-mathml"/>
          <w:rFonts w:asciiTheme="majorBidi" w:hAnsiTheme="majorBidi" w:cstheme="majorBidi"/>
          <w:sz w:val="24"/>
          <w:szCs w:val="24"/>
        </w:rPr>
        <w:t>.</w:t>
      </w:r>
      <w:r w:rsidR="00FE792D" w:rsidRPr="009755B1">
        <w:rPr>
          <w:rStyle w:val="katex-mathml"/>
          <w:rFonts w:asciiTheme="majorBidi" w:hAnsiTheme="majorBidi" w:cstheme="majorBidi"/>
          <w:sz w:val="24"/>
          <w:szCs w:val="24"/>
        </w:rPr>
        <w:t>768,137.906)=17.736,p&lt;.001,ηp2=.185</w:t>
      </w:r>
      <w:r w:rsidR="00FE792D" w:rsidRPr="009755B1">
        <w:rPr>
          <w:rFonts w:asciiTheme="majorBidi" w:hAnsiTheme="majorBidi" w:cstheme="majorBidi"/>
          <w:sz w:val="24"/>
          <w:szCs w:val="24"/>
        </w:rPr>
        <w:t>;</w:t>
      </w:r>
      <w:r w:rsidR="00DC4AC0" w:rsidRPr="009755B1">
        <w:rPr>
          <w:rFonts w:asciiTheme="majorBidi" w:hAnsiTheme="majorBidi" w:cstheme="majorBidi"/>
          <w:sz w:val="24"/>
          <w:szCs w:val="24"/>
        </w:rPr>
        <w:t>and</w:t>
      </w:r>
      <w:r w:rsidR="00FE792D" w:rsidRPr="009755B1">
        <w:rPr>
          <w:rFonts w:asciiTheme="majorBidi" w:hAnsiTheme="majorBidi" w:cstheme="majorBidi"/>
          <w:sz w:val="24"/>
          <w:szCs w:val="24"/>
        </w:rPr>
        <w:t xml:space="preserve"> Resilience, </w:t>
      </w:r>
      <w:r w:rsidR="00FE792D" w:rsidRPr="009755B1">
        <w:rPr>
          <w:rStyle w:val="katex-mathml"/>
          <w:rFonts w:asciiTheme="majorBidi" w:hAnsiTheme="majorBidi" w:cstheme="majorBidi"/>
          <w:sz w:val="24"/>
          <w:szCs w:val="24"/>
        </w:rPr>
        <w:t>F(1.442,112.453)=14.360,p&lt;.001,ηp2=.155</w:t>
      </w:r>
      <w:r w:rsidR="00FE792D" w:rsidRPr="009755B1">
        <w:rPr>
          <w:rFonts w:asciiTheme="majorBidi" w:hAnsiTheme="majorBidi" w:cstheme="majorBidi"/>
          <w:sz w:val="24"/>
          <w:szCs w:val="24"/>
        </w:rPr>
        <w:t xml:space="preserve">. Post-hoc longitudinal pairwise comparisons indicated substantial, sustained improvements in psychological distress (GHQ-28: </w:t>
      </w:r>
      <w:r w:rsidR="00FE792D" w:rsidRPr="009755B1">
        <w:rPr>
          <w:rStyle w:val="katex-mathml"/>
          <w:rFonts w:asciiTheme="majorBidi" w:hAnsiTheme="majorBidi" w:cstheme="majorBidi"/>
          <w:sz w:val="24"/>
          <w:szCs w:val="24"/>
        </w:rPr>
        <w:t>34.62±9.44→32.42±7.</w:t>
      </w:r>
      <w:r w:rsidR="00105212" w:rsidRPr="009755B1">
        <w:rPr>
          <w:rStyle w:val="katex-mathml"/>
          <w:rFonts w:asciiTheme="majorBidi" w:hAnsiTheme="majorBidi" w:cstheme="majorBidi"/>
          <w:sz w:val="24"/>
          <w:szCs w:val="24"/>
        </w:rPr>
        <w:t>17, p</w:t>
      </w:r>
      <w:r w:rsidR="00FE792D" w:rsidRPr="009755B1">
        <w:rPr>
          <w:rStyle w:val="katex-mathml"/>
          <w:rFonts w:asciiTheme="majorBidi" w:hAnsiTheme="majorBidi" w:cstheme="majorBidi"/>
          <w:sz w:val="24"/>
          <w:szCs w:val="24"/>
        </w:rPr>
        <w:t>&lt;.001</w:t>
      </w:r>
      <w:r w:rsidR="00FE792D" w:rsidRPr="009755B1">
        <w:rPr>
          <w:rFonts w:asciiTheme="majorBidi" w:hAnsiTheme="majorBidi" w:cstheme="majorBidi"/>
          <w:sz w:val="24"/>
          <w:szCs w:val="24"/>
        </w:rPr>
        <w:t xml:space="preserve">) and resilience (CD-RISC: </w:t>
      </w:r>
      <w:r w:rsidR="00FE792D" w:rsidRPr="009755B1">
        <w:rPr>
          <w:rStyle w:val="katex-mathml"/>
          <w:rFonts w:asciiTheme="majorBidi" w:hAnsiTheme="majorBidi" w:cstheme="majorBidi"/>
          <w:sz w:val="24"/>
          <w:szCs w:val="24"/>
        </w:rPr>
        <w:t>64.08±10.90→71.43±8.</w:t>
      </w:r>
      <w:r w:rsidR="0075674B" w:rsidRPr="009755B1">
        <w:rPr>
          <w:rStyle w:val="katex-mathml"/>
          <w:rFonts w:asciiTheme="majorBidi" w:hAnsiTheme="majorBidi" w:cstheme="majorBidi"/>
          <w:sz w:val="24"/>
          <w:szCs w:val="24"/>
        </w:rPr>
        <w:t>16, p</w:t>
      </w:r>
      <w:r w:rsidR="00FE792D" w:rsidRPr="009755B1">
        <w:rPr>
          <w:rStyle w:val="katex-mathml"/>
          <w:rFonts w:asciiTheme="majorBidi" w:hAnsiTheme="majorBidi" w:cstheme="majorBidi"/>
          <w:sz w:val="24"/>
          <w:szCs w:val="24"/>
        </w:rPr>
        <w:t>&lt;.001</w:t>
      </w:r>
      <w:r w:rsidR="00FE792D" w:rsidRPr="009755B1">
        <w:rPr>
          <w:rFonts w:asciiTheme="majorBidi" w:hAnsiTheme="majorBidi" w:cstheme="majorBidi"/>
          <w:sz w:val="24"/>
          <w:szCs w:val="24"/>
        </w:rPr>
        <w:t>) in the intervention group. Maternal sleep disturbance (PSQI) demonstrated marked, progressive improvement over time (</w:t>
      </w:r>
      <w:r w:rsidR="00FE792D" w:rsidRPr="009755B1">
        <w:rPr>
          <w:rStyle w:val="katex-mathml"/>
          <w:rFonts w:asciiTheme="majorBidi" w:hAnsiTheme="majorBidi" w:cstheme="majorBidi"/>
          <w:sz w:val="24"/>
          <w:szCs w:val="24"/>
        </w:rPr>
        <w:t>12.27±2.83→11.15±2.</w:t>
      </w:r>
      <w:r w:rsidR="00873AF8" w:rsidRPr="009755B1">
        <w:rPr>
          <w:rStyle w:val="katex-mathml"/>
          <w:rFonts w:asciiTheme="majorBidi" w:hAnsiTheme="majorBidi" w:cstheme="majorBidi"/>
          <w:sz w:val="24"/>
          <w:szCs w:val="24"/>
        </w:rPr>
        <w:t xml:space="preserve">56, </w:t>
      </w:r>
      <w:r w:rsidR="00FE792D" w:rsidRPr="009755B1">
        <w:rPr>
          <w:rStyle w:val="katex-mathml"/>
          <w:rFonts w:asciiTheme="majorBidi" w:hAnsiTheme="majorBidi" w:cstheme="majorBidi"/>
          <w:sz w:val="24"/>
          <w:szCs w:val="24"/>
        </w:rPr>
        <w:t>p &lt; .001</w:t>
      </w:r>
      <w:r w:rsidR="00FE792D" w:rsidRPr="009755B1">
        <w:rPr>
          <w:rFonts w:asciiTheme="majorBidi" w:hAnsiTheme="majorBidi" w:cstheme="majorBidi"/>
          <w:sz w:val="24"/>
          <w:szCs w:val="24"/>
        </w:rPr>
        <w:t>), whereas control group scores remained stable across all measurement waves (</w:t>
      </w:r>
      <w:r w:rsidR="00FE792D" w:rsidRPr="009755B1">
        <w:rPr>
          <w:rStyle w:val="mord"/>
          <w:rFonts w:asciiTheme="majorBidi" w:hAnsiTheme="majorBidi" w:cstheme="majorBidi"/>
          <w:sz w:val="24"/>
          <w:szCs w:val="24"/>
        </w:rPr>
        <w:t>p</w:t>
      </w:r>
      <w:r w:rsidR="00B739D2" w:rsidRPr="009755B1">
        <w:rPr>
          <w:rStyle w:val="mord"/>
          <w:rFonts w:asciiTheme="majorBidi" w:hAnsiTheme="majorBidi" w:cstheme="majorBidi"/>
          <w:sz w:val="24"/>
          <w:szCs w:val="24"/>
        </w:rPr>
        <w:t xml:space="preserve"> </w:t>
      </w:r>
      <w:r w:rsidR="00FE792D" w:rsidRPr="009755B1">
        <w:rPr>
          <w:rStyle w:val="mrel"/>
          <w:rFonts w:asciiTheme="majorBidi" w:hAnsiTheme="majorBidi" w:cstheme="majorBidi"/>
          <w:sz w:val="24"/>
          <w:szCs w:val="24"/>
        </w:rPr>
        <w:t>&gt;</w:t>
      </w:r>
      <w:r w:rsidR="00FE792D" w:rsidRPr="009755B1">
        <w:rPr>
          <w:rStyle w:val="mord"/>
          <w:rFonts w:asciiTheme="majorBidi" w:hAnsiTheme="majorBidi" w:cstheme="majorBidi"/>
          <w:sz w:val="24"/>
          <w:szCs w:val="24"/>
        </w:rPr>
        <w:t>.05</w:t>
      </w:r>
      <w:r w:rsidR="00FE792D" w:rsidRPr="009755B1">
        <w:rPr>
          <w:rFonts w:asciiTheme="majorBidi" w:hAnsiTheme="majorBidi" w:cstheme="majorBidi"/>
          <w:sz w:val="24"/>
          <w:szCs w:val="24"/>
        </w:rPr>
        <w:t>).</w:t>
      </w:r>
    </w:p>
    <w:p w14:paraId="490459B5" w14:textId="1AFDD292" w:rsidR="004C04B9" w:rsidRPr="009755B1" w:rsidRDefault="00C15AF3" w:rsidP="00E418F1">
      <w:pPr>
        <w:bidi w:val="0"/>
        <w:spacing w:line="360" w:lineRule="auto"/>
        <w:ind w:left="720"/>
        <w:jc w:val="both"/>
        <w:rPr>
          <w:rFonts w:asciiTheme="majorBidi" w:hAnsiTheme="majorBidi" w:cstheme="majorBidi"/>
          <w:sz w:val="24"/>
          <w:szCs w:val="24"/>
        </w:rPr>
      </w:pPr>
      <w:r w:rsidRPr="009755B1">
        <w:rPr>
          <w:rFonts w:asciiTheme="majorBidi" w:hAnsiTheme="majorBidi" w:cstheme="majorBidi"/>
          <w:b/>
          <w:bCs/>
          <w:sz w:val="24"/>
          <w:szCs w:val="24"/>
        </w:rPr>
        <w:t>Conclusion:</w:t>
      </w:r>
      <w:r w:rsidRPr="009755B1">
        <w:rPr>
          <w:rFonts w:asciiTheme="majorBidi" w:hAnsiTheme="majorBidi" w:cstheme="majorBidi"/>
          <w:sz w:val="24"/>
          <w:szCs w:val="24"/>
        </w:rPr>
        <w:t xml:space="preserve"> The findings of this study suggest that telehealth education can improve the general health, sleep quality, and resilience of mothers with children diagnosed with autism. Therefore, it could be utilized as a cost-effective and accessible method in primary healthcare. Further research is necessary to explore the impact of telehealth on the health of both parents and children with autism.</w:t>
      </w:r>
    </w:p>
    <w:p w14:paraId="7FDDF948" w14:textId="3F67F299" w:rsidR="00203ED4" w:rsidRPr="009755B1" w:rsidRDefault="00203ED4" w:rsidP="008005DE">
      <w:pPr>
        <w:bidi w:val="0"/>
        <w:spacing w:line="360" w:lineRule="auto"/>
        <w:ind w:left="720"/>
        <w:jc w:val="both"/>
        <w:rPr>
          <w:rFonts w:asciiTheme="majorBidi" w:hAnsiTheme="majorBidi" w:cstheme="majorBidi"/>
          <w:sz w:val="24"/>
          <w:szCs w:val="24"/>
        </w:rPr>
      </w:pPr>
      <w:r w:rsidRPr="009755B1">
        <w:rPr>
          <w:rFonts w:asciiTheme="majorBidi" w:hAnsiTheme="majorBidi" w:cstheme="majorBidi"/>
          <w:b/>
          <w:bCs/>
          <w:sz w:val="24"/>
          <w:szCs w:val="24"/>
        </w:rPr>
        <w:t xml:space="preserve">Trial registration: </w:t>
      </w:r>
      <w:r w:rsidR="008005DE" w:rsidRPr="009755B1">
        <w:rPr>
          <w:rFonts w:asciiTheme="majorBidi" w:hAnsiTheme="majorBidi" w:cstheme="majorBidi"/>
          <w:sz w:val="24"/>
          <w:szCs w:val="24"/>
        </w:rPr>
        <w:t>(IRCT20160404027216N12), Date 2024-02-19</w:t>
      </w:r>
    </w:p>
    <w:p w14:paraId="5817C97A" w14:textId="4E34B09B" w:rsidR="00BC161B" w:rsidRPr="009755B1" w:rsidRDefault="00BC161B" w:rsidP="007D3355">
      <w:pPr>
        <w:bidi w:val="0"/>
        <w:spacing w:line="360" w:lineRule="auto"/>
        <w:ind w:left="720"/>
        <w:jc w:val="both"/>
        <w:rPr>
          <w:rFonts w:asciiTheme="majorBidi" w:hAnsiTheme="majorBidi" w:cstheme="majorBidi"/>
          <w:sz w:val="24"/>
          <w:szCs w:val="24"/>
        </w:rPr>
      </w:pPr>
      <w:r w:rsidRPr="009755B1">
        <w:rPr>
          <w:rFonts w:asciiTheme="majorBidi" w:hAnsiTheme="majorBidi" w:cstheme="majorBidi"/>
          <w:b/>
          <w:bCs/>
          <w:sz w:val="24"/>
          <w:szCs w:val="24"/>
        </w:rPr>
        <w:t>Keywords:</w:t>
      </w:r>
      <w:r w:rsidRPr="009755B1">
        <w:rPr>
          <w:rFonts w:asciiTheme="majorBidi" w:hAnsiTheme="majorBidi" w:cstheme="majorBidi"/>
        </w:rPr>
        <w:t xml:space="preserve"> </w:t>
      </w:r>
      <w:r w:rsidR="00C15AF3" w:rsidRPr="009755B1">
        <w:rPr>
          <w:rFonts w:asciiTheme="majorBidi" w:hAnsiTheme="majorBidi" w:cstheme="majorBidi"/>
          <w:sz w:val="24"/>
          <w:szCs w:val="24"/>
        </w:rPr>
        <w:t>Autism</w:t>
      </w:r>
      <w:r w:rsidR="00C15AF3" w:rsidRPr="009755B1">
        <w:rPr>
          <w:rFonts w:asciiTheme="majorBidi" w:hAnsiTheme="majorBidi" w:cstheme="majorBidi"/>
        </w:rPr>
        <w:t>, Telehealth</w:t>
      </w:r>
      <w:r w:rsidR="00C15AF3" w:rsidRPr="009755B1">
        <w:rPr>
          <w:rFonts w:asciiTheme="majorBidi" w:hAnsiTheme="majorBidi" w:cstheme="majorBidi"/>
          <w:sz w:val="24"/>
          <w:szCs w:val="24"/>
        </w:rPr>
        <w:t>, General</w:t>
      </w:r>
      <w:r w:rsidR="002202B3" w:rsidRPr="009755B1">
        <w:rPr>
          <w:rFonts w:asciiTheme="majorBidi" w:hAnsiTheme="majorBidi" w:cstheme="majorBidi"/>
          <w:sz w:val="24"/>
          <w:szCs w:val="24"/>
        </w:rPr>
        <w:t xml:space="preserve"> Health, Sleep Quality, Resilience</w:t>
      </w:r>
    </w:p>
    <w:p w14:paraId="0D0A7A31" w14:textId="77777777" w:rsidR="00051E7C" w:rsidRPr="009755B1" w:rsidRDefault="00051E7C" w:rsidP="001F3728">
      <w:pPr>
        <w:bidi w:val="0"/>
        <w:spacing w:line="360" w:lineRule="auto"/>
        <w:ind w:left="720"/>
        <w:jc w:val="both"/>
        <w:rPr>
          <w:rFonts w:asciiTheme="majorBidi" w:hAnsiTheme="majorBidi" w:cstheme="majorBidi"/>
          <w:b/>
          <w:bCs/>
          <w:sz w:val="24"/>
          <w:szCs w:val="24"/>
        </w:rPr>
      </w:pPr>
      <w:r w:rsidRPr="009755B1">
        <w:rPr>
          <w:rFonts w:asciiTheme="majorBidi" w:hAnsiTheme="majorBidi" w:cstheme="majorBidi"/>
          <w:b/>
          <w:bCs/>
          <w:sz w:val="24"/>
          <w:szCs w:val="24"/>
        </w:rPr>
        <w:t>Background</w:t>
      </w:r>
    </w:p>
    <w:p w14:paraId="0302AB32" w14:textId="77777777" w:rsidR="00920B8F" w:rsidRPr="009755B1" w:rsidRDefault="00920B8F" w:rsidP="002E4E86">
      <w:pPr>
        <w:bidi w:val="0"/>
        <w:spacing w:line="360" w:lineRule="auto"/>
        <w:ind w:left="720"/>
        <w:jc w:val="both"/>
        <w:rPr>
          <w:rFonts w:asciiTheme="majorBidi" w:hAnsiTheme="majorBidi" w:cstheme="majorBidi"/>
          <w:sz w:val="24"/>
          <w:szCs w:val="24"/>
        </w:rPr>
      </w:pPr>
      <w:r w:rsidRPr="009755B1">
        <w:rPr>
          <w:rFonts w:asciiTheme="majorBidi" w:hAnsiTheme="majorBidi" w:cstheme="majorBidi"/>
          <w:sz w:val="24"/>
          <w:szCs w:val="24"/>
        </w:rPr>
        <w:t>Autism is a neurodevelopmental disorder characterized by early impairments in social communication and the presence of restricted, repetitive patterns of behaviors, interests, or activities (1). As mothers often assume the primary caregiving responsibility for children with autism, they may experience increased levels of stress and caregiver burnout, which can place them at greater risk of psychological difficulties (2). These challenges may negatively affect mothers' general health and, consequently, influence their children's development and well-being, contributing to adverse health outcomes for both mothers and children (3, 4).</w:t>
      </w:r>
    </w:p>
    <w:p w14:paraId="7DB504C4" w14:textId="77777777" w:rsidR="00920B8F" w:rsidRPr="009755B1" w:rsidRDefault="00920B8F" w:rsidP="0036557C">
      <w:pPr>
        <w:bidi w:val="0"/>
        <w:spacing w:line="360" w:lineRule="auto"/>
        <w:ind w:left="720"/>
        <w:jc w:val="both"/>
        <w:rPr>
          <w:rFonts w:asciiTheme="majorBidi" w:hAnsiTheme="majorBidi" w:cstheme="majorBidi"/>
          <w:sz w:val="24"/>
          <w:szCs w:val="24"/>
        </w:rPr>
      </w:pPr>
      <w:r w:rsidRPr="009755B1">
        <w:rPr>
          <w:rFonts w:asciiTheme="majorBidi" w:hAnsiTheme="majorBidi" w:cstheme="majorBidi"/>
          <w:sz w:val="24"/>
          <w:szCs w:val="24"/>
        </w:rPr>
        <w:t>According to a study by Pohl et al., mothers of children with autism experience greater caregiving challenges compared with other populations (5). A meta-analysis demonstrated that anxiety, depression, and psychological distress are common among mothers of children with autism spectrum disorder (ASD), emphasizing the importance of providing interventions that promote adaptive coping strategies and support their adjustment to these challenges (6). Understanding the experiences of families of children with autism is essential for identifying their challenges, resilience factors, and support needs, which are critical components of promoting family well-being (7).</w:t>
      </w:r>
    </w:p>
    <w:p w14:paraId="1F26F404" w14:textId="5F6DC169" w:rsidR="00920B8F" w:rsidRPr="009755B1" w:rsidRDefault="00920B8F" w:rsidP="00920B8F">
      <w:pPr>
        <w:bidi w:val="0"/>
        <w:spacing w:line="360" w:lineRule="auto"/>
        <w:ind w:left="720"/>
        <w:jc w:val="both"/>
        <w:rPr>
          <w:rFonts w:asciiTheme="majorBidi" w:hAnsiTheme="majorBidi" w:cstheme="majorBidi"/>
          <w:sz w:val="24"/>
          <w:szCs w:val="24"/>
        </w:rPr>
      </w:pPr>
      <w:r w:rsidRPr="009755B1">
        <w:rPr>
          <w:rFonts w:asciiTheme="majorBidi" w:hAnsiTheme="majorBidi" w:cstheme="majorBidi"/>
          <w:sz w:val="24"/>
          <w:szCs w:val="24"/>
        </w:rPr>
        <w:t>Another common challenge among children with autism is sleep disturbances, which can substantially affect parents' sleep quality, particularly that of mothers (8, 9). Sleep disorders are conditions characterized by disruptions in normal sleep patterns and functioning (10). Adequate rest and high-quality sleep are essential for mothers of children with autism, as they enable them to better manage caregiving responsibilities and meet their children's needs. Furthermore, sufficient sleep plays a crucial role in preventing various physical health problems, including obesity, diabetes, and cardiovascular diseases</w:t>
      </w:r>
      <w:r w:rsidR="009526DE" w:rsidRPr="009755B1">
        <w:rPr>
          <w:rFonts w:asciiTheme="majorBidi" w:hAnsiTheme="majorBidi" w:cstheme="majorBidi"/>
          <w:sz w:val="24"/>
          <w:szCs w:val="24"/>
        </w:rPr>
        <w:t xml:space="preserve"> </w:t>
      </w:r>
      <w:r w:rsidRPr="009755B1">
        <w:rPr>
          <w:rFonts w:asciiTheme="majorBidi" w:hAnsiTheme="majorBidi" w:cstheme="majorBidi"/>
          <w:sz w:val="24"/>
          <w:szCs w:val="24"/>
        </w:rPr>
        <w:t xml:space="preserve">(11). </w:t>
      </w:r>
      <w:r w:rsidRPr="009755B1">
        <w:rPr>
          <w:rFonts w:asciiTheme="majorBidi" w:hAnsiTheme="majorBidi" w:cs="Times New Roman"/>
          <w:sz w:val="24"/>
          <w:szCs w:val="24"/>
          <w:rtl/>
        </w:rPr>
        <w:t xml:space="preserve"> </w:t>
      </w:r>
    </w:p>
    <w:p w14:paraId="346BF4AD" w14:textId="77777777" w:rsidR="00920B8F" w:rsidRPr="009755B1" w:rsidRDefault="00920B8F" w:rsidP="00920B8F">
      <w:pPr>
        <w:spacing w:line="360" w:lineRule="auto"/>
        <w:ind w:left="720"/>
        <w:rPr>
          <w:rFonts w:asciiTheme="majorBidi" w:hAnsiTheme="majorBidi" w:cstheme="majorBidi"/>
          <w:sz w:val="24"/>
          <w:szCs w:val="24"/>
        </w:rPr>
      </w:pPr>
    </w:p>
    <w:p w14:paraId="253AC1C8" w14:textId="77777777" w:rsidR="009526DE" w:rsidRPr="009755B1" w:rsidRDefault="009526DE" w:rsidP="009526DE">
      <w:pPr>
        <w:bidi w:val="0"/>
        <w:spacing w:line="360" w:lineRule="auto"/>
        <w:ind w:left="720"/>
        <w:jc w:val="both"/>
        <w:rPr>
          <w:rFonts w:asciiTheme="majorBidi" w:hAnsiTheme="majorBidi" w:cstheme="majorBidi"/>
          <w:sz w:val="24"/>
          <w:szCs w:val="24"/>
        </w:rPr>
      </w:pPr>
      <w:r w:rsidRPr="009755B1">
        <w:rPr>
          <w:rFonts w:asciiTheme="majorBidi" w:hAnsiTheme="majorBidi" w:cstheme="majorBidi"/>
          <w:sz w:val="24"/>
          <w:szCs w:val="24"/>
        </w:rPr>
        <w:t>Another important concern is the general health of mothers. General health refers to a state of balance in which individuals maintain harmony within themselves and with their social and physical environments (12). Given the potential impact of caring for a child with autism on maternal health, implementing educational interventions aimed at promoting the physical and psychological well-being of these mothers is essential</w:t>
      </w:r>
      <w:r w:rsidRPr="009755B1">
        <w:rPr>
          <w:rFonts w:asciiTheme="majorBidi" w:hAnsiTheme="majorBidi" w:cs="Times New Roman"/>
          <w:sz w:val="24"/>
          <w:szCs w:val="24"/>
          <w:rtl/>
        </w:rPr>
        <w:t>.</w:t>
      </w:r>
    </w:p>
    <w:p w14:paraId="5A28CD8D" w14:textId="77777777" w:rsidR="009526DE" w:rsidRPr="009755B1" w:rsidRDefault="009526DE" w:rsidP="009526DE">
      <w:pPr>
        <w:bidi w:val="0"/>
        <w:spacing w:line="360" w:lineRule="auto"/>
        <w:ind w:left="720"/>
        <w:jc w:val="both"/>
        <w:rPr>
          <w:rFonts w:asciiTheme="majorBidi" w:hAnsiTheme="majorBidi" w:cstheme="majorBidi"/>
          <w:sz w:val="24"/>
          <w:szCs w:val="24"/>
        </w:rPr>
      </w:pPr>
    </w:p>
    <w:p w14:paraId="1D5DAD37" w14:textId="6EC92FC5" w:rsidR="00157AEF" w:rsidRPr="009755B1" w:rsidRDefault="009526DE" w:rsidP="009526DE">
      <w:pPr>
        <w:bidi w:val="0"/>
        <w:spacing w:line="360" w:lineRule="auto"/>
        <w:ind w:left="720"/>
        <w:jc w:val="both"/>
        <w:rPr>
          <w:rFonts w:asciiTheme="majorBidi" w:hAnsiTheme="majorBidi" w:cstheme="majorBidi"/>
          <w:sz w:val="24"/>
          <w:szCs w:val="24"/>
        </w:rPr>
      </w:pPr>
      <w:r w:rsidRPr="009755B1">
        <w:rPr>
          <w:rFonts w:asciiTheme="majorBidi" w:hAnsiTheme="majorBidi" w:cstheme="majorBidi"/>
          <w:sz w:val="24"/>
          <w:szCs w:val="24"/>
        </w:rPr>
        <w:t>The ongoing challenges associated with caring for a child with autism, combined with the understanding that autism is a lifelong condition requiring continuous therapeutic support, highlight the need for long-term, comprehensive educational interventions. The persistent demands of caregiving may negatively affect mothers' resilience and increase their vulnerability to psychological difficulties and mental health challenges (13).</w:t>
      </w:r>
      <w:r w:rsidR="007B6703" w:rsidRPr="009755B1">
        <w:rPr>
          <w:rFonts w:asciiTheme="majorBidi" w:hAnsiTheme="majorBidi" w:cstheme="majorBidi" w:hint="cs"/>
          <w:sz w:val="24"/>
          <w:szCs w:val="24"/>
          <w:rtl/>
        </w:rPr>
        <w:t xml:space="preserve"> </w:t>
      </w:r>
      <w:r w:rsidR="009349A0" w:rsidRPr="009755B1">
        <w:rPr>
          <w:rFonts w:asciiTheme="majorBidi" w:hAnsiTheme="majorBidi" w:cstheme="majorBidi"/>
          <w:sz w:val="24"/>
          <w:szCs w:val="24"/>
        </w:rPr>
        <w:t>Resilience is fundamentally defined as positive adaptation or the ability to maintain or regain mental health despite experiencing adversity (14). Research suggests that since resilience is a dynamic process, there is a need to develop strategies to enhance resilience in mothers of children with autism spectrum disorder, which can contribute to their overall well-being (15).</w:t>
      </w:r>
    </w:p>
    <w:p w14:paraId="5916110A" w14:textId="642EB015" w:rsidR="00DA2E96" w:rsidRPr="009755B1" w:rsidRDefault="009349A0" w:rsidP="009526DE">
      <w:pPr>
        <w:bidi w:val="0"/>
        <w:spacing w:line="360" w:lineRule="auto"/>
        <w:ind w:left="720"/>
        <w:jc w:val="both"/>
        <w:rPr>
          <w:rFonts w:asciiTheme="majorBidi" w:hAnsiTheme="majorBidi" w:cstheme="majorBidi"/>
          <w:sz w:val="24"/>
          <w:szCs w:val="24"/>
        </w:rPr>
      </w:pPr>
      <w:r w:rsidRPr="009755B1">
        <w:rPr>
          <w:rFonts w:asciiTheme="majorBidi" w:hAnsiTheme="majorBidi" w:cstheme="majorBidi"/>
          <w:sz w:val="24"/>
          <w:szCs w:val="24"/>
        </w:rPr>
        <w:t xml:space="preserve"> </w:t>
      </w:r>
      <w:r w:rsidR="009526DE" w:rsidRPr="009755B1">
        <w:rPr>
          <w:rFonts w:asciiTheme="majorBidi" w:hAnsiTheme="majorBidi" w:cstheme="majorBidi"/>
          <w:sz w:val="24"/>
          <w:szCs w:val="24"/>
        </w:rPr>
        <w:t>One of the emerging and effective technologies in the healthcare sector is telehealth. Telehealth is defined as “the delivery and facilitation of health and health-related services, including medical care, provider and patient education, health information services, and self-care, through telecommunications and digital communication technologies.” Various technologies are utilized in telehealth, including live video conferencing, mobile health applications, store-and-forward electronic transmission, and remote patient monitoring (RPM) (16).</w:t>
      </w:r>
    </w:p>
    <w:p w14:paraId="3137DBB7" w14:textId="394C809A" w:rsidR="007A281F" w:rsidRPr="009755B1" w:rsidRDefault="00B42620" w:rsidP="007A281F">
      <w:pPr>
        <w:bidi w:val="0"/>
        <w:spacing w:line="360" w:lineRule="auto"/>
        <w:ind w:left="720"/>
        <w:jc w:val="both"/>
        <w:rPr>
          <w:rFonts w:asciiTheme="majorBidi" w:hAnsiTheme="majorBidi" w:cstheme="majorBidi"/>
          <w:sz w:val="24"/>
          <w:szCs w:val="24"/>
        </w:rPr>
      </w:pPr>
      <w:r w:rsidRPr="009755B1">
        <w:rPr>
          <w:rFonts w:asciiTheme="majorBidi" w:hAnsiTheme="majorBidi" w:cstheme="majorBidi"/>
          <w:sz w:val="24"/>
          <w:szCs w:val="24"/>
        </w:rPr>
        <w:t>Based on previous studies, most telehealth research involving parents of children with autism has primarily focused on addressing children's sleep problems, providing parental education, and managing children's behaviors. In contrast, fewer studies have examined telehealth-based educational interventions aimed at improving the health outcomes of mothers of children with autism. Although existing research has demonstrated the beneficial effects of educational interventions on aspects of parental health, including general health, sleep quality, and resilience, these interventions have largely relied on face-to-face approaches, which may limit accessibility and reduce opportunities for mothers to benefit from educational resources (17–19). Effective educational interventions have the potential to empower mothers and subsequently enhance their ability to provide care for children with autism.</w:t>
      </w:r>
      <w:r w:rsidR="007A281F" w:rsidRPr="009755B1">
        <w:rPr>
          <w:rFonts w:asciiTheme="majorBidi" w:hAnsiTheme="majorBidi" w:cstheme="majorBidi"/>
          <w:sz w:val="24"/>
          <w:szCs w:val="24"/>
        </w:rPr>
        <w:t xml:space="preserve"> Therefore, considering the vulnerability of mothers with autistic children and the limitations of in-person education, there is a need for educational interventions through telehealth to prevent physical and mental health issues and support this group within the community. The present study aims to determine the impact of telehealth education on the general health, sleep quality, and resilience of mothers of children with autism who visit autism centers.</w:t>
      </w:r>
    </w:p>
    <w:p w14:paraId="6EDEF9D1" w14:textId="4D0D596C" w:rsidR="005C3445" w:rsidRPr="009755B1" w:rsidRDefault="005C3445" w:rsidP="00B42620">
      <w:pPr>
        <w:bidi w:val="0"/>
        <w:spacing w:line="360" w:lineRule="auto"/>
        <w:ind w:left="720"/>
        <w:jc w:val="both"/>
        <w:rPr>
          <w:rFonts w:asciiTheme="majorBidi" w:hAnsiTheme="majorBidi" w:cstheme="majorBidi"/>
          <w:b/>
          <w:bCs/>
          <w:sz w:val="24"/>
          <w:szCs w:val="24"/>
        </w:rPr>
      </w:pPr>
      <w:r w:rsidRPr="009755B1">
        <w:rPr>
          <w:rFonts w:asciiTheme="majorBidi" w:hAnsiTheme="majorBidi" w:cstheme="majorBidi"/>
          <w:b/>
          <w:bCs/>
          <w:sz w:val="24"/>
          <w:szCs w:val="24"/>
        </w:rPr>
        <w:t>Method</w:t>
      </w:r>
      <w:r w:rsidR="00051E7C" w:rsidRPr="009755B1">
        <w:rPr>
          <w:rFonts w:asciiTheme="majorBidi" w:hAnsiTheme="majorBidi" w:cstheme="majorBidi"/>
          <w:b/>
          <w:bCs/>
          <w:sz w:val="24"/>
          <w:szCs w:val="24"/>
        </w:rPr>
        <w:t>s</w:t>
      </w:r>
    </w:p>
    <w:p w14:paraId="3F2F88D6" w14:textId="3F56D52D" w:rsidR="007A281F" w:rsidRPr="009755B1" w:rsidRDefault="007A281F" w:rsidP="001F1B7A">
      <w:pPr>
        <w:bidi w:val="0"/>
        <w:spacing w:before="100" w:beforeAutospacing="1" w:after="100" w:afterAutospacing="1" w:line="360" w:lineRule="auto"/>
        <w:jc w:val="both"/>
        <w:rPr>
          <w:rFonts w:ascii="Times New Roman" w:eastAsia="Times New Roman" w:hAnsi="Times New Roman" w:cs="Times New Roman"/>
          <w:b/>
          <w:bCs/>
          <w:sz w:val="24"/>
          <w:szCs w:val="24"/>
          <w:lang w:val="en"/>
        </w:rPr>
      </w:pPr>
      <w:r w:rsidRPr="009755B1">
        <w:rPr>
          <w:rFonts w:ascii="Times New Roman" w:eastAsia="Times New Roman" w:hAnsi="Times New Roman" w:cs="Times New Roman"/>
          <w:b/>
          <w:bCs/>
          <w:sz w:val="24"/>
          <w:szCs w:val="24"/>
          <w:lang w:val="en"/>
        </w:rPr>
        <w:t>Study Design</w:t>
      </w:r>
    </w:p>
    <w:p w14:paraId="46B18A01" w14:textId="40A96FB7" w:rsidR="001F1B7A" w:rsidRPr="009755B1" w:rsidRDefault="001F1B7A" w:rsidP="007A281F">
      <w:pPr>
        <w:bidi w:val="0"/>
        <w:spacing w:before="100" w:beforeAutospacing="1" w:after="100" w:afterAutospacing="1" w:line="360" w:lineRule="auto"/>
        <w:jc w:val="both"/>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This study was a two-arm, parallel-group, single-blind randomized controlled trial with a 2-month follow-up (Trial Registration: IRCT20160404027216N12). Assessments occurred across three discrete time points: baseline (T1​, in-person), immediate post-intervention (T2​, online), and 2-month follow-up (T3​, online).</w:t>
      </w:r>
    </w:p>
    <w:p w14:paraId="6A1AD716" w14:textId="361CD6D4" w:rsidR="008E0120" w:rsidRPr="009755B1" w:rsidRDefault="008E0120" w:rsidP="00E65AD1">
      <w:pPr>
        <w:bidi w:val="0"/>
        <w:spacing w:before="100" w:beforeAutospacing="1" w:after="100" w:afterAutospacing="1" w:line="360" w:lineRule="auto"/>
        <w:jc w:val="both"/>
        <w:rPr>
          <w:rFonts w:ascii="Times New Roman" w:eastAsia="Times New Roman" w:hAnsi="Times New Roman" w:cs="Times New Roman"/>
          <w:b/>
          <w:bCs/>
          <w:sz w:val="24"/>
          <w:szCs w:val="24"/>
          <w:lang w:val="en"/>
        </w:rPr>
      </w:pPr>
      <w:r w:rsidRPr="009755B1">
        <w:rPr>
          <w:rFonts w:ascii="Times New Roman" w:eastAsia="Times New Roman" w:hAnsi="Times New Roman" w:cs="Times New Roman"/>
          <w:b/>
          <w:bCs/>
          <w:sz w:val="24"/>
          <w:szCs w:val="24"/>
          <w:lang w:val="en"/>
        </w:rPr>
        <w:t>Setting and Cluster-Allocated Design</w:t>
      </w:r>
    </w:p>
    <w:p w14:paraId="5BB4A171" w14:textId="15C96455" w:rsidR="00E65AD1" w:rsidRPr="009755B1" w:rsidRDefault="00E65AD1" w:rsidP="008E0120">
      <w:pPr>
        <w:bidi w:val="0"/>
        <w:spacing w:before="100" w:beforeAutospacing="1" w:after="100" w:afterAutospacing="1" w:line="360" w:lineRule="auto"/>
        <w:jc w:val="both"/>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The study was conducted across two distinct comprehensive pediatric neurodevelopmental and rehabilitation centers affiliated with Shiraz University of Medical Sciences in Shiraz, Iran (Mehr</w:t>
      </w:r>
      <w:r w:rsidR="00A72673" w:rsidRPr="009755B1">
        <w:rPr>
          <w:rFonts w:ascii="Times New Roman" w:eastAsia="Times New Roman" w:hAnsi="Times New Roman" w:cs="Times New Roman"/>
          <w:sz w:val="24"/>
          <w:szCs w:val="24"/>
          <w:lang w:val="en"/>
        </w:rPr>
        <w:t>andish</w:t>
      </w:r>
      <w:r w:rsidRPr="009755B1">
        <w:rPr>
          <w:rFonts w:ascii="Times New Roman" w:eastAsia="Times New Roman" w:hAnsi="Times New Roman" w:cs="Times New Roman"/>
          <w:sz w:val="24"/>
          <w:szCs w:val="24"/>
          <w:lang w:val="en"/>
        </w:rPr>
        <w:t xml:space="preserve"> Rehabilitation Center and Tabassom Rehabilitation Center).</w:t>
      </w:r>
    </w:p>
    <w:p w14:paraId="3BA257E0" w14:textId="0E1C998B" w:rsidR="00E65AD1" w:rsidRPr="009755B1" w:rsidRDefault="00E65AD1" w:rsidP="00E65AD1">
      <w:pPr>
        <w:bidi w:val="0"/>
        <w:spacing w:before="100" w:beforeAutospacing="1" w:after="100" w:afterAutospacing="1" w:line="360" w:lineRule="auto"/>
        <w:jc w:val="both"/>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 xml:space="preserve">To prevent information contamination and treatment spillover—whereby mothers in the control group might inadvertently access educational materials, behavioral strategies, or peer discussions shared by intervention participants attending the same facility—a cluster-allocated design was implemented. Participating mothers from the </w:t>
      </w:r>
      <w:r w:rsidR="00A72673" w:rsidRPr="009755B1">
        <w:rPr>
          <w:rFonts w:ascii="Times New Roman" w:eastAsia="Times New Roman" w:hAnsi="Times New Roman" w:cs="Times New Roman"/>
          <w:sz w:val="24"/>
          <w:szCs w:val="24"/>
          <w:lang w:val="en"/>
        </w:rPr>
        <w:t>Mehrandish</w:t>
      </w:r>
      <w:r w:rsidRPr="009755B1">
        <w:rPr>
          <w:rFonts w:ascii="Times New Roman" w:eastAsia="Times New Roman" w:hAnsi="Times New Roman" w:cs="Times New Roman"/>
          <w:sz w:val="24"/>
          <w:szCs w:val="24"/>
          <w:lang w:val="en"/>
        </w:rPr>
        <w:t xml:space="preserve"> Center were designated to receive the telehealth psychoeducational intervention (n=40), while mothers from the Tabassom Center were assigned to the waitlist control group (n=40).</w:t>
      </w:r>
    </w:p>
    <w:p w14:paraId="7A3B1494" w14:textId="32EA0ADB" w:rsidR="003B0DB7" w:rsidRPr="009755B1" w:rsidRDefault="003B0DB7" w:rsidP="003B0DB7">
      <w:pPr>
        <w:bidi w:val="0"/>
        <w:spacing w:before="100" w:beforeAutospacing="1" w:after="100" w:afterAutospacing="1" w:line="360" w:lineRule="auto"/>
        <w:jc w:val="both"/>
        <w:rPr>
          <w:rFonts w:ascii="Times New Roman" w:eastAsia="Times New Roman" w:hAnsi="Times New Roman" w:cs="Times New Roman"/>
          <w:b/>
          <w:bCs/>
          <w:sz w:val="24"/>
          <w:szCs w:val="24"/>
          <w:lang w:val="en"/>
        </w:rPr>
      </w:pPr>
      <w:r w:rsidRPr="009755B1">
        <w:rPr>
          <w:rFonts w:ascii="Times New Roman" w:eastAsia="Times New Roman" w:hAnsi="Times New Roman" w:cs="Times New Roman"/>
          <w:b/>
          <w:bCs/>
          <w:sz w:val="24"/>
          <w:szCs w:val="24"/>
          <w:lang w:val="en"/>
        </w:rPr>
        <w:t>Blinding</w:t>
      </w:r>
    </w:p>
    <w:p w14:paraId="70F606A5" w14:textId="7A337F7E" w:rsidR="00E65AD1" w:rsidRPr="009755B1" w:rsidRDefault="00E65AD1" w:rsidP="00E65AD1">
      <w:pPr>
        <w:bidi w:val="0"/>
        <w:spacing w:before="100" w:beforeAutospacing="1" w:after="100" w:afterAutospacing="1" w:line="360" w:lineRule="auto"/>
        <w:jc w:val="both"/>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Due to the active educational nature of the telehealth program, blinding of participants and session educators was not feasible. However, single-blinding was strictly maintained: both the outcome assessors and the biostatisticians conducting the statistical analyses were entirely blinded to group allocation. To eliminate bias, all digital and paper survey forms were pseudo-anonymized using unique alphanumeric identification codes.</w:t>
      </w:r>
    </w:p>
    <w:p w14:paraId="24AEFBE9" w14:textId="2DB6FBDA" w:rsidR="003B0DB7" w:rsidRPr="009755B1" w:rsidRDefault="003B0DB7" w:rsidP="003B0DB7">
      <w:pPr>
        <w:bidi w:val="0"/>
        <w:spacing w:before="100" w:beforeAutospacing="1" w:after="100" w:afterAutospacing="1" w:line="360" w:lineRule="auto"/>
        <w:jc w:val="both"/>
        <w:rPr>
          <w:rFonts w:ascii="Times New Roman" w:eastAsia="Times New Roman" w:hAnsi="Times New Roman" w:cs="Times New Roman"/>
          <w:b/>
          <w:bCs/>
          <w:sz w:val="24"/>
          <w:szCs w:val="24"/>
          <w:lang w:val="en"/>
        </w:rPr>
      </w:pPr>
      <w:r w:rsidRPr="009755B1">
        <w:rPr>
          <w:rFonts w:ascii="Times New Roman" w:eastAsia="Times New Roman" w:hAnsi="Times New Roman" w:cs="Times New Roman"/>
          <w:b/>
          <w:bCs/>
          <w:sz w:val="24"/>
          <w:szCs w:val="24"/>
          <w:lang w:val="en"/>
        </w:rPr>
        <w:t>Participants and Eligibility Criteria</w:t>
      </w:r>
    </w:p>
    <w:p w14:paraId="02C0D2A2" w14:textId="030F461F" w:rsidR="00E65AD1" w:rsidRPr="009755B1" w:rsidRDefault="00E65AD1" w:rsidP="006045CD">
      <w:pPr>
        <w:bidi w:val="0"/>
        <w:spacing w:before="100" w:beforeAutospacing="1" w:after="100" w:afterAutospacing="1" w:line="360" w:lineRule="auto"/>
        <w:jc w:val="both"/>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Mothers of children diagnosed with ASD were consecutively screened. Inclusion criteria were: (1) child with a confirmed clinical diagnosis of ASD established by a board-certified child and adolescent psychiatrist based on DSM-5 criteria, (2) maternal literacy (ability to read and comprehend Persian questionnaires), and (3) regular access to a smartphone or internet-enabled computer capable of running the virtual conferencing platform.Exclusion criteria comprised: (1) concurrent participation in other structured parental psychoeducational or psychotherapy programs, (2) imminent family relocation during the study period, (3) unwillingness to complete all sessions or assessments, (4) presence of severe maternal psychiatric or unstable somatic conditions impeding participation, and (5) mothers of children exhibiting profound autism symptoms (operationalized as Childhood Autism Rating Scale, Second Edition [CARS-2] total raw score.5&gt;36.5) to ensure clinical homogeneity and minimize confounding from severe disruptive behaviors.</w:t>
      </w:r>
    </w:p>
    <w:p w14:paraId="09B13F8D" w14:textId="77777777" w:rsidR="002D2CDD" w:rsidRPr="009755B1" w:rsidRDefault="002D2CDD" w:rsidP="002D2CDD">
      <w:pPr>
        <w:bidi w:val="0"/>
        <w:spacing w:before="100" w:beforeAutospacing="1" w:after="100" w:afterAutospacing="1" w:line="360" w:lineRule="auto"/>
        <w:jc w:val="both"/>
        <w:rPr>
          <w:rFonts w:ascii="Times New Roman" w:eastAsia="Times New Roman" w:hAnsi="Times New Roman" w:cs="Times New Roman"/>
          <w:sz w:val="24"/>
          <w:szCs w:val="24"/>
          <w:lang w:val="en"/>
        </w:rPr>
      </w:pPr>
      <w:r w:rsidRPr="009755B1">
        <w:rPr>
          <w:rFonts w:ascii="Times New Roman" w:eastAsia="Times New Roman" w:hAnsi="Times New Roman" w:cs="Times New Roman"/>
          <w:b/>
          <w:bCs/>
          <w:sz w:val="24"/>
          <w:szCs w:val="24"/>
          <w:lang w:val="en"/>
        </w:rPr>
        <w:t>Sample Size and Statistical Power</w:t>
      </w:r>
    </w:p>
    <w:p w14:paraId="6FDFBF57" w14:textId="77777777" w:rsidR="002D2CDD" w:rsidRPr="009755B1" w:rsidRDefault="002D2CDD" w:rsidP="00C1251B">
      <w:pPr>
        <w:bidi w:val="0"/>
        <w:spacing w:before="100" w:beforeAutospacing="1" w:after="100" w:afterAutospacing="1" w:line="360" w:lineRule="auto"/>
        <w:jc w:val="both"/>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The initial sample size was determined using G*Power software based on previous findings by Schwartzman et al. (2022), assuming a 95% confidence level and 80% power. While the baseline requirement was 35 participants per group, the total sample was set at 80 to account for an anticipated 15% attrition rate.</w:t>
      </w:r>
    </w:p>
    <w:p w14:paraId="06A1FBDD" w14:textId="4F8D59A9" w:rsidR="00AF2A00" w:rsidRPr="009755B1" w:rsidRDefault="002D2CDD" w:rsidP="00AF2A00">
      <w:pPr>
        <w:bidi w:val="0"/>
        <w:spacing w:before="100" w:beforeAutospacing="1" w:after="100" w:afterAutospacing="1" w:line="360" w:lineRule="auto"/>
        <w:jc w:val="both"/>
        <w:rPr>
          <w:rFonts w:asciiTheme="majorBidi" w:eastAsia="Times New Roman" w:hAnsiTheme="majorBidi" w:cstheme="majorBidi"/>
          <w:b/>
          <w:bCs/>
          <w:sz w:val="24"/>
          <w:szCs w:val="24"/>
          <w:lang w:val="en"/>
        </w:rPr>
      </w:pPr>
      <w:r w:rsidRPr="009755B1">
        <w:rPr>
          <w:rFonts w:asciiTheme="majorBidi" w:eastAsia="Times New Roman" w:hAnsiTheme="majorBidi" w:cstheme="majorBidi"/>
          <w:sz w:val="24"/>
          <w:szCs w:val="24"/>
          <w:lang w:val="en"/>
        </w:rPr>
        <w:t xml:space="preserve">Following the study, a post-hoc power analysis was conducted using G*Power (version 3.1.9.7) to evaluate the achieved statistical power for the observed Group × Time interaction effects within the 2×3 mixed-design repeated measures ANOVA model. With N=80 across three measurement waves and an α=0.05, </w:t>
      </w:r>
      <w:r w:rsidR="00AF2A00" w:rsidRPr="009755B1">
        <w:rPr>
          <w:rFonts w:asciiTheme="majorBidi" w:hAnsiTheme="majorBidi" w:cstheme="majorBidi"/>
          <w:sz w:val="24"/>
          <w:szCs w:val="24"/>
        </w:rPr>
        <w:t xml:space="preserve">Post-hoc power analysis confirmed that for the observed Group </w:t>
      </w:r>
      <w:r w:rsidR="00AF2A00" w:rsidRPr="009755B1">
        <w:rPr>
          <w:rStyle w:val="katex-mathml"/>
          <w:rFonts w:asciiTheme="majorBidi" w:hAnsiTheme="majorBidi" w:cstheme="majorBidi"/>
          <w:sz w:val="24"/>
          <w:szCs w:val="24"/>
        </w:rPr>
        <w:t>×\times</w:t>
      </w:r>
      <w:r w:rsidR="00AF2A00" w:rsidRPr="009755B1">
        <w:rPr>
          <w:rStyle w:val="mord"/>
          <w:rFonts w:asciiTheme="majorBidi" w:hAnsiTheme="majorBidi" w:cstheme="majorBidi"/>
          <w:sz w:val="24"/>
          <w:szCs w:val="24"/>
        </w:rPr>
        <w:t>×</w:t>
      </w:r>
      <w:r w:rsidR="00AF2A00" w:rsidRPr="009755B1">
        <w:rPr>
          <w:rFonts w:asciiTheme="majorBidi" w:hAnsiTheme="majorBidi" w:cstheme="majorBidi"/>
          <w:sz w:val="24"/>
          <w:szCs w:val="24"/>
        </w:rPr>
        <w:t xml:space="preserve"> Time interaction effects within our </w:t>
      </w:r>
      <w:r w:rsidR="00AF2A00" w:rsidRPr="009755B1">
        <w:rPr>
          <w:rStyle w:val="katex-mathml"/>
          <w:rFonts w:asciiTheme="majorBidi" w:hAnsiTheme="majorBidi" w:cstheme="majorBidi"/>
          <w:sz w:val="24"/>
          <w:szCs w:val="24"/>
        </w:rPr>
        <w:t>2×</w:t>
      </w:r>
      <w:r w:rsidR="00AF2A00" w:rsidRPr="009755B1">
        <w:rPr>
          <w:rStyle w:val="mord"/>
          <w:rFonts w:asciiTheme="majorBidi" w:hAnsiTheme="majorBidi" w:cstheme="majorBidi"/>
          <w:sz w:val="24"/>
          <w:szCs w:val="24"/>
        </w:rPr>
        <w:t>3</w:t>
      </w:r>
      <w:r w:rsidR="00AF2A00" w:rsidRPr="009755B1">
        <w:rPr>
          <w:rFonts w:asciiTheme="majorBidi" w:hAnsiTheme="majorBidi" w:cstheme="majorBidi"/>
          <w:sz w:val="24"/>
          <w:szCs w:val="24"/>
        </w:rPr>
        <w:t xml:space="preserve"> mixed RM-ANOVA design, the achieved statistical power (</w:t>
      </w:r>
      <w:r w:rsidR="00AF2A00" w:rsidRPr="009755B1">
        <w:rPr>
          <w:rStyle w:val="katex-mathml"/>
          <w:rFonts w:asciiTheme="majorBidi" w:hAnsiTheme="majorBidi" w:cstheme="majorBidi"/>
          <w:sz w:val="24"/>
          <w:szCs w:val="24"/>
        </w:rPr>
        <w:t>1−β</w:t>
      </w:r>
      <w:r w:rsidR="00AF2A00" w:rsidRPr="009755B1">
        <w:rPr>
          <w:rFonts w:asciiTheme="majorBidi" w:hAnsiTheme="majorBidi" w:cstheme="majorBidi"/>
          <w:sz w:val="24"/>
          <w:szCs w:val="24"/>
        </w:rPr>
        <w:t xml:space="preserve">) was </w:t>
      </w:r>
      <w:r w:rsidR="00AF2A00" w:rsidRPr="009755B1">
        <w:rPr>
          <w:rStyle w:val="mord"/>
          <w:rFonts w:asciiTheme="majorBidi" w:hAnsiTheme="majorBidi" w:cstheme="majorBidi"/>
          <w:sz w:val="24"/>
          <w:szCs w:val="24"/>
        </w:rPr>
        <w:t>0.88</w:t>
      </w:r>
      <w:r w:rsidR="00AF2A00" w:rsidRPr="009755B1">
        <w:rPr>
          <w:rFonts w:asciiTheme="majorBidi" w:hAnsiTheme="majorBidi" w:cstheme="majorBidi"/>
          <w:sz w:val="24"/>
          <w:szCs w:val="24"/>
        </w:rPr>
        <w:t xml:space="preserve"> for General Health (</w:t>
      </w:r>
      <w:r w:rsidR="00AF2A00" w:rsidRPr="009755B1">
        <w:rPr>
          <w:rStyle w:val="katex-mathml"/>
          <w:rFonts w:asciiTheme="majorBidi" w:hAnsiTheme="majorBidi" w:cstheme="majorBidi"/>
          <w:sz w:val="24"/>
          <w:szCs w:val="24"/>
        </w:rPr>
        <w:t>ηp2=.098</w:t>
      </w:r>
      <w:r w:rsidR="00AF2A00" w:rsidRPr="009755B1">
        <w:rPr>
          <w:rFonts w:asciiTheme="majorBidi" w:hAnsiTheme="majorBidi" w:cstheme="majorBidi"/>
          <w:sz w:val="24"/>
          <w:szCs w:val="24"/>
        </w:rPr>
        <w:t xml:space="preserve">), </w:t>
      </w:r>
      <w:r w:rsidR="00AF2A00" w:rsidRPr="009755B1">
        <w:rPr>
          <w:rStyle w:val="mord"/>
          <w:rFonts w:asciiTheme="majorBidi" w:hAnsiTheme="majorBidi" w:cstheme="majorBidi"/>
          <w:sz w:val="24"/>
          <w:szCs w:val="24"/>
        </w:rPr>
        <w:t>0.92</w:t>
      </w:r>
      <w:r w:rsidR="00AF2A00" w:rsidRPr="009755B1">
        <w:rPr>
          <w:rFonts w:asciiTheme="majorBidi" w:hAnsiTheme="majorBidi" w:cstheme="majorBidi"/>
          <w:sz w:val="24"/>
          <w:szCs w:val="24"/>
        </w:rPr>
        <w:t xml:space="preserve"> for Sleep Quality (</w:t>
      </w:r>
      <w:r w:rsidR="00AF2A00" w:rsidRPr="009755B1">
        <w:rPr>
          <w:rStyle w:val="katex-mathml"/>
          <w:rFonts w:asciiTheme="majorBidi" w:hAnsiTheme="majorBidi" w:cstheme="majorBidi"/>
          <w:sz w:val="24"/>
          <w:szCs w:val="24"/>
        </w:rPr>
        <w:t>ηp2=.185</w:t>
      </w:r>
      <w:r w:rsidR="00AF2A00" w:rsidRPr="009755B1">
        <w:rPr>
          <w:rFonts w:asciiTheme="majorBidi" w:hAnsiTheme="majorBidi" w:cstheme="majorBidi"/>
          <w:sz w:val="24"/>
          <w:szCs w:val="24"/>
        </w:rPr>
        <w:t xml:space="preserve">), and </w:t>
      </w:r>
      <w:r w:rsidR="00AF2A00" w:rsidRPr="009755B1">
        <w:rPr>
          <w:rStyle w:val="mord"/>
          <w:rFonts w:asciiTheme="majorBidi" w:hAnsiTheme="majorBidi" w:cstheme="majorBidi"/>
          <w:sz w:val="24"/>
          <w:szCs w:val="24"/>
        </w:rPr>
        <w:t>0.86</w:t>
      </w:r>
      <w:r w:rsidR="00AF2A00" w:rsidRPr="009755B1">
        <w:rPr>
          <w:rFonts w:asciiTheme="majorBidi" w:hAnsiTheme="majorBidi" w:cstheme="majorBidi"/>
          <w:sz w:val="24"/>
          <w:szCs w:val="24"/>
        </w:rPr>
        <w:t xml:space="preserve"> for Resilience (</w:t>
      </w:r>
      <w:r w:rsidR="00AF2A00" w:rsidRPr="009755B1">
        <w:rPr>
          <w:rStyle w:val="katex-mathml"/>
          <w:rFonts w:asciiTheme="majorBidi" w:hAnsiTheme="majorBidi" w:cstheme="majorBidi"/>
          <w:sz w:val="24"/>
          <w:szCs w:val="24"/>
        </w:rPr>
        <w:t>ηp2=.155</w:t>
      </w:r>
      <w:r w:rsidR="00AF2A00" w:rsidRPr="009755B1">
        <w:rPr>
          <w:rFonts w:asciiTheme="majorBidi" w:hAnsiTheme="majorBidi" w:cstheme="majorBidi"/>
          <w:sz w:val="24"/>
          <w:szCs w:val="24"/>
        </w:rPr>
        <w:t>), demonstrating excellent statistical power.</w:t>
      </w:r>
    </w:p>
    <w:p w14:paraId="099B66BA" w14:textId="0582D13E" w:rsidR="003B0DB7" w:rsidRPr="009755B1" w:rsidRDefault="003B0DB7" w:rsidP="00AF2A00">
      <w:pPr>
        <w:bidi w:val="0"/>
        <w:spacing w:before="100" w:beforeAutospacing="1" w:after="100" w:afterAutospacing="1" w:line="360" w:lineRule="auto"/>
        <w:jc w:val="both"/>
        <w:rPr>
          <w:rFonts w:ascii="Times New Roman" w:eastAsia="Times New Roman" w:hAnsi="Times New Roman" w:cs="Times New Roman"/>
          <w:b/>
          <w:bCs/>
          <w:sz w:val="24"/>
          <w:szCs w:val="24"/>
          <w:lang w:val="en"/>
        </w:rPr>
      </w:pPr>
      <w:r w:rsidRPr="009755B1">
        <w:rPr>
          <w:rFonts w:ascii="Times New Roman" w:eastAsia="Times New Roman" w:hAnsi="Times New Roman" w:cs="Times New Roman"/>
          <w:b/>
          <w:bCs/>
          <w:sz w:val="24"/>
          <w:szCs w:val="24"/>
          <w:lang w:val="en"/>
        </w:rPr>
        <w:t xml:space="preserve">Sampling </w:t>
      </w:r>
    </w:p>
    <w:p w14:paraId="29C0A64B" w14:textId="77777777" w:rsidR="003B0DB7" w:rsidRPr="009755B1" w:rsidRDefault="003B0DB7" w:rsidP="003B0DB7">
      <w:pPr>
        <w:bidi w:val="0"/>
        <w:spacing w:before="100" w:beforeAutospacing="1" w:after="100" w:afterAutospacing="1" w:line="360" w:lineRule="auto"/>
        <w:jc w:val="both"/>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From an initial pool of 108 screened candidates across both centers, 16 mothers did not meet eligibility criteria, and 12 eligible mothers declined participation due to personal scheduling conflicts. Consequently, 80 mothers consented and were enrolled (n=40 intervention; n=40 control). Zero attrition was observed across the 11-week intervention and the subsequent 2-month follow-up period; all 80 participants completed all evaluation waves (%100 retention rate; Figure 1).</w:t>
      </w:r>
    </w:p>
    <w:p w14:paraId="74CEC7DA" w14:textId="77777777" w:rsidR="00390FAC" w:rsidRPr="009755B1" w:rsidRDefault="00390FAC" w:rsidP="00390FAC">
      <w:pPr>
        <w:bidi w:val="0"/>
        <w:spacing w:before="100" w:beforeAutospacing="1" w:after="100" w:afterAutospacing="1" w:line="360" w:lineRule="auto"/>
        <w:jc w:val="both"/>
        <w:rPr>
          <w:rFonts w:ascii="Times New Roman" w:eastAsia="Times New Roman" w:hAnsi="Times New Roman" w:cs="Times New Roman"/>
          <w:sz w:val="24"/>
          <w:szCs w:val="24"/>
          <w:lang w:val="en"/>
        </w:rPr>
      </w:pPr>
    </w:p>
    <w:p w14:paraId="521AF826" w14:textId="77777777" w:rsidR="00390FAC" w:rsidRPr="009755B1" w:rsidRDefault="00390FAC" w:rsidP="001F3728">
      <w:pPr>
        <w:bidi w:val="0"/>
        <w:spacing w:line="360" w:lineRule="auto"/>
        <w:ind w:left="720"/>
        <w:jc w:val="both"/>
        <w:rPr>
          <w:rFonts w:ascii="Times New Roman" w:eastAsia="Times New Roman" w:hAnsi="Times New Roman" w:cs="Times New Roman"/>
          <w:sz w:val="24"/>
          <w:szCs w:val="24"/>
          <w:rtl/>
          <w:lang w:val="en"/>
        </w:rPr>
      </w:pPr>
      <w:r w:rsidRPr="009755B1">
        <w:rPr>
          <w:rFonts w:ascii="Times New Roman" w:eastAsia="Times New Roman" w:hAnsi="Times New Roman" w:cs="Times New Roman"/>
          <w:sz w:val="24"/>
          <w:szCs w:val="24"/>
          <w:lang w:val="en"/>
        </w:rPr>
        <w:t>Figure 1. CONSORT Flowchart Showing the Participant Recruitment, Allocation, Follow-up, and Analysis Process</w:t>
      </w:r>
    </w:p>
    <w:p w14:paraId="6F96E2F0" w14:textId="7ADED840" w:rsidR="00390FAC" w:rsidRPr="009755B1" w:rsidRDefault="00390FAC" w:rsidP="00390FAC">
      <w:pPr>
        <w:bidi w:val="0"/>
        <w:spacing w:line="360" w:lineRule="auto"/>
        <w:ind w:left="720"/>
        <w:jc w:val="both"/>
        <w:rPr>
          <w:rFonts w:asciiTheme="majorBidi" w:hAnsiTheme="majorBidi" w:cstheme="majorBidi"/>
          <w:b/>
          <w:bCs/>
          <w:sz w:val="24"/>
          <w:szCs w:val="24"/>
        </w:rPr>
      </w:pPr>
      <w:r w:rsidRPr="009755B1">
        <w:rPr>
          <w:rFonts w:asciiTheme="majorBidi" w:hAnsiTheme="majorBidi" w:cstheme="majorBidi"/>
          <w:b/>
          <w:bCs/>
          <w:noProof/>
          <w:sz w:val="24"/>
          <w:szCs w:val="24"/>
        </w:rPr>
        <w:drawing>
          <wp:inline distT="0" distB="0" distL="0" distR="0" wp14:anchorId="0E6A03EF" wp14:editId="44B1FCFC">
            <wp:extent cx="5590540" cy="7004685"/>
            <wp:effectExtent l="0" t="0" r="0" b="5715"/>
            <wp:docPr id="1596999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90540" cy="7004685"/>
                    </a:xfrm>
                    <a:prstGeom prst="rect">
                      <a:avLst/>
                    </a:prstGeom>
                    <a:noFill/>
                  </pic:spPr>
                </pic:pic>
              </a:graphicData>
            </a:graphic>
          </wp:inline>
        </w:drawing>
      </w:r>
    </w:p>
    <w:p w14:paraId="6A6CD819" w14:textId="77777777" w:rsidR="00390FAC" w:rsidRPr="009755B1" w:rsidRDefault="00390FAC" w:rsidP="00390FAC">
      <w:pPr>
        <w:bidi w:val="0"/>
        <w:spacing w:line="360" w:lineRule="auto"/>
        <w:ind w:left="720"/>
        <w:jc w:val="both"/>
        <w:rPr>
          <w:rFonts w:asciiTheme="majorBidi" w:hAnsiTheme="majorBidi" w:cstheme="majorBidi"/>
          <w:b/>
          <w:bCs/>
          <w:sz w:val="24"/>
          <w:szCs w:val="24"/>
        </w:rPr>
      </w:pPr>
    </w:p>
    <w:p w14:paraId="7A83F617" w14:textId="77777777" w:rsidR="00390FAC" w:rsidRPr="009755B1" w:rsidRDefault="00390FAC" w:rsidP="00390FAC">
      <w:pPr>
        <w:bidi w:val="0"/>
        <w:spacing w:line="360" w:lineRule="auto"/>
        <w:ind w:left="720"/>
        <w:jc w:val="both"/>
        <w:rPr>
          <w:rFonts w:asciiTheme="majorBidi" w:hAnsiTheme="majorBidi" w:cstheme="majorBidi"/>
          <w:b/>
          <w:bCs/>
          <w:sz w:val="24"/>
          <w:szCs w:val="24"/>
        </w:rPr>
      </w:pPr>
    </w:p>
    <w:p w14:paraId="0ABD3EA1" w14:textId="77777777" w:rsidR="00390FAC" w:rsidRPr="009755B1" w:rsidRDefault="00390FAC" w:rsidP="00390FAC">
      <w:pPr>
        <w:bidi w:val="0"/>
        <w:spacing w:line="360" w:lineRule="auto"/>
        <w:ind w:left="720"/>
        <w:jc w:val="both"/>
        <w:rPr>
          <w:rFonts w:asciiTheme="majorBidi" w:hAnsiTheme="majorBidi" w:cstheme="majorBidi"/>
          <w:b/>
          <w:bCs/>
          <w:sz w:val="24"/>
          <w:szCs w:val="24"/>
        </w:rPr>
      </w:pPr>
    </w:p>
    <w:p w14:paraId="5631CB0C" w14:textId="77777777" w:rsidR="00390FAC" w:rsidRPr="009755B1" w:rsidRDefault="00390FAC" w:rsidP="00390FAC">
      <w:pPr>
        <w:bidi w:val="0"/>
        <w:spacing w:line="360" w:lineRule="auto"/>
        <w:ind w:left="720"/>
        <w:jc w:val="both"/>
        <w:rPr>
          <w:rFonts w:asciiTheme="majorBidi" w:hAnsiTheme="majorBidi" w:cstheme="majorBidi"/>
          <w:b/>
          <w:bCs/>
          <w:sz w:val="24"/>
          <w:szCs w:val="24"/>
        </w:rPr>
      </w:pPr>
    </w:p>
    <w:p w14:paraId="683102F0" w14:textId="19185998" w:rsidR="005568D0" w:rsidRPr="009755B1" w:rsidRDefault="005F1DE3" w:rsidP="00390FAC">
      <w:pPr>
        <w:bidi w:val="0"/>
        <w:spacing w:line="360" w:lineRule="auto"/>
        <w:ind w:left="720"/>
        <w:jc w:val="both"/>
        <w:rPr>
          <w:rFonts w:asciiTheme="majorBidi" w:hAnsiTheme="majorBidi" w:cstheme="majorBidi"/>
          <w:b/>
          <w:bCs/>
          <w:sz w:val="24"/>
          <w:szCs w:val="24"/>
        </w:rPr>
      </w:pPr>
      <w:r w:rsidRPr="009755B1">
        <w:rPr>
          <w:rFonts w:asciiTheme="majorBidi" w:hAnsiTheme="majorBidi" w:cstheme="majorBidi"/>
          <w:b/>
          <w:bCs/>
          <w:sz w:val="24"/>
          <w:szCs w:val="24"/>
        </w:rPr>
        <w:t>Instruments</w:t>
      </w:r>
    </w:p>
    <w:p w14:paraId="3E812422" w14:textId="77777777" w:rsidR="00BC7961" w:rsidRPr="009755B1" w:rsidRDefault="004E130C" w:rsidP="001F3728">
      <w:pPr>
        <w:bidi w:val="0"/>
        <w:spacing w:line="360" w:lineRule="auto"/>
        <w:ind w:left="720"/>
        <w:jc w:val="both"/>
        <w:rPr>
          <w:rFonts w:asciiTheme="majorBidi" w:hAnsiTheme="majorBidi" w:cstheme="majorBidi"/>
          <w:sz w:val="24"/>
          <w:szCs w:val="24"/>
        </w:rPr>
      </w:pPr>
      <w:r w:rsidRPr="009755B1">
        <w:rPr>
          <w:rFonts w:asciiTheme="majorBidi" w:hAnsiTheme="majorBidi" w:cstheme="majorBidi"/>
          <w:sz w:val="24"/>
          <w:szCs w:val="24"/>
        </w:rPr>
        <w:t>The data collection tool consisted of a four-part questionnaire</w:t>
      </w:r>
      <w:r w:rsidRPr="009755B1">
        <w:rPr>
          <w:rFonts w:asciiTheme="majorBidi" w:hAnsiTheme="majorBidi" w:cstheme="majorBidi"/>
          <w:sz w:val="24"/>
          <w:szCs w:val="24"/>
          <w:rtl/>
        </w:rPr>
        <w:t>:</w:t>
      </w:r>
    </w:p>
    <w:p w14:paraId="63BA5DBC" w14:textId="77777777" w:rsidR="00BC7961" w:rsidRPr="009755B1" w:rsidRDefault="009F555D" w:rsidP="001F3728">
      <w:pPr>
        <w:bidi w:val="0"/>
        <w:spacing w:line="360" w:lineRule="auto"/>
        <w:ind w:left="720"/>
        <w:jc w:val="both"/>
        <w:rPr>
          <w:rFonts w:asciiTheme="majorBidi" w:hAnsiTheme="majorBidi" w:cstheme="majorBidi"/>
          <w:sz w:val="24"/>
          <w:szCs w:val="24"/>
        </w:rPr>
      </w:pPr>
      <w:r w:rsidRPr="009755B1">
        <w:rPr>
          <w:rFonts w:asciiTheme="majorBidi" w:hAnsiTheme="majorBidi" w:cstheme="majorBidi"/>
          <w:sz w:val="24"/>
          <w:szCs w:val="24"/>
        </w:rPr>
        <w:t xml:space="preserve"> </w:t>
      </w:r>
      <w:r w:rsidR="004E130C" w:rsidRPr="009755B1">
        <w:rPr>
          <w:rFonts w:asciiTheme="majorBidi" w:hAnsiTheme="majorBidi" w:cstheme="majorBidi"/>
          <w:i/>
          <w:iCs/>
          <w:sz w:val="24"/>
          <w:szCs w:val="24"/>
        </w:rPr>
        <w:t>Demographic Information</w:t>
      </w:r>
      <w:r w:rsidR="004E130C" w:rsidRPr="009755B1">
        <w:rPr>
          <w:rFonts w:asciiTheme="majorBidi" w:hAnsiTheme="majorBidi" w:cstheme="majorBidi"/>
          <w:sz w:val="24"/>
          <w:szCs w:val="24"/>
        </w:rPr>
        <w:t>: This section collected data on the age, education level, occupation of the mother, family income, and number of children</w:t>
      </w:r>
      <w:r w:rsidR="004E130C" w:rsidRPr="009755B1">
        <w:rPr>
          <w:rFonts w:asciiTheme="majorBidi" w:hAnsiTheme="majorBidi" w:cstheme="majorBidi"/>
          <w:sz w:val="24"/>
          <w:szCs w:val="24"/>
          <w:rtl/>
        </w:rPr>
        <w:t>.</w:t>
      </w:r>
      <w:r w:rsidRPr="009755B1">
        <w:rPr>
          <w:rFonts w:asciiTheme="majorBidi" w:hAnsiTheme="majorBidi" w:cstheme="majorBidi"/>
          <w:sz w:val="24"/>
          <w:szCs w:val="24"/>
        </w:rPr>
        <w:t xml:space="preserve"> </w:t>
      </w:r>
    </w:p>
    <w:p w14:paraId="7C2E80AE" w14:textId="442C6D9C" w:rsidR="00651F9A" w:rsidRPr="009755B1" w:rsidRDefault="004E130C" w:rsidP="00502F85">
      <w:pPr>
        <w:bidi w:val="0"/>
        <w:spacing w:line="360" w:lineRule="auto"/>
        <w:ind w:left="720"/>
        <w:jc w:val="both"/>
        <w:rPr>
          <w:rFonts w:asciiTheme="majorBidi" w:hAnsiTheme="majorBidi" w:cstheme="majorBidi"/>
          <w:sz w:val="24"/>
          <w:szCs w:val="24"/>
        </w:rPr>
      </w:pPr>
      <w:r w:rsidRPr="009755B1">
        <w:rPr>
          <w:rFonts w:asciiTheme="majorBidi" w:hAnsiTheme="majorBidi" w:cstheme="majorBidi"/>
          <w:i/>
          <w:iCs/>
          <w:sz w:val="24"/>
          <w:szCs w:val="24"/>
        </w:rPr>
        <w:t>General Health Questionnaire</w:t>
      </w:r>
      <w:r w:rsidRPr="009755B1">
        <w:rPr>
          <w:rFonts w:asciiTheme="majorBidi" w:hAnsiTheme="majorBidi" w:cstheme="majorBidi"/>
          <w:sz w:val="24"/>
          <w:szCs w:val="24"/>
        </w:rPr>
        <w:t xml:space="preserve">: </w:t>
      </w:r>
      <w:r w:rsidR="00651F9A" w:rsidRPr="009755B1">
        <w:rPr>
          <w:rFonts w:asciiTheme="majorBidi" w:hAnsiTheme="majorBidi" w:cstheme="majorBidi"/>
          <w:sz w:val="24"/>
          <w:szCs w:val="24"/>
        </w:rPr>
        <w:t>The Goldberg and Hiller General Health Questionnaire was first developed by Goldberg in 1979 (2</w:t>
      </w:r>
      <w:r w:rsidR="00502F85" w:rsidRPr="009755B1">
        <w:rPr>
          <w:rFonts w:asciiTheme="majorBidi" w:hAnsiTheme="majorBidi" w:cstheme="majorBidi"/>
          <w:sz w:val="24"/>
          <w:szCs w:val="24"/>
        </w:rPr>
        <w:t>1</w:t>
      </w:r>
      <w:r w:rsidR="00651F9A" w:rsidRPr="009755B1">
        <w:rPr>
          <w:rFonts w:asciiTheme="majorBidi" w:hAnsiTheme="majorBidi" w:cstheme="majorBidi"/>
          <w:sz w:val="24"/>
          <w:szCs w:val="24"/>
        </w:rPr>
        <w:t xml:space="preserve">). This questionnaire is one of the most recognized tools for screening and assessing general health, and the 28-item version was used in this study. The questionnaire consists of four subscales, each containing </w:t>
      </w:r>
      <w:r w:rsidR="001D0915" w:rsidRPr="009755B1">
        <w:rPr>
          <w:rFonts w:asciiTheme="majorBidi" w:hAnsiTheme="majorBidi" w:cstheme="majorBidi"/>
          <w:sz w:val="24"/>
          <w:szCs w:val="24"/>
        </w:rPr>
        <w:t>seven</w:t>
      </w:r>
      <w:r w:rsidR="00651F9A" w:rsidRPr="009755B1">
        <w:rPr>
          <w:rFonts w:asciiTheme="majorBidi" w:hAnsiTheme="majorBidi" w:cstheme="majorBidi"/>
          <w:sz w:val="24"/>
          <w:szCs w:val="24"/>
        </w:rPr>
        <w:t xml:space="preserve"> questions</w:t>
      </w:r>
      <w:r w:rsidR="00651F9A" w:rsidRPr="009755B1">
        <w:rPr>
          <w:rFonts w:asciiTheme="majorBidi" w:hAnsiTheme="majorBidi" w:cstheme="majorBidi"/>
          <w:sz w:val="24"/>
          <w:szCs w:val="24"/>
          <w:rtl/>
        </w:rPr>
        <w:t>:</w:t>
      </w:r>
      <w:r w:rsidR="00F6039A" w:rsidRPr="009755B1">
        <w:rPr>
          <w:rFonts w:asciiTheme="majorBidi" w:hAnsiTheme="majorBidi" w:cstheme="majorBidi"/>
          <w:sz w:val="24"/>
          <w:szCs w:val="24"/>
        </w:rPr>
        <w:t xml:space="preserve"> </w:t>
      </w:r>
      <w:r w:rsidR="00651F9A" w:rsidRPr="009755B1">
        <w:rPr>
          <w:rFonts w:asciiTheme="majorBidi" w:hAnsiTheme="majorBidi" w:cstheme="majorBidi"/>
          <w:sz w:val="24"/>
          <w:szCs w:val="24"/>
        </w:rPr>
        <w:t>Physical Symptoms and General Health</w:t>
      </w:r>
      <w:r w:rsidR="005C5FE9" w:rsidRPr="009755B1">
        <w:rPr>
          <w:rFonts w:asciiTheme="majorBidi" w:hAnsiTheme="majorBidi" w:cstheme="majorBidi"/>
          <w:sz w:val="24"/>
          <w:szCs w:val="24"/>
        </w:rPr>
        <w:t xml:space="preserve"> (</w:t>
      </w:r>
      <w:r w:rsidR="00651F9A" w:rsidRPr="009755B1">
        <w:rPr>
          <w:rFonts w:asciiTheme="majorBidi" w:hAnsiTheme="majorBidi" w:cstheme="majorBidi"/>
          <w:sz w:val="24"/>
          <w:szCs w:val="24"/>
        </w:rPr>
        <w:t>Questions 1 to</w:t>
      </w:r>
      <w:r w:rsidR="007E7AC9" w:rsidRPr="009755B1">
        <w:rPr>
          <w:rFonts w:asciiTheme="majorBidi" w:hAnsiTheme="majorBidi" w:cstheme="majorBidi"/>
          <w:sz w:val="24"/>
          <w:szCs w:val="24"/>
        </w:rPr>
        <w:t xml:space="preserve"> 7),</w:t>
      </w:r>
      <w:r w:rsidR="00F6039A" w:rsidRPr="009755B1">
        <w:rPr>
          <w:rFonts w:asciiTheme="majorBidi" w:hAnsiTheme="majorBidi" w:cstheme="majorBidi"/>
          <w:sz w:val="24"/>
          <w:szCs w:val="24"/>
        </w:rPr>
        <w:t xml:space="preserve"> </w:t>
      </w:r>
      <w:r w:rsidR="00651F9A" w:rsidRPr="009755B1">
        <w:rPr>
          <w:rFonts w:asciiTheme="majorBidi" w:hAnsiTheme="majorBidi" w:cstheme="majorBidi"/>
          <w:sz w:val="24"/>
          <w:szCs w:val="24"/>
        </w:rPr>
        <w:t>Anxiety</w:t>
      </w:r>
      <w:r w:rsidR="007E7AC9" w:rsidRPr="009755B1">
        <w:rPr>
          <w:rFonts w:asciiTheme="majorBidi" w:hAnsiTheme="majorBidi" w:cstheme="majorBidi"/>
          <w:sz w:val="24"/>
          <w:szCs w:val="24"/>
        </w:rPr>
        <w:t xml:space="preserve"> (</w:t>
      </w:r>
      <w:r w:rsidR="00651F9A" w:rsidRPr="009755B1">
        <w:rPr>
          <w:rFonts w:asciiTheme="majorBidi" w:hAnsiTheme="majorBidi" w:cstheme="majorBidi"/>
          <w:sz w:val="24"/>
          <w:szCs w:val="24"/>
        </w:rPr>
        <w:t>Questions 8 to 14</w:t>
      </w:r>
      <w:r w:rsidR="007E7AC9" w:rsidRPr="009755B1">
        <w:rPr>
          <w:rFonts w:asciiTheme="majorBidi" w:hAnsiTheme="majorBidi" w:cstheme="majorBidi"/>
          <w:sz w:val="24"/>
          <w:szCs w:val="24"/>
        </w:rPr>
        <w:t xml:space="preserve">), </w:t>
      </w:r>
      <w:r w:rsidR="00651F9A" w:rsidRPr="009755B1">
        <w:rPr>
          <w:rFonts w:asciiTheme="majorBidi" w:hAnsiTheme="majorBidi" w:cstheme="majorBidi"/>
          <w:sz w:val="24"/>
          <w:szCs w:val="24"/>
        </w:rPr>
        <w:t>Social Dysfunction</w:t>
      </w:r>
      <w:r w:rsidR="00AD081B" w:rsidRPr="009755B1">
        <w:rPr>
          <w:rFonts w:asciiTheme="majorBidi" w:hAnsiTheme="majorBidi" w:cstheme="majorBidi"/>
          <w:sz w:val="24"/>
          <w:szCs w:val="24"/>
        </w:rPr>
        <w:t xml:space="preserve"> (</w:t>
      </w:r>
      <w:r w:rsidR="00651F9A" w:rsidRPr="009755B1">
        <w:rPr>
          <w:rFonts w:asciiTheme="majorBidi" w:hAnsiTheme="majorBidi" w:cstheme="majorBidi"/>
          <w:sz w:val="24"/>
          <w:szCs w:val="24"/>
        </w:rPr>
        <w:t>Questions 15 to 21</w:t>
      </w:r>
      <w:r w:rsidR="00AD081B" w:rsidRPr="009755B1">
        <w:rPr>
          <w:rFonts w:asciiTheme="majorBidi" w:hAnsiTheme="majorBidi" w:cstheme="majorBidi"/>
          <w:sz w:val="24"/>
          <w:szCs w:val="24"/>
        </w:rPr>
        <w:t>),</w:t>
      </w:r>
      <w:r w:rsidR="00F6039A" w:rsidRPr="009755B1">
        <w:rPr>
          <w:rFonts w:asciiTheme="majorBidi" w:hAnsiTheme="majorBidi" w:cstheme="majorBidi"/>
          <w:sz w:val="24"/>
          <w:szCs w:val="24"/>
        </w:rPr>
        <w:t xml:space="preserve"> </w:t>
      </w:r>
      <w:r w:rsidR="001D0915" w:rsidRPr="009755B1">
        <w:rPr>
          <w:rFonts w:asciiTheme="majorBidi" w:hAnsiTheme="majorBidi" w:cstheme="majorBidi"/>
          <w:sz w:val="24"/>
          <w:szCs w:val="24"/>
        </w:rPr>
        <w:t xml:space="preserve">and </w:t>
      </w:r>
      <w:r w:rsidR="00651F9A" w:rsidRPr="009755B1">
        <w:rPr>
          <w:rFonts w:asciiTheme="majorBidi" w:hAnsiTheme="majorBidi" w:cstheme="majorBidi"/>
          <w:sz w:val="24"/>
          <w:szCs w:val="24"/>
        </w:rPr>
        <w:t>Depression</w:t>
      </w:r>
      <w:r w:rsidR="004D3218" w:rsidRPr="009755B1">
        <w:rPr>
          <w:rFonts w:asciiTheme="majorBidi" w:hAnsiTheme="majorBidi" w:cstheme="majorBidi"/>
          <w:sz w:val="24"/>
          <w:szCs w:val="24"/>
        </w:rPr>
        <w:t xml:space="preserve"> </w:t>
      </w:r>
      <w:r w:rsidR="00AD081B" w:rsidRPr="009755B1">
        <w:rPr>
          <w:rFonts w:asciiTheme="majorBidi" w:hAnsiTheme="majorBidi" w:cstheme="majorBidi"/>
          <w:sz w:val="24"/>
          <w:szCs w:val="24"/>
        </w:rPr>
        <w:t>(</w:t>
      </w:r>
      <w:r w:rsidR="00651F9A" w:rsidRPr="009755B1">
        <w:rPr>
          <w:rFonts w:asciiTheme="majorBidi" w:hAnsiTheme="majorBidi" w:cstheme="majorBidi"/>
          <w:sz w:val="24"/>
          <w:szCs w:val="24"/>
        </w:rPr>
        <w:t>Questions 22 to 28</w:t>
      </w:r>
      <w:r w:rsidR="004D3218" w:rsidRPr="009755B1">
        <w:rPr>
          <w:rFonts w:asciiTheme="majorBidi" w:hAnsiTheme="majorBidi" w:cstheme="majorBidi"/>
          <w:sz w:val="24"/>
          <w:szCs w:val="24"/>
        </w:rPr>
        <w:t>)</w:t>
      </w:r>
      <w:r w:rsidR="00874C40" w:rsidRPr="009755B1">
        <w:rPr>
          <w:rFonts w:asciiTheme="majorBidi" w:hAnsiTheme="majorBidi" w:cstheme="majorBidi"/>
          <w:sz w:val="24"/>
          <w:szCs w:val="24"/>
        </w:rPr>
        <w:t xml:space="preserve"> (21)</w:t>
      </w:r>
      <w:r w:rsidR="004D3218" w:rsidRPr="009755B1">
        <w:rPr>
          <w:rFonts w:asciiTheme="majorBidi" w:hAnsiTheme="majorBidi" w:cstheme="majorBidi"/>
          <w:sz w:val="24"/>
          <w:szCs w:val="24"/>
        </w:rPr>
        <w:t>.</w:t>
      </w:r>
    </w:p>
    <w:p w14:paraId="1ADA6308" w14:textId="076822B2" w:rsidR="007C2B1D" w:rsidRPr="009755B1" w:rsidRDefault="00651F9A" w:rsidP="001F3728">
      <w:pPr>
        <w:bidi w:val="0"/>
        <w:spacing w:line="360" w:lineRule="auto"/>
        <w:ind w:left="720"/>
        <w:jc w:val="both"/>
        <w:rPr>
          <w:rFonts w:asciiTheme="majorBidi" w:hAnsiTheme="majorBidi" w:cstheme="majorBidi"/>
          <w:sz w:val="24"/>
          <w:szCs w:val="24"/>
        </w:rPr>
      </w:pPr>
      <w:r w:rsidRPr="009755B1">
        <w:rPr>
          <w:rFonts w:asciiTheme="majorBidi" w:hAnsiTheme="majorBidi" w:cstheme="majorBidi"/>
          <w:sz w:val="24"/>
          <w:szCs w:val="24"/>
        </w:rPr>
        <w:t>Scoring is based on a Likert scale with options ranging from 0 to 3, where the minimum score is 0 and the maximum score is 84. The validity and reliability of the General Health Questionnaire were tested in the study by Taghavi, where Cronbach's alpha was reported as 0.90 (22). For evaluating the general health of mothers with children with autism, Cronbach's alpha was calculated to be 0.89 (23).</w:t>
      </w:r>
    </w:p>
    <w:p w14:paraId="1EF99698" w14:textId="62846817" w:rsidR="00884850" w:rsidRPr="009755B1" w:rsidRDefault="00BC7961" w:rsidP="001F3728">
      <w:pPr>
        <w:bidi w:val="0"/>
        <w:spacing w:line="360" w:lineRule="auto"/>
        <w:ind w:left="720"/>
        <w:jc w:val="both"/>
        <w:rPr>
          <w:rFonts w:asciiTheme="majorBidi" w:hAnsiTheme="majorBidi" w:cstheme="majorBidi"/>
          <w:sz w:val="24"/>
          <w:szCs w:val="24"/>
        </w:rPr>
      </w:pPr>
      <w:r w:rsidRPr="009755B1">
        <w:rPr>
          <w:rFonts w:asciiTheme="majorBidi" w:hAnsiTheme="majorBidi" w:cstheme="majorBidi"/>
          <w:i/>
          <w:iCs/>
          <w:sz w:val="24"/>
          <w:szCs w:val="24"/>
        </w:rPr>
        <w:t>Sleep Quality Questionnaire</w:t>
      </w:r>
      <w:r w:rsidRPr="009755B1">
        <w:rPr>
          <w:rFonts w:asciiTheme="majorBidi" w:hAnsiTheme="majorBidi" w:cstheme="majorBidi"/>
          <w:sz w:val="24"/>
          <w:szCs w:val="24"/>
        </w:rPr>
        <w:t xml:space="preserve">: Pittsburgh Sleep Quality Index to assess sleep quality. </w:t>
      </w:r>
      <w:r w:rsidR="00884850" w:rsidRPr="009755B1">
        <w:rPr>
          <w:rFonts w:asciiTheme="majorBidi" w:hAnsiTheme="majorBidi" w:cstheme="majorBidi"/>
          <w:sz w:val="24"/>
          <w:szCs w:val="24"/>
        </w:rPr>
        <w:t xml:space="preserve">The Pittsburgh Sleep Quality Index (PSQI) was developed by Buysse et al. in 1989 and assesses sleep disturbances over the past month. This questionnaire consists of 19 questions and is divided into seven subscales, with scores for each subscale ranging from 0 to 3. The overall score is the mean of these seven subscales, </w:t>
      </w:r>
      <w:r w:rsidR="00A124B7" w:rsidRPr="009755B1">
        <w:rPr>
          <w:rFonts w:asciiTheme="majorBidi" w:hAnsiTheme="majorBidi" w:cstheme="majorBidi"/>
          <w:sz w:val="24"/>
          <w:szCs w:val="24"/>
        </w:rPr>
        <w:t>ranging</w:t>
      </w:r>
      <w:r w:rsidR="00884850" w:rsidRPr="009755B1">
        <w:rPr>
          <w:rFonts w:asciiTheme="majorBidi" w:hAnsiTheme="majorBidi" w:cstheme="majorBidi"/>
          <w:sz w:val="24"/>
          <w:szCs w:val="24"/>
        </w:rPr>
        <w:t xml:space="preserve"> from 0 to 21. Higher scores indicate poorer sleep quality, with a score of 5 or above indicating poor sleep quality and a score below 5 suggesting good sleep quality (24). In the Iranian version of the questionnaire, the validity was reported as 88% and reliability as 70% (25). The Cronbach's alpha for evaluating the sleep quality of mothers with children with autism was calculated as 0.86 (26).</w:t>
      </w:r>
    </w:p>
    <w:p w14:paraId="64706329" w14:textId="2C4F5F47" w:rsidR="00BC7961" w:rsidRPr="009755B1" w:rsidRDefault="00BC7961" w:rsidP="001F3728">
      <w:pPr>
        <w:bidi w:val="0"/>
        <w:spacing w:line="360" w:lineRule="auto"/>
        <w:ind w:left="720"/>
        <w:jc w:val="both"/>
        <w:rPr>
          <w:rFonts w:asciiTheme="majorBidi" w:hAnsiTheme="majorBidi" w:cstheme="majorBidi"/>
          <w:sz w:val="24"/>
          <w:szCs w:val="24"/>
        </w:rPr>
      </w:pPr>
      <w:r w:rsidRPr="009755B1">
        <w:rPr>
          <w:rFonts w:asciiTheme="majorBidi" w:hAnsiTheme="majorBidi" w:cstheme="majorBidi"/>
          <w:i/>
          <w:iCs/>
          <w:sz w:val="24"/>
          <w:szCs w:val="24"/>
        </w:rPr>
        <w:t>Resilience Questionnaire</w:t>
      </w:r>
      <w:r w:rsidRPr="009755B1">
        <w:rPr>
          <w:rFonts w:asciiTheme="majorBidi" w:hAnsiTheme="majorBidi" w:cstheme="majorBidi"/>
          <w:sz w:val="24"/>
          <w:szCs w:val="24"/>
        </w:rPr>
        <w:t xml:space="preserve">: </w:t>
      </w:r>
      <w:r w:rsidR="00A439AB" w:rsidRPr="009755B1">
        <w:rPr>
          <w:rFonts w:asciiTheme="majorBidi" w:hAnsiTheme="majorBidi" w:cstheme="majorBidi"/>
          <w:sz w:val="24"/>
          <w:szCs w:val="24"/>
        </w:rPr>
        <w:t>The Connor-Davidson Resilience Scale (CD-RISC), developed by Connor and Davidson in 2003, consists of 25 items. Responses are rated on a Likert scale from zero (not true at all) to five (true nearly all the time), with a minimum score of 0 and a maximum score of 100. Higher scores, closer to 100, indicate greater resilience (14). Connor and Davidson reported a Cronbach's alpha of 0.89 for the resilience scale</w:t>
      </w:r>
      <w:r w:rsidR="0035431D" w:rsidRPr="009755B1">
        <w:rPr>
          <w:rFonts w:asciiTheme="majorBidi" w:hAnsiTheme="majorBidi" w:cstheme="majorBidi"/>
          <w:sz w:val="24"/>
          <w:szCs w:val="24"/>
        </w:rPr>
        <w:t>;</w:t>
      </w:r>
      <w:r w:rsidR="00A439AB" w:rsidRPr="009755B1">
        <w:rPr>
          <w:rFonts w:asciiTheme="majorBidi" w:hAnsiTheme="majorBidi" w:cstheme="majorBidi"/>
          <w:sz w:val="24"/>
          <w:szCs w:val="24"/>
        </w:rPr>
        <w:t xml:space="preserve"> test-retest reliability over </w:t>
      </w:r>
      <w:r w:rsidR="00A124B7" w:rsidRPr="009755B1">
        <w:rPr>
          <w:rFonts w:asciiTheme="majorBidi" w:hAnsiTheme="majorBidi" w:cstheme="majorBidi"/>
          <w:sz w:val="24"/>
          <w:szCs w:val="24"/>
        </w:rPr>
        <w:t>one month</w:t>
      </w:r>
      <w:r w:rsidR="00A439AB" w:rsidRPr="009755B1">
        <w:rPr>
          <w:rFonts w:asciiTheme="majorBidi" w:hAnsiTheme="majorBidi" w:cstheme="majorBidi"/>
          <w:sz w:val="24"/>
          <w:szCs w:val="24"/>
        </w:rPr>
        <w:t xml:space="preserve"> was 0.87 (27). In 2005, Mohammadi adapted this scale for use in Iran, testing it on 248 individuals. The internal consistency reliability, measured by Cronbach's alpha, was found to be 0.89 (28). For evaluating the resilience of mothers with children with autism, Cronbach's alpha was calculated as 0.76 (29).</w:t>
      </w:r>
      <w:r w:rsidR="00C1251B" w:rsidRPr="009755B1">
        <w:t xml:space="preserve"> </w:t>
      </w:r>
      <w:r w:rsidR="00C1251B" w:rsidRPr="009755B1">
        <w:rPr>
          <w:rFonts w:asciiTheme="majorBidi" w:hAnsiTheme="majorBidi" w:cstheme="majorBidi"/>
          <w:sz w:val="24"/>
          <w:szCs w:val="24"/>
        </w:rPr>
        <w:t>The instruments used in this study are provided in the Supplementary Materials.</w:t>
      </w:r>
    </w:p>
    <w:p w14:paraId="76A46C6A" w14:textId="76AF1490" w:rsidR="00243524" w:rsidRPr="009755B1" w:rsidRDefault="00235B77" w:rsidP="001F3728">
      <w:pPr>
        <w:bidi w:val="0"/>
        <w:spacing w:line="360" w:lineRule="auto"/>
        <w:ind w:left="720"/>
        <w:jc w:val="both"/>
        <w:rPr>
          <w:rFonts w:asciiTheme="majorBidi" w:hAnsiTheme="majorBidi" w:cstheme="majorBidi"/>
          <w:b/>
          <w:bCs/>
          <w:sz w:val="24"/>
          <w:szCs w:val="24"/>
        </w:rPr>
      </w:pPr>
      <w:r w:rsidRPr="009755B1">
        <w:rPr>
          <w:rFonts w:asciiTheme="majorBidi" w:hAnsiTheme="majorBidi" w:cstheme="majorBidi"/>
          <w:b/>
          <w:bCs/>
          <w:sz w:val="24"/>
          <w:szCs w:val="24"/>
        </w:rPr>
        <w:t>Intervention</w:t>
      </w:r>
    </w:p>
    <w:p w14:paraId="25BE7D7E" w14:textId="35218450" w:rsidR="005445BB" w:rsidRPr="009755B1" w:rsidRDefault="005445BB" w:rsidP="005445BB">
      <w:pPr>
        <w:bidi w:val="0"/>
        <w:spacing w:line="360" w:lineRule="auto"/>
        <w:ind w:left="720"/>
        <w:jc w:val="both"/>
        <w:rPr>
          <w:rFonts w:asciiTheme="majorBidi" w:hAnsiTheme="majorBidi" w:cstheme="majorBidi"/>
          <w:sz w:val="24"/>
          <w:szCs w:val="24"/>
          <w:rtl/>
        </w:rPr>
      </w:pPr>
      <w:r w:rsidRPr="009755B1">
        <w:rPr>
          <w:rFonts w:asciiTheme="majorBidi" w:hAnsiTheme="majorBidi" w:cstheme="majorBidi"/>
          <w:sz w:val="24"/>
          <w:szCs w:val="24"/>
          <w:lang w:val="en"/>
        </w:rPr>
        <w:t xml:space="preserve">The educational content was developed through a systematic process initiated by a needs assessment. This assessment involved focus group discussions with the participant mothers and professional consultations with psychologists from the involved rehabilitation centers to identify specific information gaps. Subsequently, the standardized ‘Healthy Lifestyle (Self-Care Guide for Families)’ educational package, provided by the Ministry of Health and Medical Education (Persian version), was utilized and tailored to address the identified needs.As outlined in the study procedure flowchart (Figure 2), following eligibility screening and baseline assessment, participants were randomly allocated to the telehealth intervention or control group. Assessments were conducted at baseline (in-person), immediately post-intervention (online), and at a two-month follow-up (online), after which educational materials were provided to the control group. A total of 80 participants completed all evaluation phases without attrition </w:t>
      </w:r>
      <w:r w:rsidR="00B1282C" w:rsidRPr="009755B1">
        <w:rPr>
          <w:rFonts w:asciiTheme="majorBidi" w:hAnsiTheme="majorBidi" w:cstheme="majorBidi"/>
          <w:sz w:val="24"/>
          <w:szCs w:val="24"/>
          <w:lang w:val="en"/>
        </w:rPr>
        <w:t>Table</w:t>
      </w:r>
      <w:r w:rsidRPr="009755B1">
        <w:rPr>
          <w:rFonts w:asciiTheme="majorBidi" w:hAnsiTheme="majorBidi" w:cstheme="majorBidi"/>
          <w:sz w:val="24"/>
          <w:szCs w:val="24"/>
          <w:lang w:val="en"/>
        </w:rPr>
        <w:t xml:space="preserve"> </w:t>
      </w:r>
      <w:r w:rsidR="00B1282C" w:rsidRPr="009755B1">
        <w:rPr>
          <w:rFonts w:asciiTheme="majorBidi" w:hAnsiTheme="majorBidi" w:cstheme="majorBidi" w:hint="cs"/>
          <w:sz w:val="24"/>
          <w:szCs w:val="24"/>
          <w:rtl/>
          <w:lang w:val="en"/>
        </w:rPr>
        <w:t>1</w:t>
      </w:r>
      <w:r w:rsidR="00B1282C" w:rsidRPr="009755B1">
        <w:rPr>
          <w:rFonts w:asciiTheme="majorBidi" w:hAnsiTheme="majorBidi" w:cstheme="majorBidi"/>
          <w:sz w:val="24"/>
          <w:szCs w:val="24"/>
          <w:lang w:val="en"/>
        </w:rPr>
        <w:t xml:space="preserve"> summarizes the titles of the educational content provided to the participants</w:t>
      </w:r>
      <w:r w:rsidRPr="009755B1">
        <w:rPr>
          <w:rFonts w:asciiTheme="majorBidi" w:hAnsiTheme="majorBidi" w:cstheme="majorBidi"/>
          <w:sz w:val="24"/>
          <w:szCs w:val="24"/>
          <w:lang w:val="en"/>
        </w:rPr>
        <w:t>.</w:t>
      </w:r>
      <w:r w:rsidRPr="009755B1">
        <w:rPr>
          <w:rFonts w:asciiTheme="majorBidi" w:hAnsiTheme="majorBidi" w:cstheme="majorBidi"/>
          <w:sz w:val="24"/>
          <w:szCs w:val="24"/>
        </w:rPr>
        <w:t xml:space="preserve"> (3).</w:t>
      </w:r>
      <w:r w:rsidRPr="009755B1">
        <w:t xml:space="preserve"> </w:t>
      </w:r>
      <w:r w:rsidRPr="009755B1">
        <w:rPr>
          <w:rFonts w:asciiTheme="majorBidi" w:hAnsiTheme="majorBidi" w:cstheme="majorBidi"/>
          <w:sz w:val="24"/>
          <w:szCs w:val="24"/>
        </w:rPr>
        <w:t>At the beginning of the study, and after obtaining informed consent, both the intervention and control groups completed the pre-test.</w:t>
      </w:r>
    </w:p>
    <w:p w14:paraId="5716F407" w14:textId="770E6D77" w:rsidR="00390FAC" w:rsidRPr="009755B1" w:rsidRDefault="00390FAC" w:rsidP="00390FAC">
      <w:pPr>
        <w:bidi w:val="0"/>
        <w:spacing w:line="360" w:lineRule="auto"/>
        <w:ind w:left="720"/>
        <w:jc w:val="center"/>
        <w:rPr>
          <w:rFonts w:asciiTheme="majorBidi" w:hAnsiTheme="majorBidi" w:cstheme="majorBidi"/>
          <w:sz w:val="24"/>
          <w:szCs w:val="24"/>
          <w:rtl/>
        </w:rPr>
      </w:pPr>
      <w:r w:rsidRPr="009755B1">
        <w:rPr>
          <w:rFonts w:asciiTheme="majorBidi" w:hAnsiTheme="majorBidi" w:cstheme="majorBidi"/>
          <w:sz w:val="24"/>
          <w:szCs w:val="24"/>
        </w:rPr>
        <w:t>Figure2: Seven-Step Framework for the Design, Implementation, and Evaluation of a Clinical Trial</w:t>
      </w:r>
    </w:p>
    <w:p w14:paraId="68759708" w14:textId="4B663390" w:rsidR="00390FAC" w:rsidRPr="009755B1" w:rsidRDefault="00390FAC" w:rsidP="00390FAC">
      <w:pPr>
        <w:bidi w:val="0"/>
        <w:spacing w:line="360" w:lineRule="auto"/>
        <w:ind w:left="720"/>
        <w:jc w:val="both"/>
        <w:rPr>
          <w:rFonts w:asciiTheme="majorBidi" w:hAnsiTheme="majorBidi" w:cstheme="majorBidi"/>
          <w:sz w:val="24"/>
          <w:szCs w:val="24"/>
        </w:rPr>
      </w:pPr>
      <w:r w:rsidRPr="009755B1">
        <w:rPr>
          <w:rFonts w:asciiTheme="majorBidi" w:hAnsiTheme="majorBidi" w:cstheme="majorBidi"/>
          <w:noProof/>
          <w:sz w:val="24"/>
          <w:szCs w:val="24"/>
        </w:rPr>
        <w:drawing>
          <wp:inline distT="0" distB="0" distL="0" distR="0" wp14:anchorId="6EFE125E" wp14:editId="43FC917D">
            <wp:extent cx="11534775" cy="6614795"/>
            <wp:effectExtent l="0" t="0" r="9525" b="0"/>
            <wp:docPr id="6681923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34775" cy="6614795"/>
                    </a:xfrm>
                    <a:prstGeom prst="rect">
                      <a:avLst/>
                    </a:prstGeom>
                    <a:noFill/>
                  </pic:spPr>
                </pic:pic>
              </a:graphicData>
            </a:graphic>
          </wp:inline>
        </w:drawing>
      </w:r>
    </w:p>
    <w:p w14:paraId="614FC26C" w14:textId="77777777" w:rsidR="00390FAC" w:rsidRPr="009755B1" w:rsidRDefault="00390FAC" w:rsidP="00390FAC">
      <w:pPr>
        <w:bidi w:val="0"/>
        <w:spacing w:line="360" w:lineRule="auto"/>
        <w:ind w:left="720"/>
        <w:jc w:val="both"/>
        <w:rPr>
          <w:rFonts w:asciiTheme="majorBidi" w:hAnsiTheme="majorBidi" w:cstheme="majorBidi"/>
          <w:sz w:val="24"/>
          <w:szCs w:val="24"/>
        </w:rPr>
      </w:pPr>
    </w:p>
    <w:p w14:paraId="17E10FEF" w14:textId="77777777" w:rsidR="005445BB" w:rsidRPr="009755B1" w:rsidRDefault="005445BB" w:rsidP="005445BB">
      <w:pPr>
        <w:bidi w:val="0"/>
        <w:spacing w:line="360" w:lineRule="auto"/>
        <w:ind w:left="720"/>
        <w:jc w:val="both"/>
        <w:rPr>
          <w:rFonts w:asciiTheme="majorBidi" w:hAnsiTheme="majorBidi" w:cstheme="majorBidi"/>
          <w:sz w:val="24"/>
          <w:szCs w:val="24"/>
        </w:rPr>
      </w:pPr>
      <w:r w:rsidRPr="009755B1">
        <w:rPr>
          <w:rFonts w:asciiTheme="majorBidi" w:hAnsiTheme="majorBidi" w:cstheme="majorBidi"/>
          <w:sz w:val="24"/>
          <w:szCs w:val="24"/>
        </w:rPr>
        <w:t>A virtual group was created on an Iranian social network” BALE” to communicate and follow up with the intervention group. Next, mothers were instructed to seek assistance from the researcher for any software issues before the educational sessions. Before each session, the schedule was communicated to participants through the virtual group. Additionally, individual SMS reminders were sent to all participants regarding the time and date of the online sessions.</w:t>
      </w:r>
    </w:p>
    <w:p w14:paraId="302D1067" w14:textId="77777777" w:rsidR="005445BB" w:rsidRPr="009755B1" w:rsidRDefault="005445BB" w:rsidP="005445BB">
      <w:pPr>
        <w:bidi w:val="0"/>
        <w:spacing w:line="360" w:lineRule="auto"/>
        <w:ind w:left="720"/>
        <w:jc w:val="both"/>
        <w:rPr>
          <w:rFonts w:asciiTheme="majorBidi" w:hAnsiTheme="majorBidi" w:cstheme="majorBidi"/>
          <w:sz w:val="24"/>
          <w:szCs w:val="24"/>
        </w:rPr>
      </w:pPr>
      <w:r w:rsidRPr="009755B1">
        <w:rPr>
          <w:rFonts w:asciiTheme="majorBidi" w:hAnsiTheme="majorBidi" w:cstheme="majorBidi"/>
          <w:sz w:val="24"/>
          <w:szCs w:val="24"/>
        </w:rPr>
        <w:t>Forty participants from the intervention group attended the virtual classes simultaneously.</w:t>
      </w:r>
      <w:r w:rsidRPr="009755B1">
        <w:rPr>
          <w:rFonts w:asciiTheme="majorBidi" w:hAnsiTheme="majorBidi" w:cstheme="majorBidi"/>
        </w:rPr>
        <w:t xml:space="preserve"> </w:t>
      </w:r>
      <w:r w:rsidRPr="009755B1">
        <w:rPr>
          <w:rFonts w:asciiTheme="majorBidi" w:eastAsia="Yu Mincho Light" w:hAnsiTheme="majorBidi" w:cstheme="majorBidi"/>
          <w:sz w:val="24"/>
          <w:szCs w:val="24"/>
        </w:rPr>
        <w:t>11</w:t>
      </w:r>
      <w:r w:rsidRPr="009755B1">
        <w:rPr>
          <w:rFonts w:asciiTheme="majorBidi" w:hAnsiTheme="majorBidi" w:cstheme="majorBidi"/>
          <w:sz w:val="24"/>
          <w:szCs w:val="24"/>
        </w:rPr>
        <w:t xml:space="preserve"> virtual sessions </w:t>
      </w:r>
      <w:r w:rsidRPr="009755B1">
        <w:rPr>
          <w:rFonts w:asciiTheme="majorBidi" w:eastAsia="Yu Mincho Light" w:hAnsiTheme="majorBidi" w:cstheme="majorBidi"/>
          <w:sz w:val="24"/>
          <w:szCs w:val="24"/>
        </w:rPr>
        <w:t>(65</w:t>
      </w:r>
      <w:r w:rsidRPr="009755B1">
        <w:rPr>
          <w:rFonts w:asciiTheme="majorBidi" w:hAnsiTheme="majorBidi" w:cstheme="majorBidi"/>
          <w:sz w:val="24"/>
          <w:szCs w:val="24"/>
        </w:rPr>
        <w:t xml:space="preserve"> min) were conducted each week. Attendance was recorded at the end of each session, and mothers were encouraged to ask the researcher any questions. For those who missed sessions, telephone coordination was used to arrange separate virtual meetings after the main session.</w:t>
      </w:r>
    </w:p>
    <w:p w14:paraId="4BDB0B52" w14:textId="77777777" w:rsidR="005445BB" w:rsidRPr="009755B1" w:rsidRDefault="005445BB" w:rsidP="005445BB">
      <w:pPr>
        <w:bidi w:val="0"/>
        <w:spacing w:line="360" w:lineRule="auto"/>
        <w:ind w:left="720"/>
        <w:jc w:val="both"/>
        <w:rPr>
          <w:rFonts w:asciiTheme="majorBidi" w:hAnsiTheme="majorBidi" w:cstheme="majorBidi"/>
          <w:sz w:val="24"/>
          <w:szCs w:val="24"/>
        </w:rPr>
      </w:pPr>
      <w:r w:rsidRPr="009755B1">
        <w:rPr>
          <w:rFonts w:asciiTheme="majorBidi" w:hAnsiTheme="majorBidi" w:cstheme="majorBidi"/>
          <w:sz w:val="24"/>
          <w:szCs w:val="24"/>
        </w:rPr>
        <w:t>Following the intervention, both the intervention and control groups completed post-tests. The next phase involved follow-up, during which the intervention group was contacted via SMS and telephone for up to two months to address any questions regarding the educational content provided.</w:t>
      </w:r>
    </w:p>
    <w:p w14:paraId="2D4E22B4" w14:textId="77777777" w:rsidR="005445BB" w:rsidRPr="009755B1" w:rsidRDefault="005445BB" w:rsidP="005445BB">
      <w:pPr>
        <w:bidi w:val="0"/>
        <w:spacing w:line="360" w:lineRule="auto"/>
        <w:ind w:left="720"/>
        <w:jc w:val="both"/>
        <w:rPr>
          <w:rFonts w:asciiTheme="majorBidi" w:hAnsiTheme="majorBidi" w:cstheme="majorBidi"/>
          <w:sz w:val="24"/>
          <w:szCs w:val="24"/>
          <w:rtl/>
        </w:rPr>
      </w:pPr>
      <w:r w:rsidRPr="009755B1">
        <w:rPr>
          <w:rFonts w:asciiTheme="majorBidi" w:hAnsiTheme="majorBidi" w:cstheme="majorBidi"/>
          <w:sz w:val="24"/>
          <w:szCs w:val="24"/>
        </w:rPr>
        <w:t>Finally, two months after the intervention and completion of the post-tests, a separate virtual group on the Iranian social media platform was created for the control group to adhere to ethical principles. The virtual content and all educational materials, including voice-over PowerPoint presentations, videos, and educational images, were provided to the control group. Baseline questionnaires were completed in person by participants in both the intervention and control groups during the initial study session at the participating centers. Immediately after completion of the intervention, both groups completed the post-intervention questionnaires online using the Porsline platform. The two-month follow-up questionnaires were also administered online to both groups through the same platform. No participants were lost to follow-up; therefore, all 80 randomized participants completed all three assessments and were included in the final analysis.</w:t>
      </w:r>
    </w:p>
    <w:p w14:paraId="16CD583B" w14:textId="18523E9C" w:rsidR="00015AFE" w:rsidRPr="009755B1" w:rsidRDefault="00B1282C" w:rsidP="00B1282C">
      <w:pPr>
        <w:bidi w:val="0"/>
        <w:spacing w:line="360" w:lineRule="auto"/>
        <w:jc w:val="both"/>
        <w:rPr>
          <w:rFonts w:asciiTheme="majorBidi" w:hAnsiTheme="majorBidi" w:cstheme="majorBidi"/>
          <w:sz w:val="24"/>
          <w:szCs w:val="24"/>
        </w:rPr>
      </w:pPr>
      <w:r w:rsidRPr="009755B1">
        <w:rPr>
          <w:rFonts w:asciiTheme="majorBidi" w:hAnsiTheme="majorBidi" w:cstheme="majorBidi"/>
          <w:sz w:val="24"/>
          <w:szCs w:val="24"/>
        </w:rPr>
        <w:t xml:space="preserve">                       Table</w:t>
      </w:r>
      <w:r w:rsidR="00015AFE" w:rsidRPr="009755B1">
        <w:rPr>
          <w:rFonts w:asciiTheme="majorBidi" w:hAnsiTheme="majorBidi" w:cstheme="majorBidi"/>
          <w:sz w:val="24"/>
          <w:szCs w:val="24"/>
        </w:rPr>
        <w:t xml:space="preserve"> 1: Contents of Educational Sessions</w:t>
      </w:r>
    </w:p>
    <w:tbl>
      <w:tblPr>
        <w:tblStyle w:val="TableGrid"/>
        <w:tblW w:w="0" w:type="auto"/>
        <w:tblInd w:w="720" w:type="dxa"/>
        <w:tblLook w:val="04A0" w:firstRow="1" w:lastRow="0" w:firstColumn="1" w:lastColumn="0" w:noHBand="0" w:noVBand="1"/>
      </w:tblPr>
      <w:tblGrid>
        <w:gridCol w:w="1118"/>
        <w:gridCol w:w="6089"/>
      </w:tblGrid>
      <w:tr w:rsidR="008021A8" w:rsidRPr="009755B1" w14:paraId="11ECB0C2" w14:textId="77777777" w:rsidTr="00B71767">
        <w:tc>
          <w:tcPr>
            <w:tcW w:w="1118" w:type="dxa"/>
          </w:tcPr>
          <w:p w14:paraId="242AEBAA" w14:textId="0E28A2BC" w:rsidR="008021A8" w:rsidRPr="009755B1" w:rsidRDefault="008021A8" w:rsidP="001F3728">
            <w:pPr>
              <w:bidi w:val="0"/>
              <w:spacing w:line="360" w:lineRule="auto"/>
              <w:jc w:val="both"/>
              <w:rPr>
                <w:rFonts w:asciiTheme="majorBidi" w:hAnsiTheme="majorBidi" w:cstheme="majorBidi"/>
                <w:b/>
                <w:bCs/>
                <w:sz w:val="24"/>
                <w:szCs w:val="24"/>
              </w:rPr>
            </w:pPr>
            <w:r w:rsidRPr="009755B1">
              <w:rPr>
                <w:rFonts w:asciiTheme="majorBidi" w:hAnsiTheme="majorBidi" w:cstheme="majorBidi"/>
                <w:b/>
                <w:bCs/>
              </w:rPr>
              <w:t>Sessions</w:t>
            </w:r>
          </w:p>
        </w:tc>
        <w:tc>
          <w:tcPr>
            <w:tcW w:w="6089" w:type="dxa"/>
          </w:tcPr>
          <w:p w14:paraId="1D9FAE41" w14:textId="47F7B61A" w:rsidR="008021A8" w:rsidRPr="009755B1" w:rsidRDefault="008021A8" w:rsidP="001F3728">
            <w:pPr>
              <w:bidi w:val="0"/>
              <w:spacing w:line="360" w:lineRule="auto"/>
              <w:jc w:val="both"/>
              <w:rPr>
                <w:rFonts w:asciiTheme="majorBidi" w:hAnsiTheme="majorBidi" w:cstheme="majorBidi"/>
                <w:b/>
                <w:bCs/>
                <w:sz w:val="24"/>
                <w:szCs w:val="24"/>
              </w:rPr>
            </w:pPr>
            <w:r w:rsidRPr="009755B1">
              <w:rPr>
                <w:rFonts w:asciiTheme="majorBidi" w:hAnsiTheme="majorBidi" w:cstheme="majorBidi"/>
                <w:b/>
                <w:bCs/>
              </w:rPr>
              <w:t>Topic and Content of Sessions</w:t>
            </w:r>
          </w:p>
        </w:tc>
      </w:tr>
      <w:tr w:rsidR="008021A8" w:rsidRPr="009755B1" w14:paraId="07BFE136" w14:textId="77777777" w:rsidTr="00B71767">
        <w:tc>
          <w:tcPr>
            <w:tcW w:w="1118" w:type="dxa"/>
          </w:tcPr>
          <w:p w14:paraId="4045BE58" w14:textId="0511D8F1"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Section 1</w:t>
            </w:r>
          </w:p>
        </w:tc>
        <w:tc>
          <w:tcPr>
            <w:tcW w:w="6089" w:type="dxa"/>
          </w:tcPr>
          <w:p w14:paraId="4EA414D4" w14:textId="1048B596" w:rsidR="008021A8" w:rsidRPr="009755B1" w:rsidRDefault="00B71767" w:rsidP="001F3728">
            <w:pPr>
              <w:bidi w:val="0"/>
              <w:spacing w:line="360" w:lineRule="auto"/>
              <w:jc w:val="both"/>
              <w:rPr>
                <w:rFonts w:asciiTheme="majorBidi" w:hAnsiTheme="majorBidi" w:cstheme="majorBidi"/>
                <w:sz w:val="24"/>
                <w:szCs w:val="24"/>
              </w:rPr>
            </w:pPr>
            <w:r w:rsidRPr="009755B1">
              <w:t>Introduction to the research project and its objectives, initial meeting with the participating mothers, obtaining written informed consent, and in-person completion of the baseline questionnaires (pre-test).</w:t>
            </w:r>
          </w:p>
        </w:tc>
      </w:tr>
      <w:tr w:rsidR="008021A8" w:rsidRPr="009755B1" w14:paraId="5C19DD6A" w14:textId="77777777" w:rsidTr="00B71767">
        <w:tc>
          <w:tcPr>
            <w:tcW w:w="1118" w:type="dxa"/>
          </w:tcPr>
          <w:p w14:paraId="672F8013" w14:textId="0BBD3289"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Section 2</w:t>
            </w:r>
          </w:p>
        </w:tc>
        <w:tc>
          <w:tcPr>
            <w:tcW w:w="6089" w:type="dxa"/>
          </w:tcPr>
          <w:p w14:paraId="2451403B" w14:textId="757DBBEC" w:rsidR="008021A8" w:rsidRPr="009755B1" w:rsidRDefault="008021A8" w:rsidP="00875DAD">
            <w:pPr>
              <w:bidi w:val="0"/>
              <w:spacing w:line="360" w:lineRule="auto"/>
              <w:jc w:val="both"/>
              <w:rPr>
                <w:rFonts w:asciiTheme="majorBidi" w:hAnsiTheme="majorBidi" w:cstheme="majorBidi"/>
                <w:sz w:val="24"/>
                <w:szCs w:val="24"/>
              </w:rPr>
            </w:pPr>
            <w:r w:rsidRPr="009755B1">
              <w:rPr>
                <w:rFonts w:asciiTheme="majorBidi" w:hAnsiTheme="majorBidi" w:cstheme="majorBidi"/>
              </w:rPr>
              <w:t xml:space="preserve">Principles of </w:t>
            </w:r>
            <w:r w:rsidR="00875DAD" w:rsidRPr="009755B1">
              <w:rPr>
                <w:rFonts w:asciiTheme="majorBidi" w:hAnsiTheme="majorBidi" w:cstheme="majorBidi"/>
              </w:rPr>
              <w:t>promoting</w:t>
            </w:r>
            <w:r w:rsidRPr="009755B1">
              <w:rPr>
                <w:rFonts w:asciiTheme="majorBidi" w:hAnsiTheme="majorBidi" w:cstheme="majorBidi"/>
              </w:rPr>
              <w:t xml:space="preserve"> general health, including the importance of proper nutrition and food hygiene, and the significance and impact of physical activity on health</w:t>
            </w:r>
          </w:p>
        </w:tc>
      </w:tr>
      <w:tr w:rsidR="008021A8" w:rsidRPr="009755B1" w14:paraId="21E09C3D" w14:textId="77777777" w:rsidTr="00B71767">
        <w:tc>
          <w:tcPr>
            <w:tcW w:w="1118" w:type="dxa"/>
          </w:tcPr>
          <w:p w14:paraId="67501E5F" w14:textId="19218AE5"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Section 3</w:t>
            </w:r>
          </w:p>
        </w:tc>
        <w:tc>
          <w:tcPr>
            <w:tcW w:w="6089" w:type="dxa"/>
          </w:tcPr>
          <w:p w14:paraId="07AA0DD0" w14:textId="35FC6B8D"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Introduction to sleep hygiene principles and concepts, training on behavioral interventions such as relaxation and mental imagery to improve sleep quality</w:t>
            </w:r>
          </w:p>
        </w:tc>
      </w:tr>
      <w:tr w:rsidR="008021A8" w:rsidRPr="009755B1" w14:paraId="77478F26" w14:textId="77777777" w:rsidTr="00B71767">
        <w:tc>
          <w:tcPr>
            <w:tcW w:w="1118" w:type="dxa"/>
          </w:tcPr>
          <w:p w14:paraId="40D68210" w14:textId="6E994B49"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Section 4</w:t>
            </w:r>
          </w:p>
        </w:tc>
        <w:tc>
          <w:tcPr>
            <w:tcW w:w="6089" w:type="dxa"/>
          </w:tcPr>
          <w:p w14:paraId="0048789B" w14:textId="76F99D20"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Definition of resilience and introduction to the characteristics of resilient individuals, strategies for recognizing unpleasant life situations, and increasing adaptability and endurance in the individual domain</w:t>
            </w:r>
          </w:p>
        </w:tc>
      </w:tr>
      <w:tr w:rsidR="008021A8" w:rsidRPr="009755B1" w14:paraId="5A30D0E9" w14:textId="77777777" w:rsidTr="00B71767">
        <w:tc>
          <w:tcPr>
            <w:tcW w:w="1118" w:type="dxa"/>
          </w:tcPr>
          <w:p w14:paraId="0F4B9188" w14:textId="749DC756"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Section 5</w:t>
            </w:r>
          </w:p>
        </w:tc>
        <w:tc>
          <w:tcPr>
            <w:tcW w:w="6089" w:type="dxa"/>
          </w:tcPr>
          <w:p w14:paraId="611ABF7C" w14:textId="0B1BBB71"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Introduction to ways of building resilience, including goal-setting and hope for the future, understanding thinking styles</w:t>
            </w:r>
            <w:r w:rsidR="004E1309" w:rsidRPr="009755B1">
              <w:rPr>
                <w:rFonts w:asciiTheme="majorBidi" w:hAnsiTheme="majorBidi" w:cstheme="majorBidi"/>
              </w:rPr>
              <w:t>,</w:t>
            </w:r>
            <w:r w:rsidRPr="009755B1">
              <w:rPr>
                <w:rFonts w:asciiTheme="majorBidi" w:hAnsiTheme="majorBidi" w:cstheme="majorBidi"/>
              </w:rPr>
              <w:t xml:space="preserve"> and emphasizing the role of optimistic thinking, self-awareness, self-esteem, and fostering self-confidence</w:t>
            </w:r>
          </w:p>
        </w:tc>
      </w:tr>
      <w:tr w:rsidR="008021A8" w:rsidRPr="009755B1" w14:paraId="34539A66" w14:textId="77777777" w:rsidTr="00B71767">
        <w:tc>
          <w:tcPr>
            <w:tcW w:w="1118" w:type="dxa"/>
          </w:tcPr>
          <w:p w14:paraId="1DCB64D2" w14:textId="4D65DB5E"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Section 6</w:t>
            </w:r>
          </w:p>
        </w:tc>
        <w:tc>
          <w:tcPr>
            <w:tcW w:w="6089" w:type="dxa"/>
          </w:tcPr>
          <w:p w14:paraId="1EE78E87" w14:textId="651A7AAB"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Continuation of resilience-building strategies, including establishing and maintaining connections with others, emphasizing the importance of positive relationships and attitudes toward them, accepting change, understanding individual differences in perception, self-care, and managing stress</w:t>
            </w:r>
          </w:p>
        </w:tc>
      </w:tr>
      <w:tr w:rsidR="008021A8" w:rsidRPr="009755B1" w14:paraId="54013568" w14:textId="77777777" w:rsidTr="00B71767">
        <w:tc>
          <w:tcPr>
            <w:tcW w:w="1118" w:type="dxa"/>
          </w:tcPr>
          <w:p w14:paraId="06570E3B" w14:textId="524E085D"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Section 7</w:t>
            </w:r>
          </w:p>
        </w:tc>
        <w:tc>
          <w:tcPr>
            <w:tcW w:w="6089" w:type="dxa"/>
          </w:tcPr>
          <w:p w14:paraId="54C9925F" w14:textId="2E2AEECD"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Introduction to life skills, including self-awareness skills: defining and understanding the components of self-awareness, recognizing strengths and weaknesses, and accurately assessing situations; effective communication skills: understanding message elements and context, introducing verbal and non-verbal messages, and training communication styles and barriers</w:t>
            </w:r>
          </w:p>
        </w:tc>
      </w:tr>
      <w:tr w:rsidR="008021A8" w:rsidRPr="009755B1" w14:paraId="5C6B3655" w14:textId="77777777" w:rsidTr="00B71767">
        <w:tc>
          <w:tcPr>
            <w:tcW w:w="1118" w:type="dxa"/>
          </w:tcPr>
          <w:p w14:paraId="4D6AAA07" w14:textId="211E7615"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Section 8</w:t>
            </w:r>
          </w:p>
        </w:tc>
        <w:tc>
          <w:tcPr>
            <w:tcW w:w="6089" w:type="dxa"/>
          </w:tcPr>
          <w:p w14:paraId="1009A0D1" w14:textId="5A00A913"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Empathy skills: training on active listening and addressing barriers to active listening; stress management: identifying potential stressors, teaching coping strategies, permissible ways of expressing anger, and control methods</w:t>
            </w:r>
          </w:p>
        </w:tc>
      </w:tr>
      <w:tr w:rsidR="008021A8" w:rsidRPr="009755B1" w14:paraId="6AC13C6F" w14:textId="77777777" w:rsidTr="00B71767">
        <w:tc>
          <w:tcPr>
            <w:tcW w:w="1118" w:type="dxa"/>
          </w:tcPr>
          <w:p w14:paraId="181054DD" w14:textId="564747FB"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Section 9</w:t>
            </w:r>
          </w:p>
        </w:tc>
        <w:tc>
          <w:tcPr>
            <w:tcW w:w="6089" w:type="dxa"/>
          </w:tcPr>
          <w:p w14:paraId="45947109" w14:textId="15AAF188"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Assertiveness skills: training on saying no, explaining behavior reasons, examining logical request methods</w:t>
            </w:r>
            <w:r w:rsidR="000B7C89" w:rsidRPr="009755B1">
              <w:rPr>
                <w:rFonts w:asciiTheme="majorBidi" w:hAnsiTheme="majorBidi" w:cstheme="majorBidi"/>
              </w:rPr>
              <w:t>,</w:t>
            </w:r>
            <w:r w:rsidRPr="009755B1">
              <w:rPr>
                <w:rFonts w:asciiTheme="majorBidi" w:hAnsiTheme="majorBidi" w:cstheme="majorBidi"/>
              </w:rPr>
              <w:t xml:space="preserve"> and expressing problems considering the current situation; problem-solving skills: defining problems, identifying deterrent factors, and designing and implementing the best solution</w:t>
            </w:r>
          </w:p>
        </w:tc>
      </w:tr>
      <w:tr w:rsidR="008021A8" w:rsidRPr="009755B1" w14:paraId="6B820236" w14:textId="77777777" w:rsidTr="00B71767">
        <w:tc>
          <w:tcPr>
            <w:tcW w:w="1118" w:type="dxa"/>
          </w:tcPr>
          <w:p w14:paraId="12386A2F" w14:textId="547C632A"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Section 10</w:t>
            </w:r>
          </w:p>
        </w:tc>
        <w:tc>
          <w:tcPr>
            <w:tcW w:w="6089" w:type="dxa"/>
          </w:tcPr>
          <w:p w14:paraId="194E4A38" w14:textId="42F5241D"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Decision-making skills: factors affecting decision-making and training on decision-making styles; creative and critical thinking skills: reviewing, using cues, and avoiding fault-finding.</w:t>
            </w:r>
          </w:p>
        </w:tc>
      </w:tr>
      <w:tr w:rsidR="008021A8" w:rsidRPr="009755B1" w14:paraId="2C62033B" w14:textId="77777777" w:rsidTr="00B71767">
        <w:tc>
          <w:tcPr>
            <w:tcW w:w="1118" w:type="dxa"/>
          </w:tcPr>
          <w:p w14:paraId="759BB079" w14:textId="51774EEA"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Section 11</w:t>
            </w:r>
          </w:p>
        </w:tc>
        <w:tc>
          <w:tcPr>
            <w:tcW w:w="6089" w:type="dxa"/>
          </w:tcPr>
          <w:p w14:paraId="70CE10A8" w14:textId="0705E551" w:rsidR="008021A8" w:rsidRPr="009755B1" w:rsidRDefault="008021A8" w:rsidP="001F3728">
            <w:pPr>
              <w:bidi w:val="0"/>
              <w:spacing w:line="360" w:lineRule="auto"/>
              <w:jc w:val="both"/>
              <w:rPr>
                <w:rFonts w:asciiTheme="majorBidi" w:hAnsiTheme="majorBidi" w:cstheme="majorBidi"/>
                <w:sz w:val="24"/>
                <w:szCs w:val="24"/>
              </w:rPr>
            </w:pPr>
            <w:r w:rsidRPr="009755B1">
              <w:rPr>
                <w:rFonts w:asciiTheme="majorBidi" w:hAnsiTheme="majorBidi" w:cstheme="majorBidi"/>
              </w:rPr>
              <w:t>Summary of content, answering questions, and completing post-</w:t>
            </w:r>
            <w:r w:rsidR="001145C0" w:rsidRPr="009755B1">
              <w:rPr>
                <w:rFonts w:asciiTheme="majorBidi" w:hAnsiTheme="majorBidi" w:cstheme="majorBidi"/>
              </w:rPr>
              <w:t>test</w:t>
            </w:r>
          </w:p>
        </w:tc>
      </w:tr>
    </w:tbl>
    <w:p w14:paraId="159C04FB" w14:textId="77777777" w:rsidR="00C314A7" w:rsidRPr="009755B1" w:rsidRDefault="00C314A7" w:rsidP="001F3728">
      <w:pPr>
        <w:bidi w:val="0"/>
        <w:spacing w:line="360" w:lineRule="auto"/>
        <w:ind w:left="720"/>
        <w:jc w:val="both"/>
        <w:rPr>
          <w:rFonts w:asciiTheme="majorBidi" w:hAnsiTheme="majorBidi" w:cstheme="majorBidi"/>
          <w:sz w:val="24"/>
          <w:szCs w:val="24"/>
        </w:rPr>
      </w:pPr>
    </w:p>
    <w:p w14:paraId="20136A9E" w14:textId="77777777" w:rsidR="008C0434" w:rsidRPr="009755B1" w:rsidRDefault="008C0434" w:rsidP="008C0434">
      <w:pPr>
        <w:bidi w:val="0"/>
        <w:spacing w:line="360" w:lineRule="auto"/>
        <w:ind w:left="720"/>
        <w:jc w:val="both"/>
        <w:rPr>
          <w:rFonts w:asciiTheme="majorBidi" w:hAnsiTheme="majorBidi" w:cstheme="majorBidi"/>
          <w:b/>
          <w:bCs/>
          <w:sz w:val="24"/>
          <w:szCs w:val="24"/>
        </w:rPr>
      </w:pPr>
      <w:r w:rsidRPr="009755B1">
        <w:rPr>
          <w:rFonts w:asciiTheme="majorBidi" w:hAnsiTheme="majorBidi" w:cstheme="majorBidi"/>
          <w:b/>
          <w:bCs/>
          <w:sz w:val="24"/>
          <w:szCs w:val="24"/>
        </w:rPr>
        <w:t xml:space="preserve">Data Analysis  </w:t>
      </w:r>
    </w:p>
    <w:p w14:paraId="7819FD90" w14:textId="0DDE85CD" w:rsidR="008C0434" w:rsidRPr="009755B1" w:rsidRDefault="008C0434" w:rsidP="00B12F09">
      <w:pPr>
        <w:pStyle w:val="NormalWeb"/>
        <w:spacing w:line="360" w:lineRule="auto"/>
        <w:jc w:val="both"/>
        <w:rPr>
          <w:lang w:val="en"/>
        </w:rPr>
      </w:pPr>
      <w:r w:rsidRPr="009755B1">
        <w:rPr>
          <w:lang w:val="en"/>
        </w:rPr>
        <w:t>All data were processed using IBM SPSS Statistics for Windows, Version 26.0 (IBM Corp., Armonk, NY). Categorical variables were presented as frequencies and percentages and compared using the Pearson Chi-Square test (</w:t>
      </w:r>
      <w:r w:rsidRPr="009755B1">
        <w:rPr>
          <w:rStyle w:val="mord"/>
          <w:lang w:val="en"/>
        </w:rPr>
        <w:t>χ2</w:t>
      </w:r>
      <w:r w:rsidRPr="009755B1">
        <w:rPr>
          <w:lang w:val="en"/>
        </w:rPr>
        <w:t xml:space="preserve">). Continuous baseline variables were assessed for distributional normality via the Kolmogorov–Smirnov test and compared using independent-samples </w:t>
      </w:r>
      <w:r w:rsidRPr="009755B1">
        <w:rPr>
          <w:rStyle w:val="katex-mathml"/>
          <w:lang w:val="en"/>
        </w:rPr>
        <w:t>t</w:t>
      </w:r>
      <w:r w:rsidRPr="009755B1">
        <w:rPr>
          <w:lang w:val="en"/>
        </w:rPr>
        <w:t>-tests</w:t>
      </w:r>
      <w:r w:rsidR="00B12F09" w:rsidRPr="009755B1">
        <w:rPr>
          <w:lang w:val="en"/>
        </w:rPr>
        <w:t>.</w:t>
      </w:r>
      <w:r w:rsidRPr="009755B1">
        <w:rPr>
          <w:lang w:val="en"/>
        </w:rPr>
        <w:t xml:space="preserve">To evaluate intervention efficacy across time, a </w:t>
      </w:r>
      <w:r w:rsidRPr="009755B1">
        <w:rPr>
          <w:rStyle w:val="Strong"/>
          <w:b w:val="0"/>
          <w:bCs w:val="0"/>
          <w:lang w:val="en"/>
        </w:rPr>
        <w:t>Two-Way Mixed-Design Repeated Measures Analysis of Variance (RM-ANOVA)</w:t>
      </w:r>
      <w:r w:rsidRPr="009755B1">
        <w:rPr>
          <w:lang w:val="en"/>
        </w:rPr>
        <w:t xml:space="preserve"> (</w:t>
      </w:r>
      <w:r w:rsidRPr="009755B1">
        <w:rPr>
          <w:rStyle w:val="katex-mathml"/>
          <w:lang w:val="en"/>
        </w:rPr>
        <w:t>2×</w:t>
      </w:r>
      <w:r w:rsidRPr="009755B1">
        <w:rPr>
          <w:rStyle w:val="mord"/>
          <w:lang w:val="en"/>
        </w:rPr>
        <w:t>3</w:t>
      </w:r>
      <w:r w:rsidRPr="009755B1">
        <w:rPr>
          <w:lang w:val="en"/>
        </w:rPr>
        <w:t>) was performed for each primary outcome, with Group (Intervention vs. Control) as the between-subjects factor and Time (</w:t>
      </w:r>
      <w:r w:rsidRPr="009755B1">
        <w:rPr>
          <w:rStyle w:val="katex-mathml"/>
          <w:lang w:val="en"/>
        </w:rPr>
        <w:t>T1</w:t>
      </w:r>
      <w:r w:rsidRPr="009755B1">
        <w:rPr>
          <w:rStyle w:val="vlist-s"/>
          <w:lang w:val="en"/>
        </w:rPr>
        <w:t>​</w:t>
      </w:r>
      <w:r w:rsidRPr="009755B1">
        <w:rPr>
          <w:lang w:val="en"/>
        </w:rPr>
        <w:t xml:space="preserve">, </w:t>
      </w:r>
      <w:r w:rsidRPr="009755B1">
        <w:rPr>
          <w:rStyle w:val="katex-mathml"/>
          <w:lang w:val="en"/>
        </w:rPr>
        <w:t xml:space="preserve">T2T </w:t>
      </w:r>
      <w:r w:rsidRPr="009755B1">
        <w:rPr>
          <w:rStyle w:val="mord"/>
          <w:lang w:val="en"/>
        </w:rPr>
        <w:t>,T3</w:t>
      </w:r>
      <w:r w:rsidRPr="009755B1">
        <w:rPr>
          <w:rStyle w:val="vlist-s"/>
          <w:lang w:val="en"/>
        </w:rPr>
        <w:t>​</w:t>
      </w:r>
      <w:r w:rsidRPr="009755B1">
        <w:rPr>
          <w:lang w:val="en"/>
        </w:rPr>
        <w:t xml:space="preserve">) as the within-subjects factor. Homogeneity of inter-group covariance matrices was tested using Box’s </w:t>
      </w:r>
      <w:r w:rsidRPr="009755B1">
        <w:rPr>
          <w:rStyle w:val="mord"/>
          <w:lang w:val="en"/>
        </w:rPr>
        <w:t>M</w:t>
      </w:r>
      <w:r w:rsidRPr="009755B1">
        <w:rPr>
          <w:lang w:val="en"/>
        </w:rPr>
        <w:t xml:space="preserve"> test, and homogeneity of error variances across timepoints was verified via Levene’s test. Sphericity was evaluated with Mauchly’s test; where the sphericity assumption was violated (</w:t>
      </w:r>
      <w:r w:rsidRPr="009755B1">
        <w:rPr>
          <w:rStyle w:val="katex-mathml"/>
          <w:lang w:val="en"/>
        </w:rPr>
        <w:t>p&lt;.05</w:t>
      </w:r>
      <w:r w:rsidRPr="009755B1">
        <w:rPr>
          <w:lang w:val="en"/>
        </w:rPr>
        <w:t>), degrees of freedom were adjusted using Greenhouse–Geisser estimates (</w:t>
      </w:r>
      <w:r w:rsidRPr="009755B1">
        <w:rPr>
          <w:rStyle w:val="katex-mathml"/>
          <w:lang w:val="en"/>
        </w:rPr>
        <w:t>ϵ</w:t>
      </w:r>
      <w:r w:rsidRPr="009755B1">
        <w:rPr>
          <w:lang w:val="en"/>
        </w:rPr>
        <w:t xml:space="preserve">). Within-group longitudinal changes were examined using paired-samples </w:t>
      </w:r>
      <w:r w:rsidRPr="009755B1">
        <w:rPr>
          <w:rStyle w:val="katex-mathml"/>
          <w:lang w:val="en"/>
        </w:rPr>
        <w:t>t</w:t>
      </w:r>
      <w:r w:rsidRPr="009755B1">
        <w:rPr>
          <w:lang w:val="en"/>
        </w:rPr>
        <w:t xml:space="preserve">-tests, and inter-group comparisons at each timepoint were conducted using independent-samples </w:t>
      </w:r>
      <w:r w:rsidRPr="009755B1">
        <w:rPr>
          <w:rStyle w:val="mord"/>
          <w:lang w:val="en"/>
        </w:rPr>
        <w:t>t</w:t>
      </w:r>
      <w:r w:rsidRPr="009755B1">
        <w:rPr>
          <w:lang w:val="en"/>
        </w:rPr>
        <w:t xml:space="preserve">-tests with Bonferroni correction for multiple testing. Statistical significance was established a priori at </w:t>
      </w:r>
      <w:r w:rsidRPr="009755B1">
        <w:rPr>
          <w:rStyle w:val="katex-mathml"/>
          <w:lang w:val="en"/>
        </w:rPr>
        <w:t xml:space="preserve">p&lt;.05. </w:t>
      </w:r>
    </w:p>
    <w:p w14:paraId="18216730" w14:textId="77777777" w:rsidR="008C0434" w:rsidRPr="009755B1" w:rsidRDefault="008C0434" w:rsidP="008C0434">
      <w:pPr>
        <w:bidi w:val="0"/>
        <w:spacing w:line="360" w:lineRule="auto"/>
        <w:ind w:left="720"/>
        <w:jc w:val="both"/>
        <w:rPr>
          <w:rFonts w:asciiTheme="majorBidi" w:eastAsia="Times New Roman" w:hAnsiTheme="majorBidi" w:cstheme="majorBidi"/>
          <w:b/>
          <w:bCs/>
          <w:sz w:val="24"/>
          <w:szCs w:val="24"/>
        </w:rPr>
      </w:pPr>
      <w:r w:rsidRPr="009755B1">
        <w:rPr>
          <w:rFonts w:asciiTheme="majorBidi" w:eastAsia="Times New Roman" w:hAnsiTheme="majorBidi" w:cstheme="majorBidi"/>
          <w:b/>
          <w:bCs/>
          <w:sz w:val="24"/>
          <w:szCs w:val="24"/>
        </w:rPr>
        <w:t>Results</w:t>
      </w:r>
    </w:p>
    <w:p w14:paraId="5480693D" w14:textId="77777777" w:rsidR="008C0434" w:rsidRPr="009755B1" w:rsidRDefault="008C0434" w:rsidP="008C0434">
      <w:pPr>
        <w:pStyle w:val="NormalWeb"/>
        <w:spacing w:line="360" w:lineRule="auto"/>
        <w:rPr>
          <w:lang w:val="en"/>
        </w:rPr>
      </w:pPr>
      <w:r w:rsidRPr="009755B1">
        <w:rPr>
          <w:lang w:val="en"/>
        </w:rPr>
        <w:t>Prior to hypothesis testing, the normality of continuous outcome distributions was verified using the Kolmogorov–Smirnov test (</w:t>
      </w:r>
      <w:r w:rsidRPr="009755B1">
        <w:rPr>
          <w:rStyle w:val="mord"/>
          <w:lang w:val="en"/>
        </w:rPr>
        <w:t>p</w:t>
      </w:r>
      <w:r w:rsidRPr="009755B1">
        <w:rPr>
          <w:rStyle w:val="mrel"/>
          <w:rFonts w:eastAsiaTheme="majorEastAsia"/>
          <w:lang w:val="en"/>
        </w:rPr>
        <w:t>&gt;</w:t>
      </w:r>
      <w:r w:rsidRPr="009755B1">
        <w:rPr>
          <w:rStyle w:val="mord"/>
          <w:lang w:val="en"/>
        </w:rPr>
        <w:t>0.05</w:t>
      </w:r>
      <w:r w:rsidRPr="009755B1">
        <w:rPr>
          <w:lang w:val="en"/>
        </w:rPr>
        <w:t>).</w:t>
      </w:r>
      <w:r w:rsidRPr="009755B1">
        <w:t xml:space="preserve"> </w:t>
      </w:r>
      <w:r w:rsidRPr="009755B1">
        <w:rPr>
          <w:lang w:val="en"/>
        </w:rPr>
        <w:t>The study sample comprised 80 mothers, equally distributed between the intervention (n=40) and control (n=40) groups. Statistical analysis revealed no significant differences in baseline demographics or socioeconomic status between the two groups (all p&gt;.05), specifically for age (p=.067), education (p=.880), occupation (p=.278), income (p=.430), marital status (p=.328), and number of children (p=.836). The homogeneity of the groups at baseline confirms their comparability, supporting the internal validity of the clinical trial(</w:t>
      </w:r>
      <w:r w:rsidRPr="009755B1">
        <w:t>Table 2</w:t>
      </w:r>
      <w:r w:rsidRPr="009755B1">
        <w:rPr>
          <w:lang w:val="en"/>
        </w:rPr>
        <w:t xml:space="preserve">). </w:t>
      </w:r>
    </w:p>
    <w:p w14:paraId="5D5229F7" w14:textId="2DC7AC84" w:rsidR="008C0434" w:rsidRPr="009755B1" w:rsidRDefault="008C0434" w:rsidP="008C0434">
      <w:pPr>
        <w:pStyle w:val="NormalWeb"/>
        <w:spacing w:line="360" w:lineRule="auto"/>
      </w:pPr>
      <w:r w:rsidRPr="009755B1">
        <w:t>Table 2:</w:t>
      </w:r>
      <w:r w:rsidR="00F230CA" w:rsidRPr="009755B1">
        <w:t xml:space="preserve"> Baseline Demographic Characteristics of Participants by Study Group </w:t>
      </w:r>
      <w:r w:rsidRPr="009755B1">
        <w:t>(N=80)</w:t>
      </w:r>
    </w:p>
    <w:tbl>
      <w:tblPr>
        <w:tblStyle w:val="GridTable6Colorful1"/>
        <w:tblpPr w:leftFromText="180" w:rightFromText="180" w:vertAnchor="page" w:horzAnchor="margin" w:tblpY="1604"/>
        <w:bidiVisual/>
        <w:tblW w:w="0" w:type="auto"/>
        <w:tblLook w:val="04A0" w:firstRow="1" w:lastRow="0" w:firstColumn="1" w:lastColumn="0" w:noHBand="0" w:noVBand="1"/>
      </w:tblPr>
      <w:tblGrid>
        <w:gridCol w:w="929"/>
        <w:gridCol w:w="960"/>
        <w:gridCol w:w="1232"/>
        <w:gridCol w:w="1251"/>
        <w:gridCol w:w="1744"/>
        <w:gridCol w:w="1811"/>
      </w:tblGrid>
      <w:tr w:rsidR="00D825AB" w:rsidRPr="009755B1" w14:paraId="22782E76" w14:textId="77777777" w:rsidTr="00D825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3420DCA5" w14:textId="77777777" w:rsidR="008C0434" w:rsidRPr="009755B1" w:rsidRDefault="008C0434" w:rsidP="00DD2E4A">
            <w:pPr>
              <w:spacing w:after="100" w:line="276" w:lineRule="auto"/>
              <w:jc w:val="center"/>
              <w:rPr>
                <w:rFonts w:ascii="Calibri" w:eastAsia="Calibri" w:hAnsi="Calibri" w:cs="Arial"/>
                <w:rtl/>
              </w:rPr>
            </w:pPr>
            <w:r w:rsidRPr="009755B1">
              <w:rPr>
                <w:rFonts w:ascii="Calibri" w:eastAsia="Calibri" w:hAnsi="Calibri" w:cs="Arial"/>
              </w:rPr>
              <w:t>p-value*</w:t>
            </w:r>
          </w:p>
        </w:tc>
        <w:tc>
          <w:tcPr>
            <w:tcW w:w="1421" w:type="dxa"/>
          </w:tcPr>
          <w:p w14:paraId="6BBD7FB4" w14:textId="77777777" w:rsidR="008C0434" w:rsidRPr="009755B1" w:rsidRDefault="008C0434" w:rsidP="00DD2E4A">
            <w:pPr>
              <w:spacing w:after="10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tl/>
              </w:rPr>
            </w:pPr>
            <w:r w:rsidRPr="009755B1">
              <w:rPr>
                <w:rStyle w:val="mord"/>
              </w:rPr>
              <w:t>χ2</w:t>
            </w:r>
            <w:r w:rsidRPr="009755B1">
              <w:t xml:space="preserve"> / </w:t>
            </w:r>
            <w:r w:rsidRPr="009755B1">
              <w:rPr>
                <w:rStyle w:val="katex-mathml"/>
              </w:rPr>
              <w:t>t</w:t>
            </w:r>
          </w:p>
        </w:tc>
        <w:tc>
          <w:tcPr>
            <w:tcW w:w="1421" w:type="dxa"/>
          </w:tcPr>
          <w:p w14:paraId="5FD90D75" w14:textId="77777777" w:rsidR="008C0434" w:rsidRPr="009755B1" w:rsidRDefault="008C0434" w:rsidP="00DD2E4A">
            <w:pPr>
              <w:spacing w:after="10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Total</w:t>
            </w:r>
          </w:p>
        </w:tc>
        <w:tc>
          <w:tcPr>
            <w:tcW w:w="1476" w:type="dxa"/>
          </w:tcPr>
          <w:p w14:paraId="24E61F17" w14:textId="77777777" w:rsidR="008C0434" w:rsidRPr="009755B1" w:rsidRDefault="008C0434" w:rsidP="00DD2E4A">
            <w:pPr>
              <w:spacing w:after="10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control</w:t>
            </w:r>
          </w:p>
        </w:tc>
        <w:tc>
          <w:tcPr>
            <w:tcW w:w="2489" w:type="dxa"/>
          </w:tcPr>
          <w:p w14:paraId="2B438A2D" w14:textId="77777777" w:rsidR="008C0434" w:rsidRPr="009755B1" w:rsidRDefault="008C0434" w:rsidP="00DD2E4A">
            <w:pPr>
              <w:spacing w:after="10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intervention</w:t>
            </w:r>
          </w:p>
        </w:tc>
        <w:tc>
          <w:tcPr>
            <w:tcW w:w="2548" w:type="dxa"/>
          </w:tcPr>
          <w:p w14:paraId="5918AB80" w14:textId="77777777" w:rsidR="008C0434" w:rsidRPr="009755B1" w:rsidRDefault="008C0434" w:rsidP="00DD2E4A">
            <w:pPr>
              <w:spacing w:after="100" w:line="276" w:lineRule="auto"/>
              <w:jc w:val="right"/>
              <w:cnfStyle w:val="100000000000" w:firstRow="1"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Variables</w:t>
            </w:r>
          </w:p>
        </w:tc>
      </w:tr>
      <w:tr w:rsidR="00D825AB" w:rsidRPr="009755B1" w14:paraId="37406C3D" w14:textId="77777777" w:rsidTr="00D8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779B19FD" w14:textId="77777777" w:rsidR="008C0434" w:rsidRPr="009755B1" w:rsidRDefault="008C0434" w:rsidP="00DD2E4A">
            <w:pPr>
              <w:spacing w:after="100" w:line="276" w:lineRule="auto"/>
              <w:jc w:val="center"/>
              <w:rPr>
                <w:rFonts w:ascii="Calibri" w:eastAsia="Calibri" w:hAnsi="Calibri" w:cs="Arial"/>
                <w:rtl/>
              </w:rPr>
            </w:pPr>
            <w:r w:rsidRPr="009755B1">
              <w:rPr>
                <w:rFonts w:ascii="Calibri" w:eastAsia="Calibri" w:hAnsi="Calibri" w:cs="Arial"/>
                <w:rtl/>
              </w:rPr>
              <w:t>0.067</w:t>
            </w:r>
          </w:p>
        </w:tc>
        <w:tc>
          <w:tcPr>
            <w:tcW w:w="1421" w:type="dxa"/>
          </w:tcPr>
          <w:p w14:paraId="1440F6CC"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Style w:val="mord"/>
              </w:rPr>
              <w:t>χ2</w:t>
            </w:r>
            <w:r w:rsidRPr="009755B1">
              <w:t xml:space="preserve"> = 7.151</w:t>
            </w:r>
          </w:p>
        </w:tc>
        <w:tc>
          <w:tcPr>
            <w:tcW w:w="1421" w:type="dxa"/>
          </w:tcPr>
          <w:p w14:paraId="1B48BB91"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p>
        </w:tc>
        <w:tc>
          <w:tcPr>
            <w:tcW w:w="1476" w:type="dxa"/>
          </w:tcPr>
          <w:p w14:paraId="505059C7"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p>
        </w:tc>
        <w:tc>
          <w:tcPr>
            <w:tcW w:w="2489" w:type="dxa"/>
          </w:tcPr>
          <w:p w14:paraId="359118A9"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p>
        </w:tc>
        <w:tc>
          <w:tcPr>
            <w:tcW w:w="2548" w:type="dxa"/>
          </w:tcPr>
          <w:p w14:paraId="1A6BDE6B" w14:textId="77777777" w:rsidR="008C0434" w:rsidRPr="009755B1" w:rsidRDefault="008C0434" w:rsidP="00DD2E4A">
            <w:pPr>
              <w:spacing w:after="100" w:line="276" w:lineRule="auto"/>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b/>
                <w:bCs/>
                <w:rtl/>
              </w:rPr>
            </w:pPr>
            <w:r w:rsidRPr="009755B1">
              <w:rPr>
                <w:rFonts w:ascii="Calibri" w:eastAsia="Calibri" w:hAnsi="Calibri" w:cs="Arial"/>
                <w:b/>
                <w:bCs/>
              </w:rPr>
              <w:t>Age (years)</w:t>
            </w:r>
          </w:p>
        </w:tc>
      </w:tr>
      <w:tr w:rsidR="00D825AB" w:rsidRPr="009755B1" w14:paraId="6226DF8E" w14:textId="77777777" w:rsidTr="00D825AB">
        <w:tc>
          <w:tcPr>
            <w:cnfStyle w:val="001000000000" w:firstRow="0" w:lastRow="0" w:firstColumn="1" w:lastColumn="0" w:oddVBand="0" w:evenVBand="0" w:oddHBand="0" w:evenHBand="0" w:firstRowFirstColumn="0" w:firstRowLastColumn="0" w:lastRowFirstColumn="0" w:lastRowLastColumn="0"/>
            <w:tcW w:w="1130" w:type="dxa"/>
          </w:tcPr>
          <w:p w14:paraId="3D8530EF"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39B31352"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tc>
        <w:tc>
          <w:tcPr>
            <w:tcW w:w="1421" w:type="dxa"/>
          </w:tcPr>
          <w:p w14:paraId="25F90A1B"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(25.0%)20</w:t>
            </w:r>
          </w:p>
        </w:tc>
        <w:tc>
          <w:tcPr>
            <w:tcW w:w="1476" w:type="dxa"/>
          </w:tcPr>
          <w:p w14:paraId="5E057510"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(27.5%)11</w:t>
            </w:r>
          </w:p>
        </w:tc>
        <w:tc>
          <w:tcPr>
            <w:tcW w:w="2489" w:type="dxa"/>
          </w:tcPr>
          <w:p w14:paraId="1268DD0D"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(22.5%)9</w:t>
            </w:r>
          </w:p>
        </w:tc>
        <w:tc>
          <w:tcPr>
            <w:tcW w:w="2548" w:type="dxa"/>
          </w:tcPr>
          <w:p w14:paraId="5BF50753" w14:textId="77777777" w:rsidR="008C0434" w:rsidRPr="009755B1" w:rsidRDefault="008C0434" w:rsidP="00DD2E4A">
            <w:pPr>
              <w:spacing w:after="100" w:line="276" w:lineRule="auto"/>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r w:rsidRPr="009755B1">
              <w:rPr>
                <w:rFonts w:ascii="Calibri" w:eastAsia="Calibri" w:hAnsi="Calibri" w:cs="Arial" w:hint="cs"/>
                <w:rtl/>
              </w:rPr>
              <w:t>20-30</w:t>
            </w:r>
          </w:p>
        </w:tc>
      </w:tr>
      <w:tr w:rsidR="00D825AB" w:rsidRPr="009755B1" w14:paraId="677F2645" w14:textId="77777777" w:rsidTr="00D8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085B33B7"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2DDBA0E3"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p>
        </w:tc>
        <w:tc>
          <w:tcPr>
            <w:tcW w:w="1421" w:type="dxa"/>
          </w:tcPr>
          <w:p w14:paraId="5DB80126"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hint="cs"/>
                <w:rtl/>
              </w:rPr>
              <w:t>(47.5%)38</w:t>
            </w:r>
          </w:p>
        </w:tc>
        <w:tc>
          <w:tcPr>
            <w:tcW w:w="1476" w:type="dxa"/>
          </w:tcPr>
          <w:p w14:paraId="77110317"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hint="cs"/>
                <w:rtl/>
              </w:rPr>
              <w:t>(35.0%)14</w:t>
            </w:r>
          </w:p>
        </w:tc>
        <w:tc>
          <w:tcPr>
            <w:tcW w:w="2489" w:type="dxa"/>
          </w:tcPr>
          <w:p w14:paraId="62B085F6"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hint="cs"/>
                <w:rtl/>
              </w:rPr>
              <w:t>(60.0%)24</w:t>
            </w:r>
          </w:p>
        </w:tc>
        <w:tc>
          <w:tcPr>
            <w:tcW w:w="2548" w:type="dxa"/>
          </w:tcPr>
          <w:p w14:paraId="29100AE8" w14:textId="77777777" w:rsidR="008C0434" w:rsidRPr="009755B1" w:rsidRDefault="008C0434" w:rsidP="00DD2E4A">
            <w:pPr>
              <w:spacing w:after="100" w:line="276" w:lineRule="auto"/>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r w:rsidRPr="009755B1">
              <w:rPr>
                <w:rFonts w:ascii="Calibri" w:eastAsia="Calibri" w:hAnsi="Calibri" w:cs="Arial" w:hint="cs"/>
                <w:rtl/>
              </w:rPr>
              <w:t>31-40</w:t>
            </w:r>
          </w:p>
        </w:tc>
      </w:tr>
      <w:tr w:rsidR="00D825AB" w:rsidRPr="009755B1" w14:paraId="7A89F67A" w14:textId="77777777" w:rsidTr="00D825AB">
        <w:tc>
          <w:tcPr>
            <w:cnfStyle w:val="001000000000" w:firstRow="0" w:lastRow="0" w:firstColumn="1" w:lastColumn="0" w:oddVBand="0" w:evenVBand="0" w:oddHBand="0" w:evenHBand="0" w:firstRowFirstColumn="0" w:firstRowLastColumn="0" w:lastRowFirstColumn="0" w:lastRowLastColumn="0"/>
            <w:tcW w:w="1130" w:type="dxa"/>
          </w:tcPr>
          <w:p w14:paraId="13EC038E"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605113EF"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p>
        </w:tc>
        <w:tc>
          <w:tcPr>
            <w:tcW w:w="1421" w:type="dxa"/>
          </w:tcPr>
          <w:p w14:paraId="21769E41"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hint="cs"/>
                <w:rtl/>
              </w:rPr>
              <w:t>(23.8%)19</w:t>
            </w:r>
          </w:p>
        </w:tc>
        <w:tc>
          <w:tcPr>
            <w:tcW w:w="1476" w:type="dxa"/>
          </w:tcPr>
          <w:p w14:paraId="5EA1E2B4"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hint="cs"/>
                <w:rtl/>
              </w:rPr>
              <w:t>(30.0%)12</w:t>
            </w:r>
          </w:p>
        </w:tc>
        <w:tc>
          <w:tcPr>
            <w:tcW w:w="2489" w:type="dxa"/>
          </w:tcPr>
          <w:p w14:paraId="0382EAFC"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hint="cs"/>
                <w:rtl/>
              </w:rPr>
              <w:t>(17.5%)7</w:t>
            </w:r>
          </w:p>
        </w:tc>
        <w:tc>
          <w:tcPr>
            <w:tcW w:w="2548" w:type="dxa"/>
          </w:tcPr>
          <w:p w14:paraId="507D85FC" w14:textId="77777777" w:rsidR="008C0434" w:rsidRPr="009755B1" w:rsidRDefault="008C0434" w:rsidP="00DD2E4A">
            <w:pPr>
              <w:spacing w:after="100" w:line="276" w:lineRule="auto"/>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r w:rsidRPr="009755B1">
              <w:rPr>
                <w:rFonts w:ascii="Calibri" w:eastAsia="Calibri" w:hAnsi="Calibri" w:cs="Arial" w:hint="cs"/>
                <w:rtl/>
              </w:rPr>
              <w:t>41-50</w:t>
            </w:r>
          </w:p>
        </w:tc>
      </w:tr>
      <w:tr w:rsidR="00D825AB" w:rsidRPr="009755B1" w14:paraId="4173FE39" w14:textId="77777777" w:rsidTr="00D8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19C18FAC"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31B17BF2"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p>
        </w:tc>
        <w:tc>
          <w:tcPr>
            <w:tcW w:w="1421" w:type="dxa"/>
          </w:tcPr>
          <w:p w14:paraId="00ECD12E"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tl/>
              </w:rPr>
              <w:t>3 (3.8%)</w:t>
            </w:r>
          </w:p>
        </w:tc>
        <w:tc>
          <w:tcPr>
            <w:tcW w:w="1476" w:type="dxa"/>
          </w:tcPr>
          <w:p w14:paraId="18217228"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tl/>
              </w:rPr>
              <w:t>3 (7.5%)</w:t>
            </w:r>
          </w:p>
        </w:tc>
        <w:tc>
          <w:tcPr>
            <w:tcW w:w="2489" w:type="dxa"/>
          </w:tcPr>
          <w:p w14:paraId="562534F5"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tl/>
              </w:rPr>
              <w:t>0 (0.0%)</w:t>
            </w:r>
          </w:p>
        </w:tc>
        <w:tc>
          <w:tcPr>
            <w:tcW w:w="2548" w:type="dxa"/>
          </w:tcPr>
          <w:p w14:paraId="6C6D8AD5" w14:textId="77777777" w:rsidR="008C0434" w:rsidRPr="009755B1" w:rsidRDefault="008C0434" w:rsidP="00DD2E4A">
            <w:pPr>
              <w:spacing w:after="100" w:line="276" w:lineRule="auto"/>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r w:rsidRPr="009755B1">
              <w:rPr>
                <w:rFonts w:ascii="Calibri" w:eastAsia="Calibri" w:hAnsi="Calibri" w:cs="Arial"/>
              </w:rPr>
              <w:t>≥51</w:t>
            </w:r>
          </w:p>
        </w:tc>
      </w:tr>
      <w:tr w:rsidR="00D825AB" w:rsidRPr="009755B1" w14:paraId="0AC52C93" w14:textId="77777777" w:rsidTr="00D825AB">
        <w:tc>
          <w:tcPr>
            <w:cnfStyle w:val="001000000000" w:firstRow="0" w:lastRow="0" w:firstColumn="1" w:lastColumn="0" w:oddVBand="0" w:evenVBand="0" w:oddHBand="0" w:evenHBand="0" w:firstRowFirstColumn="0" w:firstRowLastColumn="0" w:lastRowFirstColumn="0" w:lastRowLastColumn="0"/>
            <w:tcW w:w="1130" w:type="dxa"/>
          </w:tcPr>
          <w:p w14:paraId="19EC9977" w14:textId="77777777" w:rsidR="008C0434" w:rsidRPr="009755B1" w:rsidRDefault="008C0434" w:rsidP="00DD2E4A">
            <w:pPr>
              <w:spacing w:after="100" w:line="276" w:lineRule="auto"/>
              <w:jc w:val="center"/>
              <w:rPr>
                <w:rFonts w:ascii="Calibri" w:eastAsia="Calibri" w:hAnsi="Calibri" w:cs="Arial"/>
                <w:rtl/>
              </w:rPr>
            </w:pPr>
            <w:r w:rsidRPr="009755B1">
              <w:rPr>
                <w:rFonts w:ascii="Calibri" w:eastAsia="Calibri" w:hAnsi="Calibri" w:cs="Arial"/>
              </w:rPr>
              <w:t>.880</w:t>
            </w:r>
          </w:p>
        </w:tc>
        <w:tc>
          <w:tcPr>
            <w:tcW w:w="1421" w:type="dxa"/>
          </w:tcPr>
          <w:p w14:paraId="24C82C05"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Style w:val="mord"/>
              </w:rPr>
              <w:t>χ2</w:t>
            </w:r>
            <w:r w:rsidRPr="009755B1">
              <w:t xml:space="preserve"> =  1.189</w:t>
            </w:r>
          </w:p>
        </w:tc>
        <w:tc>
          <w:tcPr>
            <w:tcW w:w="1421" w:type="dxa"/>
          </w:tcPr>
          <w:p w14:paraId="2E4D81BA"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p>
        </w:tc>
        <w:tc>
          <w:tcPr>
            <w:tcW w:w="1476" w:type="dxa"/>
          </w:tcPr>
          <w:p w14:paraId="6E76821A"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p>
        </w:tc>
        <w:tc>
          <w:tcPr>
            <w:tcW w:w="2489" w:type="dxa"/>
          </w:tcPr>
          <w:p w14:paraId="536A0EDD"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p>
        </w:tc>
        <w:tc>
          <w:tcPr>
            <w:tcW w:w="2548" w:type="dxa"/>
          </w:tcPr>
          <w:p w14:paraId="26C91206" w14:textId="77777777" w:rsidR="008C0434" w:rsidRPr="009755B1" w:rsidRDefault="008C0434" w:rsidP="00DD2E4A">
            <w:pPr>
              <w:spacing w:after="100" w:line="276" w:lineRule="auto"/>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b/>
                <w:bCs/>
                <w:rtl/>
              </w:rPr>
            </w:pPr>
            <w:r w:rsidRPr="009755B1">
              <w:rPr>
                <w:rFonts w:ascii="Calibri" w:eastAsia="Calibri" w:hAnsi="Calibri" w:cs="Arial"/>
                <w:b/>
                <w:bCs/>
              </w:rPr>
              <w:t>Educational Attainment</w:t>
            </w:r>
          </w:p>
        </w:tc>
      </w:tr>
      <w:tr w:rsidR="00D825AB" w:rsidRPr="009755B1" w14:paraId="35B2A43D" w14:textId="77777777" w:rsidTr="00D8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494BC650"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7B03CCC4"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1421" w:type="dxa"/>
          </w:tcPr>
          <w:p w14:paraId="5BD37602"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20 (25.0%)</w:t>
            </w:r>
          </w:p>
        </w:tc>
        <w:tc>
          <w:tcPr>
            <w:tcW w:w="1476" w:type="dxa"/>
          </w:tcPr>
          <w:p w14:paraId="5A631FD7"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12 (30.0%)</w:t>
            </w:r>
          </w:p>
        </w:tc>
        <w:tc>
          <w:tcPr>
            <w:tcW w:w="2489" w:type="dxa"/>
          </w:tcPr>
          <w:p w14:paraId="27C95146"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8 (20.0%)</w:t>
            </w:r>
          </w:p>
        </w:tc>
        <w:tc>
          <w:tcPr>
            <w:tcW w:w="2548" w:type="dxa"/>
          </w:tcPr>
          <w:p w14:paraId="713FBFEC" w14:textId="77777777" w:rsidR="008C0434" w:rsidRPr="009755B1" w:rsidRDefault="008C0434" w:rsidP="00DD2E4A">
            <w:pPr>
              <w:spacing w:after="100" w:line="276" w:lineRule="auto"/>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r w:rsidRPr="009755B1">
              <w:rPr>
                <w:rFonts w:ascii="Calibri" w:eastAsia="Calibri" w:hAnsi="Calibri" w:cs="Arial"/>
              </w:rPr>
              <w:t>Below High School</w:t>
            </w:r>
          </w:p>
        </w:tc>
      </w:tr>
      <w:tr w:rsidR="00D825AB" w:rsidRPr="009755B1" w14:paraId="06B05B8C" w14:textId="77777777" w:rsidTr="00D825AB">
        <w:tc>
          <w:tcPr>
            <w:cnfStyle w:val="001000000000" w:firstRow="0" w:lastRow="0" w:firstColumn="1" w:lastColumn="0" w:oddVBand="0" w:evenVBand="0" w:oddHBand="0" w:evenHBand="0" w:firstRowFirstColumn="0" w:firstRowLastColumn="0" w:lastRowFirstColumn="0" w:lastRowLastColumn="0"/>
            <w:tcW w:w="1130" w:type="dxa"/>
          </w:tcPr>
          <w:p w14:paraId="21539A65"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1F56CD31"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tc>
        <w:tc>
          <w:tcPr>
            <w:tcW w:w="1421" w:type="dxa"/>
          </w:tcPr>
          <w:p w14:paraId="600A82A0"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37 (46.3%)</w:t>
            </w:r>
          </w:p>
        </w:tc>
        <w:tc>
          <w:tcPr>
            <w:tcW w:w="1476" w:type="dxa"/>
          </w:tcPr>
          <w:p w14:paraId="0E422C50"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17 (42.5%)</w:t>
            </w:r>
          </w:p>
        </w:tc>
        <w:tc>
          <w:tcPr>
            <w:tcW w:w="2489" w:type="dxa"/>
          </w:tcPr>
          <w:p w14:paraId="1BAABA07"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20 (50.0%)</w:t>
            </w:r>
          </w:p>
        </w:tc>
        <w:tc>
          <w:tcPr>
            <w:tcW w:w="2548" w:type="dxa"/>
          </w:tcPr>
          <w:p w14:paraId="7FAF6486" w14:textId="77777777" w:rsidR="008C0434" w:rsidRPr="009755B1" w:rsidRDefault="008C0434" w:rsidP="00DD2E4A">
            <w:pPr>
              <w:spacing w:after="100" w:line="276" w:lineRule="auto"/>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r w:rsidRPr="009755B1">
              <w:rPr>
                <w:rFonts w:ascii="Calibri" w:eastAsia="Calibri" w:hAnsi="Calibri" w:cs="Arial"/>
              </w:rPr>
              <w:t>High School Diploma</w:t>
            </w:r>
          </w:p>
        </w:tc>
      </w:tr>
      <w:tr w:rsidR="00D825AB" w:rsidRPr="009755B1" w14:paraId="2081DDB8" w14:textId="77777777" w:rsidTr="00D8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36B4CEDF"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5170FFA7"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1421" w:type="dxa"/>
          </w:tcPr>
          <w:p w14:paraId="770C7DCF"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7 (8.8%)</w:t>
            </w:r>
          </w:p>
        </w:tc>
        <w:tc>
          <w:tcPr>
            <w:tcW w:w="1476" w:type="dxa"/>
          </w:tcPr>
          <w:p w14:paraId="35436DBA"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3 (7.5%)</w:t>
            </w:r>
          </w:p>
        </w:tc>
        <w:tc>
          <w:tcPr>
            <w:tcW w:w="2489" w:type="dxa"/>
          </w:tcPr>
          <w:p w14:paraId="76D55867"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4 (10.0%)</w:t>
            </w:r>
          </w:p>
        </w:tc>
        <w:tc>
          <w:tcPr>
            <w:tcW w:w="2548" w:type="dxa"/>
          </w:tcPr>
          <w:p w14:paraId="71AD4D78" w14:textId="77777777" w:rsidR="008C0434" w:rsidRPr="009755B1" w:rsidRDefault="008C0434" w:rsidP="00DD2E4A">
            <w:pPr>
              <w:spacing w:after="100" w:line="276" w:lineRule="auto"/>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r w:rsidRPr="009755B1">
              <w:rPr>
                <w:rFonts w:ascii="Calibri" w:eastAsia="Calibri" w:hAnsi="Calibri" w:cs="Arial"/>
              </w:rPr>
              <w:t>Associate Degree</w:t>
            </w:r>
          </w:p>
        </w:tc>
      </w:tr>
      <w:tr w:rsidR="00D825AB" w:rsidRPr="009755B1" w14:paraId="5D5CEA21" w14:textId="77777777" w:rsidTr="00D825AB">
        <w:tc>
          <w:tcPr>
            <w:cnfStyle w:val="001000000000" w:firstRow="0" w:lastRow="0" w:firstColumn="1" w:lastColumn="0" w:oddVBand="0" w:evenVBand="0" w:oddHBand="0" w:evenHBand="0" w:firstRowFirstColumn="0" w:firstRowLastColumn="0" w:lastRowFirstColumn="0" w:lastRowLastColumn="0"/>
            <w:tcW w:w="1130" w:type="dxa"/>
          </w:tcPr>
          <w:p w14:paraId="3123AFB1"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4117D698"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tc>
        <w:tc>
          <w:tcPr>
            <w:tcW w:w="1421" w:type="dxa"/>
          </w:tcPr>
          <w:p w14:paraId="4A904F06"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12 (15.0%)</w:t>
            </w:r>
          </w:p>
        </w:tc>
        <w:tc>
          <w:tcPr>
            <w:tcW w:w="1476" w:type="dxa"/>
          </w:tcPr>
          <w:p w14:paraId="1D346FCD"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6 (15.0%)</w:t>
            </w:r>
          </w:p>
        </w:tc>
        <w:tc>
          <w:tcPr>
            <w:tcW w:w="2489" w:type="dxa"/>
          </w:tcPr>
          <w:p w14:paraId="7FB1BE0C"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6 (15.0%)</w:t>
            </w:r>
          </w:p>
        </w:tc>
        <w:tc>
          <w:tcPr>
            <w:tcW w:w="2548" w:type="dxa"/>
          </w:tcPr>
          <w:p w14:paraId="60D4C380" w14:textId="77777777" w:rsidR="008C0434" w:rsidRPr="009755B1" w:rsidRDefault="008C0434" w:rsidP="00DD2E4A">
            <w:pPr>
              <w:spacing w:after="100" w:line="276" w:lineRule="auto"/>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r w:rsidRPr="009755B1">
              <w:rPr>
                <w:rFonts w:ascii="Calibri" w:eastAsia="Calibri" w:hAnsi="Calibri" w:cs="Arial"/>
              </w:rPr>
              <w:t>Bachelor’s Degree</w:t>
            </w:r>
          </w:p>
        </w:tc>
      </w:tr>
      <w:tr w:rsidR="00D825AB" w:rsidRPr="009755B1" w14:paraId="7ECB9D77" w14:textId="77777777" w:rsidTr="00D8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508ECBA7"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1127B371"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1421" w:type="dxa"/>
          </w:tcPr>
          <w:p w14:paraId="3B1BAD80"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4 (5.0%)</w:t>
            </w:r>
          </w:p>
        </w:tc>
        <w:tc>
          <w:tcPr>
            <w:tcW w:w="1476" w:type="dxa"/>
          </w:tcPr>
          <w:p w14:paraId="2FDBCADD"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2 (5.0%)</w:t>
            </w:r>
          </w:p>
        </w:tc>
        <w:tc>
          <w:tcPr>
            <w:tcW w:w="2489" w:type="dxa"/>
          </w:tcPr>
          <w:p w14:paraId="1E023F14"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2 (5.0%)</w:t>
            </w:r>
          </w:p>
        </w:tc>
        <w:tc>
          <w:tcPr>
            <w:tcW w:w="2548" w:type="dxa"/>
          </w:tcPr>
          <w:p w14:paraId="573A9DFB" w14:textId="77777777" w:rsidR="008C0434" w:rsidRPr="009755B1" w:rsidRDefault="008C0434" w:rsidP="00DD2E4A">
            <w:pPr>
              <w:spacing w:after="100" w:line="276" w:lineRule="auto"/>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r w:rsidRPr="009755B1">
              <w:rPr>
                <w:rFonts w:ascii="Calibri" w:eastAsia="Calibri" w:hAnsi="Calibri" w:cs="Arial"/>
              </w:rPr>
              <w:t>Graduate Degree</w:t>
            </w:r>
          </w:p>
        </w:tc>
      </w:tr>
      <w:tr w:rsidR="00D825AB" w:rsidRPr="009755B1" w14:paraId="099A4196" w14:textId="77777777" w:rsidTr="00D825AB">
        <w:tc>
          <w:tcPr>
            <w:cnfStyle w:val="001000000000" w:firstRow="0" w:lastRow="0" w:firstColumn="1" w:lastColumn="0" w:oddVBand="0" w:evenVBand="0" w:oddHBand="0" w:evenHBand="0" w:firstRowFirstColumn="0" w:firstRowLastColumn="0" w:lastRowFirstColumn="0" w:lastRowLastColumn="0"/>
            <w:tcW w:w="1130" w:type="dxa"/>
          </w:tcPr>
          <w:p w14:paraId="6464E506" w14:textId="77777777" w:rsidR="008C0434" w:rsidRPr="009755B1" w:rsidRDefault="008C0434" w:rsidP="00DD2E4A">
            <w:pPr>
              <w:spacing w:after="100" w:line="276" w:lineRule="auto"/>
              <w:jc w:val="center"/>
              <w:rPr>
                <w:rFonts w:ascii="Calibri" w:eastAsia="Calibri" w:hAnsi="Calibri" w:cs="Arial"/>
                <w:rtl/>
              </w:rPr>
            </w:pPr>
            <w:r w:rsidRPr="009755B1">
              <w:rPr>
                <w:rFonts w:ascii="Calibri" w:eastAsia="Calibri" w:hAnsi="Calibri" w:cs="Arial"/>
              </w:rPr>
              <w:t>.278</w:t>
            </w:r>
          </w:p>
        </w:tc>
        <w:tc>
          <w:tcPr>
            <w:tcW w:w="1421" w:type="dxa"/>
          </w:tcPr>
          <w:p w14:paraId="0DB30EB2"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Style w:val="mord"/>
              </w:rPr>
              <w:t>χ2</w:t>
            </w:r>
            <w:r w:rsidRPr="009755B1">
              <w:t xml:space="preserve"> =  3.853</w:t>
            </w:r>
          </w:p>
        </w:tc>
        <w:tc>
          <w:tcPr>
            <w:tcW w:w="1421" w:type="dxa"/>
          </w:tcPr>
          <w:p w14:paraId="29476B47"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p>
        </w:tc>
        <w:tc>
          <w:tcPr>
            <w:tcW w:w="1476" w:type="dxa"/>
          </w:tcPr>
          <w:p w14:paraId="33EB4781"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p>
        </w:tc>
        <w:tc>
          <w:tcPr>
            <w:tcW w:w="2489" w:type="dxa"/>
          </w:tcPr>
          <w:p w14:paraId="6422E8FE"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p>
        </w:tc>
        <w:tc>
          <w:tcPr>
            <w:tcW w:w="2548" w:type="dxa"/>
          </w:tcPr>
          <w:p w14:paraId="2A513CE7" w14:textId="77777777" w:rsidR="008C0434" w:rsidRPr="009755B1" w:rsidRDefault="008C0434" w:rsidP="00DD2E4A">
            <w:pPr>
              <w:spacing w:after="100" w:line="276" w:lineRule="auto"/>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b/>
                <w:bCs/>
                <w:rtl/>
              </w:rPr>
            </w:pPr>
            <w:r w:rsidRPr="009755B1">
              <w:rPr>
                <w:rFonts w:ascii="Calibri" w:eastAsia="Calibri" w:hAnsi="Calibri" w:cs="Arial"/>
                <w:b/>
                <w:bCs/>
              </w:rPr>
              <w:t>Occupational Status</w:t>
            </w:r>
          </w:p>
        </w:tc>
      </w:tr>
      <w:tr w:rsidR="00D825AB" w:rsidRPr="009755B1" w14:paraId="30BA038D" w14:textId="77777777" w:rsidTr="00D8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7DD2DEE5"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1DBDFB5E"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1421" w:type="dxa"/>
          </w:tcPr>
          <w:p w14:paraId="1C610883"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68 (85.0%)</w:t>
            </w:r>
          </w:p>
        </w:tc>
        <w:tc>
          <w:tcPr>
            <w:tcW w:w="1476" w:type="dxa"/>
          </w:tcPr>
          <w:p w14:paraId="51904861"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32 (80.0%)</w:t>
            </w:r>
          </w:p>
        </w:tc>
        <w:tc>
          <w:tcPr>
            <w:tcW w:w="2489" w:type="dxa"/>
          </w:tcPr>
          <w:p w14:paraId="27359352"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36 (90.0%)</w:t>
            </w:r>
          </w:p>
        </w:tc>
        <w:tc>
          <w:tcPr>
            <w:tcW w:w="2548" w:type="dxa"/>
          </w:tcPr>
          <w:p w14:paraId="4D6181B6" w14:textId="77777777" w:rsidR="008C0434" w:rsidRPr="009755B1" w:rsidRDefault="008C0434" w:rsidP="00DD2E4A">
            <w:pPr>
              <w:spacing w:after="100" w:line="276" w:lineRule="auto"/>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r w:rsidRPr="009755B1">
              <w:rPr>
                <w:rFonts w:ascii="Calibri" w:eastAsia="Calibri" w:hAnsi="Calibri" w:cs="Arial"/>
              </w:rPr>
              <w:t>Homemaker</w:t>
            </w:r>
          </w:p>
        </w:tc>
      </w:tr>
      <w:tr w:rsidR="00D825AB" w:rsidRPr="009755B1" w14:paraId="49C5D11B" w14:textId="77777777" w:rsidTr="00D825AB">
        <w:tc>
          <w:tcPr>
            <w:cnfStyle w:val="001000000000" w:firstRow="0" w:lastRow="0" w:firstColumn="1" w:lastColumn="0" w:oddVBand="0" w:evenVBand="0" w:oddHBand="0" w:evenHBand="0" w:firstRowFirstColumn="0" w:firstRowLastColumn="0" w:lastRowFirstColumn="0" w:lastRowLastColumn="0"/>
            <w:tcW w:w="1130" w:type="dxa"/>
          </w:tcPr>
          <w:p w14:paraId="6B27094B"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539C709D"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tc>
        <w:tc>
          <w:tcPr>
            <w:tcW w:w="1421" w:type="dxa"/>
          </w:tcPr>
          <w:p w14:paraId="3399264E"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7 (8.8%)</w:t>
            </w:r>
          </w:p>
        </w:tc>
        <w:tc>
          <w:tcPr>
            <w:tcW w:w="1476" w:type="dxa"/>
          </w:tcPr>
          <w:p w14:paraId="155F4E10"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5 (12.5%)</w:t>
            </w:r>
          </w:p>
        </w:tc>
        <w:tc>
          <w:tcPr>
            <w:tcW w:w="2489" w:type="dxa"/>
          </w:tcPr>
          <w:p w14:paraId="0442797C"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2 (5.0%)</w:t>
            </w:r>
          </w:p>
        </w:tc>
        <w:tc>
          <w:tcPr>
            <w:tcW w:w="2548" w:type="dxa"/>
          </w:tcPr>
          <w:p w14:paraId="053B29F8" w14:textId="77777777" w:rsidR="008C0434" w:rsidRPr="009755B1" w:rsidRDefault="008C0434" w:rsidP="00DD2E4A">
            <w:pPr>
              <w:spacing w:after="100" w:line="276" w:lineRule="auto"/>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r w:rsidRPr="009755B1">
              <w:rPr>
                <w:rFonts w:ascii="Calibri" w:eastAsia="Calibri" w:hAnsi="Calibri" w:cs="Arial"/>
              </w:rPr>
              <w:t>Day-shift Employee</w:t>
            </w:r>
          </w:p>
        </w:tc>
      </w:tr>
      <w:tr w:rsidR="00D825AB" w:rsidRPr="009755B1" w14:paraId="695BA65A" w14:textId="77777777" w:rsidTr="00D8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44F3D39F"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590A5A4B"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1421" w:type="dxa"/>
          </w:tcPr>
          <w:p w14:paraId="7D36DFC9"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2 (2.5%)</w:t>
            </w:r>
          </w:p>
        </w:tc>
        <w:tc>
          <w:tcPr>
            <w:tcW w:w="1476" w:type="dxa"/>
          </w:tcPr>
          <w:p w14:paraId="3D341B7B"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2 (5.0%)</w:t>
            </w:r>
          </w:p>
        </w:tc>
        <w:tc>
          <w:tcPr>
            <w:tcW w:w="2489" w:type="dxa"/>
          </w:tcPr>
          <w:p w14:paraId="130F0219"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0 (0.0%)</w:t>
            </w:r>
          </w:p>
        </w:tc>
        <w:tc>
          <w:tcPr>
            <w:tcW w:w="2548" w:type="dxa"/>
          </w:tcPr>
          <w:p w14:paraId="41D02657" w14:textId="77777777" w:rsidR="008C0434" w:rsidRPr="009755B1" w:rsidRDefault="008C0434" w:rsidP="00DD2E4A">
            <w:pPr>
              <w:spacing w:after="100" w:line="276" w:lineRule="auto"/>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r w:rsidRPr="009755B1">
              <w:rPr>
                <w:rFonts w:ascii="Calibri" w:eastAsia="Calibri" w:hAnsi="Calibri" w:cs="Arial"/>
              </w:rPr>
              <w:t>Shift-work Employee</w:t>
            </w:r>
          </w:p>
        </w:tc>
      </w:tr>
      <w:tr w:rsidR="00D825AB" w:rsidRPr="009755B1" w14:paraId="66C8C881" w14:textId="77777777" w:rsidTr="00D825AB">
        <w:tc>
          <w:tcPr>
            <w:cnfStyle w:val="001000000000" w:firstRow="0" w:lastRow="0" w:firstColumn="1" w:lastColumn="0" w:oddVBand="0" w:evenVBand="0" w:oddHBand="0" w:evenHBand="0" w:firstRowFirstColumn="0" w:firstRowLastColumn="0" w:lastRowFirstColumn="0" w:lastRowLastColumn="0"/>
            <w:tcW w:w="1130" w:type="dxa"/>
          </w:tcPr>
          <w:p w14:paraId="7C09C739"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1E2CD191"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tc>
        <w:tc>
          <w:tcPr>
            <w:tcW w:w="1421" w:type="dxa"/>
          </w:tcPr>
          <w:p w14:paraId="387064E5"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3 (3.8%)</w:t>
            </w:r>
          </w:p>
        </w:tc>
        <w:tc>
          <w:tcPr>
            <w:tcW w:w="1476" w:type="dxa"/>
          </w:tcPr>
          <w:p w14:paraId="4ADB6807"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1 (2.5%)</w:t>
            </w:r>
          </w:p>
        </w:tc>
        <w:tc>
          <w:tcPr>
            <w:tcW w:w="2489" w:type="dxa"/>
          </w:tcPr>
          <w:p w14:paraId="5E32AF48"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2 (5.0%)</w:t>
            </w:r>
          </w:p>
        </w:tc>
        <w:tc>
          <w:tcPr>
            <w:tcW w:w="2548" w:type="dxa"/>
          </w:tcPr>
          <w:p w14:paraId="597B35B8" w14:textId="77777777" w:rsidR="008C0434" w:rsidRPr="009755B1" w:rsidRDefault="008C0434" w:rsidP="00DD2E4A">
            <w:pPr>
              <w:spacing w:after="100" w:line="276" w:lineRule="auto"/>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r w:rsidRPr="009755B1">
              <w:rPr>
                <w:rFonts w:ascii="Calibri" w:eastAsia="Calibri" w:hAnsi="Calibri" w:cs="Arial"/>
              </w:rPr>
              <w:t>Work from Home</w:t>
            </w:r>
          </w:p>
        </w:tc>
      </w:tr>
      <w:tr w:rsidR="00D825AB" w:rsidRPr="009755B1" w14:paraId="0C6B573D" w14:textId="77777777" w:rsidTr="00D8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3FC0F5F3" w14:textId="77777777" w:rsidR="008C0434" w:rsidRPr="009755B1" w:rsidRDefault="008C0434" w:rsidP="00DD2E4A">
            <w:pPr>
              <w:spacing w:after="100" w:line="276" w:lineRule="auto"/>
              <w:jc w:val="center"/>
              <w:rPr>
                <w:rFonts w:ascii="Calibri" w:eastAsia="Calibri" w:hAnsi="Calibri" w:cs="Arial"/>
                <w:rtl/>
              </w:rPr>
            </w:pPr>
            <w:r w:rsidRPr="009755B1">
              <w:rPr>
                <w:rFonts w:ascii="Calibri" w:eastAsia="Calibri" w:hAnsi="Calibri" w:cs="Arial"/>
                <w:rtl/>
              </w:rPr>
              <w:t>0.430</w:t>
            </w:r>
          </w:p>
        </w:tc>
        <w:tc>
          <w:tcPr>
            <w:tcW w:w="1421" w:type="dxa"/>
          </w:tcPr>
          <w:p w14:paraId="68A83322"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Style w:val="mord"/>
              </w:rPr>
              <w:t>χ2</w:t>
            </w:r>
            <w:r w:rsidRPr="009755B1">
              <w:t xml:space="preserve"> =   2.760</w:t>
            </w:r>
          </w:p>
        </w:tc>
        <w:tc>
          <w:tcPr>
            <w:tcW w:w="1421" w:type="dxa"/>
          </w:tcPr>
          <w:p w14:paraId="17BE809C"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p>
        </w:tc>
        <w:tc>
          <w:tcPr>
            <w:tcW w:w="1476" w:type="dxa"/>
          </w:tcPr>
          <w:p w14:paraId="0258B1AC"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p>
        </w:tc>
        <w:tc>
          <w:tcPr>
            <w:tcW w:w="2489" w:type="dxa"/>
          </w:tcPr>
          <w:p w14:paraId="1FA4D486"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p>
        </w:tc>
        <w:tc>
          <w:tcPr>
            <w:tcW w:w="2548" w:type="dxa"/>
          </w:tcPr>
          <w:p w14:paraId="1179E5A3" w14:textId="77777777" w:rsidR="008C0434" w:rsidRPr="009755B1" w:rsidRDefault="008C0434" w:rsidP="00DD2E4A">
            <w:pPr>
              <w:spacing w:after="100" w:line="276" w:lineRule="auto"/>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b/>
                <w:bCs/>
              </w:rPr>
            </w:pPr>
            <w:r w:rsidRPr="009755B1">
              <w:rPr>
                <w:rFonts w:ascii="Calibri" w:eastAsia="Calibri" w:hAnsi="Calibri" w:cs="Arial"/>
                <w:b/>
                <w:bCs/>
              </w:rPr>
              <w:t>Monthly Income (IRR*)</w:t>
            </w:r>
          </w:p>
        </w:tc>
      </w:tr>
      <w:tr w:rsidR="00D825AB" w:rsidRPr="009755B1" w14:paraId="62B4A161" w14:textId="77777777" w:rsidTr="00D825AB">
        <w:tc>
          <w:tcPr>
            <w:cnfStyle w:val="001000000000" w:firstRow="0" w:lastRow="0" w:firstColumn="1" w:lastColumn="0" w:oddVBand="0" w:evenVBand="0" w:oddHBand="0" w:evenHBand="0" w:firstRowFirstColumn="0" w:firstRowLastColumn="0" w:lastRowFirstColumn="0" w:lastRowLastColumn="0"/>
            <w:tcW w:w="1130" w:type="dxa"/>
          </w:tcPr>
          <w:p w14:paraId="0CFE7B68"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19D0F9C2"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tc>
        <w:tc>
          <w:tcPr>
            <w:tcW w:w="1421" w:type="dxa"/>
          </w:tcPr>
          <w:p w14:paraId="010A4B11"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9 (11.3%)</w:t>
            </w:r>
          </w:p>
        </w:tc>
        <w:tc>
          <w:tcPr>
            <w:tcW w:w="1476" w:type="dxa"/>
          </w:tcPr>
          <w:p w14:paraId="02EE7883"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4 (10.0%)</w:t>
            </w:r>
          </w:p>
        </w:tc>
        <w:tc>
          <w:tcPr>
            <w:tcW w:w="2489" w:type="dxa"/>
          </w:tcPr>
          <w:p w14:paraId="1191E8F3"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5 (12.5%)</w:t>
            </w:r>
          </w:p>
        </w:tc>
        <w:tc>
          <w:tcPr>
            <w:tcW w:w="2548" w:type="dxa"/>
          </w:tcPr>
          <w:p w14:paraId="25A26976" w14:textId="77777777" w:rsidR="008C0434" w:rsidRPr="009755B1" w:rsidRDefault="008C0434" w:rsidP="00DD2E4A">
            <w:pPr>
              <w:spacing w:after="100"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tl/>
              </w:rPr>
            </w:pPr>
            <w:r w:rsidRPr="009755B1">
              <w:rPr>
                <w:rFonts w:ascii="Times New Roman" w:eastAsia="Calibri" w:hAnsi="Times New Roman" w:cs="Times New Roman"/>
              </w:rPr>
              <w:t>&lt; 5 million</w:t>
            </w:r>
          </w:p>
        </w:tc>
      </w:tr>
      <w:tr w:rsidR="00D825AB" w:rsidRPr="009755B1" w14:paraId="0B5456FA" w14:textId="77777777" w:rsidTr="00D8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469FEFB3"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00BB85F1"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1421" w:type="dxa"/>
          </w:tcPr>
          <w:p w14:paraId="350E0ED9"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48 (60.0%)</w:t>
            </w:r>
          </w:p>
        </w:tc>
        <w:tc>
          <w:tcPr>
            <w:tcW w:w="1476" w:type="dxa"/>
          </w:tcPr>
          <w:p w14:paraId="775C5952"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26 (65.0%)</w:t>
            </w:r>
          </w:p>
        </w:tc>
        <w:tc>
          <w:tcPr>
            <w:tcW w:w="2489" w:type="dxa"/>
          </w:tcPr>
          <w:p w14:paraId="2CDB96DD"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22 (55.0%)</w:t>
            </w:r>
          </w:p>
        </w:tc>
        <w:tc>
          <w:tcPr>
            <w:tcW w:w="2548" w:type="dxa"/>
          </w:tcPr>
          <w:p w14:paraId="7F376616" w14:textId="77777777" w:rsidR="008C0434" w:rsidRPr="009755B1" w:rsidRDefault="008C0434" w:rsidP="00DD2E4A">
            <w:pPr>
              <w:spacing w:after="100"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tl/>
              </w:rPr>
            </w:pPr>
            <w:r w:rsidRPr="009755B1">
              <w:rPr>
                <w:rFonts w:ascii="Times New Roman" w:eastAsia="Calibri" w:hAnsi="Times New Roman" w:cs="Times New Roman"/>
              </w:rPr>
              <w:t>5–10 million</w:t>
            </w:r>
          </w:p>
        </w:tc>
      </w:tr>
      <w:tr w:rsidR="00D825AB" w:rsidRPr="009755B1" w14:paraId="4F0EF5D0" w14:textId="77777777" w:rsidTr="00D825AB">
        <w:tc>
          <w:tcPr>
            <w:cnfStyle w:val="001000000000" w:firstRow="0" w:lastRow="0" w:firstColumn="1" w:lastColumn="0" w:oddVBand="0" w:evenVBand="0" w:oddHBand="0" w:evenHBand="0" w:firstRowFirstColumn="0" w:firstRowLastColumn="0" w:lastRowFirstColumn="0" w:lastRowLastColumn="0"/>
            <w:tcW w:w="1130" w:type="dxa"/>
          </w:tcPr>
          <w:p w14:paraId="3D996766"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41207ED5"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tc>
        <w:tc>
          <w:tcPr>
            <w:tcW w:w="1421" w:type="dxa"/>
          </w:tcPr>
          <w:p w14:paraId="16AE95DC"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19 (23.8%)</w:t>
            </w:r>
          </w:p>
        </w:tc>
        <w:tc>
          <w:tcPr>
            <w:tcW w:w="1476" w:type="dxa"/>
          </w:tcPr>
          <w:p w14:paraId="42B7E2A7"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7 (17.5%)</w:t>
            </w:r>
          </w:p>
        </w:tc>
        <w:tc>
          <w:tcPr>
            <w:tcW w:w="2489" w:type="dxa"/>
          </w:tcPr>
          <w:p w14:paraId="237EF052"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12 (30.0%)</w:t>
            </w:r>
          </w:p>
        </w:tc>
        <w:tc>
          <w:tcPr>
            <w:tcW w:w="2548" w:type="dxa"/>
          </w:tcPr>
          <w:p w14:paraId="57D6307C" w14:textId="77777777" w:rsidR="008C0434" w:rsidRPr="009755B1" w:rsidRDefault="008C0434" w:rsidP="00DD2E4A">
            <w:pPr>
              <w:spacing w:after="100"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9755B1">
              <w:rPr>
                <w:rFonts w:ascii="Times New Roman" w:eastAsia="Calibri" w:hAnsi="Times New Roman" w:cs="Times New Roman"/>
              </w:rPr>
              <w:t>10–20 million</w:t>
            </w:r>
          </w:p>
        </w:tc>
      </w:tr>
      <w:tr w:rsidR="00D825AB" w:rsidRPr="009755B1" w14:paraId="78C5D5E6" w14:textId="77777777" w:rsidTr="00D8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0BF91491"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6D96B6A5"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1421" w:type="dxa"/>
          </w:tcPr>
          <w:p w14:paraId="49E9CC14"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4 (5.0%)</w:t>
            </w:r>
          </w:p>
        </w:tc>
        <w:tc>
          <w:tcPr>
            <w:tcW w:w="1476" w:type="dxa"/>
          </w:tcPr>
          <w:p w14:paraId="29470A16"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3 (7.5%)</w:t>
            </w:r>
          </w:p>
        </w:tc>
        <w:tc>
          <w:tcPr>
            <w:tcW w:w="2489" w:type="dxa"/>
          </w:tcPr>
          <w:p w14:paraId="255ABA45"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1 (2.5%)</w:t>
            </w:r>
          </w:p>
        </w:tc>
        <w:tc>
          <w:tcPr>
            <w:tcW w:w="2548" w:type="dxa"/>
          </w:tcPr>
          <w:p w14:paraId="24A8BF76" w14:textId="77777777" w:rsidR="008C0434" w:rsidRPr="009755B1" w:rsidRDefault="008C0434" w:rsidP="00DD2E4A">
            <w:pPr>
              <w:spacing w:after="100"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9755B1">
              <w:rPr>
                <w:rFonts w:ascii="Times New Roman" w:eastAsia="Calibri" w:hAnsi="Times New Roman" w:cs="Times New Roman"/>
              </w:rPr>
              <w:t>&gt; 20 million</w:t>
            </w:r>
          </w:p>
        </w:tc>
      </w:tr>
      <w:tr w:rsidR="00D825AB" w:rsidRPr="009755B1" w14:paraId="22FE108A" w14:textId="77777777" w:rsidTr="00D825AB">
        <w:tc>
          <w:tcPr>
            <w:cnfStyle w:val="001000000000" w:firstRow="0" w:lastRow="0" w:firstColumn="1" w:lastColumn="0" w:oddVBand="0" w:evenVBand="0" w:oddHBand="0" w:evenHBand="0" w:firstRowFirstColumn="0" w:firstRowLastColumn="0" w:lastRowFirstColumn="0" w:lastRowLastColumn="0"/>
            <w:tcW w:w="1130" w:type="dxa"/>
          </w:tcPr>
          <w:p w14:paraId="58ABD60F" w14:textId="77777777" w:rsidR="008C0434" w:rsidRPr="009755B1" w:rsidRDefault="008C0434" w:rsidP="00DD2E4A">
            <w:pPr>
              <w:spacing w:after="100" w:line="276" w:lineRule="auto"/>
              <w:jc w:val="center"/>
              <w:rPr>
                <w:rFonts w:ascii="Calibri" w:eastAsia="Calibri" w:hAnsi="Calibri" w:cs="Arial"/>
                <w:rtl/>
              </w:rPr>
            </w:pPr>
            <w:r w:rsidRPr="009755B1">
              <w:rPr>
                <w:rFonts w:ascii="Calibri" w:eastAsia="Calibri" w:hAnsi="Calibri" w:cs="Arial"/>
              </w:rPr>
              <w:t>.328</w:t>
            </w:r>
          </w:p>
        </w:tc>
        <w:tc>
          <w:tcPr>
            <w:tcW w:w="1421" w:type="dxa"/>
          </w:tcPr>
          <w:p w14:paraId="533FE0E1"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Style w:val="mord"/>
              </w:rPr>
              <w:t>χ2</w:t>
            </w:r>
            <w:r w:rsidRPr="009755B1">
              <w:t xml:space="preserve"> =   2.230</w:t>
            </w:r>
          </w:p>
        </w:tc>
        <w:tc>
          <w:tcPr>
            <w:tcW w:w="1421" w:type="dxa"/>
          </w:tcPr>
          <w:p w14:paraId="54A2F300"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p>
        </w:tc>
        <w:tc>
          <w:tcPr>
            <w:tcW w:w="1476" w:type="dxa"/>
          </w:tcPr>
          <w:p w14:paraId="0A5129FC"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p>
        </w:tc>
        <w:tc>
          <w:tcPr>
            <w:tcW w:w="2489" w:type="dxa"/>
          </w:tcPr>
          <w:p w14:paraId="66C459FF"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p>
        </w:tc>
        <w:tc>
          <w:tcPr>
            <w:tcW w:w="2548" w:type="dxa"/>
          </w:tcPr>
          <w:p w14:paraId="15BD8759" w14:textId="77777777" w:rsidR="008C0434" w:rsidRPr="009755B1" w:rsidRDefault="008C0434" w:rsidP="00DD2E4A">
            <w:pPr>
              <w:spacing w:after="100" w:line="276" w:lineRule="auto"/>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b/>
                <w:bCs/>
                <w:rtl/>
              </w:rPr>
            </w:pPr>
            <w:r w:rsidRPr="009755B1">
              <w:rPr>
                <w:rFonts w:ascii="Calibri" w:eastAsia="Calibri" w:hAnsi="Calibri" w:cs="Arial"/>
                <w:b/>
                <w:bCs/>
              </w:rPr>
              <w:t>Marital Status</w:t>
            </w:r>
          </w:p>
        </w:tc>
      </w:tr>
      <w:tr w:rsidR="00D825AB" w:rsidRPr="009755B1" w14:paraId="793642C4" w14:textId="77777777" w:rsidTr="00D8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07CD423F"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687322A2"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1421" w:type="dxa"/>
          </w:tcPr>
          <w:p w14:paraId="24048016"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70 (87.5%)</w:t>
            </w:r>
          </w:p>
        </w:tc>
        <w:tc>
          <w:tcPr>
            <w:tcW w:w="1476" w:type="dxa"/>
          </w:tcPr>
          <w:p w14:paraId="5BB2A0A9"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33 (82.5%)</w:t>
            </w:r>
          </w:p>
        </w:tc>
        <w:tc>
          <w:tcPr>
            <w:tcW w:w="2489" w:type="dxa"/>
          </w:tcPr>
          <w:p w14:paraId="6ECA56F9"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37 (92.5%)</w:t>
            </w:r>
          </w:p>
        </w:tc>
        <w:tc>
          <w:tcPr>
            <w:tcW w:w="2548" w:type="dxa"/>
          </w:tcPr>
          <w:p w14:paraId="637777A8" w14:textId="77777777" w:rsidR="008C0434" w:rsidRPr="009755B1" w:rsidRDefault="008C0434" w:rsidP="00DD2E4A">
            <w:pPr>
              <w:spacing w:after="100" w:line="276" w:lineRule="auto"/>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r w:rsidRPr="009755B1">
              <w:rPr>
                <w:rFonts w:ascii="Calibri" w:eastAsia="Calibri" w:hAnsi="Calibri" w:cs="Arial"/>
              </w:rPr>
              <w:t>Married</w:t>
            </w:r>
          </w:p>
        </w:tc>
      </w:tr>
      <w:tr w:rsidR="00D825AB" w:rsidRPr="009755B1" w14:paraId="3406707B" w14:textId="77777777" w:rsidTr="00D825AB">
        <w:tc>
          <w:tcPr>
            <w:cnfStyle w:val="001000000000" w:firstRow="0" w:lastRow="0" w:firstColumn="1" w:lastColumn="0" w:oddVBand="0" w:evenVBand="0" w:oddHBand="0" w:evenHBand="0" w:firstRowFirstColumn="0" w:firstRowLastColumn="0" w:lastRowFirstColumn="0" w:lastRowLastColumn="0"/>
            <w:tcW w:w="1130" w:type="dxa"/>
          </w:tcPr>
          <w:p w14:paraId="31AC5822"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3BBDDECD"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tc>
        <w:tc>
          <w:tcPr>
            <w:tcW w:w="1421" w:type="dxa"/>
          </w:tcPr>
          <w:p w14:paraId="7E193F20"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8 (10.0%)</w:t>
            </w:r>
          </w:p>
        </w:tc>
        <w:tc>
          <w:tcPr>
            <w:tcW w:w="1476" w:type="dxa"/>
          </w:tcPr>
          <w:p w14:paraId="2997BAF8"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6 (15.0%)</w:t>
            </w:r>
          </w:p>
        </w:tc>
        <w:tc>
          <w:tcPr>
            <w:tcW w:w="2489" w:type="dxa"/>
          </w:tcPr>
          <w:p w14:paraId="3CEC77D0"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2 (5.0%)</w:t>
            </w:r>
          </w:p>
        </w:tc>
        <w:tc>
          <w:tcPr>
            <w:tcW w:w="2548" w:type="dxa"/>
          </w:tcPr>
          <w:p w14:paraId="56BD377C" w14:textId="77777777" w:rsidR="008C0434" w:rsidRPr="009755B1" w:rsidRDefault="008C0434" w:rsidP="00DD2E4A">
            <w:pPr>
              <w:spacing w:after="100" w:line="276" w:lineRule="auto"/>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r w:rsidRPr="009755B1">
              <w:rPr>
                <w:rFonts w:ascii="Calibri" w:eastAsia="Calibri" w:hAnsi="Calibri" w:cs="Arial"/>
              </w:rPr>
              <w:t>Divorced</w:t>
            </w:r>
          </w:p>
        </w:tc>
      </w:tr>
      <w:tr w:rsidR="00D825AB" w:rsidRPr="009755B1" w14:paraId="39AB1280" w14:textId="77777777" w:rsidTr="00D8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7615EFC1"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429BAD7C"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1421" w:type="dxa"/>
          </w:tcPr>
          <w:p w14:paraId="695B36F3"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2 (2.5%)</w:t>
            </w:r>
          </w:p>
        </w:tc>
        <w:tc>
          <w:tcPr>
            <w:tcW w:w="1476" w:type="dxa"/>
          </w:tcPr>
          <w:p w14:paraId="6B57FE5D"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1 (2.5%)</w:t>
            </w:r>
          </w:p>
        </w:tc>
        <w:tc>
          <w:tcPr>
            <w:tcW w:w="2489" w:type="dxa"/>
          </w:tcPr>
          <w:p w14:paraId="29C619D1"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1 (2.5%)</w:t>
            </w:r>
          </w:p>
        </w:tc>
        <w:tc>
          <w:tcPr>
            <w:tcW w:w="2548" w:type="dxa"/>
          </w:tcPr>
          <w:p w14:paraId="2FD92D49" w14:textId="77777777" w:rsidR="008C0434" w:rsidRPr="009755B1" w:rsidRDefault="008C0434" w:rsidP="00DD2E4A">
            <w:pPr>
              <w:spacing w:after="100" w:line="276" w:lineRule="auto"/>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r w:rsidRPr="009755B1">
              <w:rPr>
                <w:rFonts w:ascii="Calibri" w:eastAsia="Calibri" w:hAnsi="Calibri" w:cs="Arial"/>
              </w:rPr>
              <w:t>Widowed</w:t>
            </w:r>
          </w:p>
        </w:tc>
      </w:tr>
      <w:tr w:rsidR="00D825AB" w:rsidRPr="009755B1" w14:paraId="561F5C20" w14:textId="77777777" w:rsidTr="00D825AB">
        <w:tc>
          <w:tcPr>
            <w:cnfStyle w:val="001000000000" w:firstRow="0" w:lastRow="0" w:firstColumn="1" w:lastColumn="0" w:oddVBand="0" w:evenVBand="0" w:oddHBand="0" w:evenHBand="0" w:firstRowFirstColumn="0" w:firstRowLastColumn="0" w:lastRowFirstColumn="0" w:lastRowLastColumn="0"/>
            <w:tcW w:w="1130" w:type="dxa"/>
          </w:tcPr>
          <w:p w14:paraId="72F18F30" w14:textId="77777777" w:rsidR="008C0434" w:rsidRPr="009755B1" w:rsidRDefault="008C0434" w:rsidP="00DD2E4A">
            <w:pPr>
              <w:spacing w:after="100" w:line="276" w:lineRule="auto"/>
              <w:jc w:val="center"/>
              <w:rPr>
                <w:rFonts w:ascii="Calibri" w:eastAsia="Calibri" w:hAnsi="Calibri" w:cs="Arial"/>
                <w:rtl/>
              </w:rPr>
            </w:pPr>
            <w:r w:rsidRPr="009755B1">
              <w:rPr>
                <w:rFonts w:ascii="Calibri" w:eastAsia="Calibri" w:hAnsi="Calibri" w:cs="Arial"/>
              </w:rPr>
              <w:t>.836</w:t>
            </w:r>
          </w:p>
        </w:tc>
        <w:tc>
          <w:tcPr>
            <w:tcW w:w="1421" w:type="dxa"/>
          </w:tcPr>
          <w:p w14:paraId="380F2AB6"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Style w:val="mord"/>
              </w:rPr>
              <w:t>χ2</w:t>
            </w:r>
            <w:r w:rsidRPr="009755B1">
              <w:t xml:space="preserve"> =   0.855</w:t>
            </w:r>
          </w:p>
        </w:tc>
        <w:tc>
          <w:tcPr>
            <w:tcW w:w="1421" w:type="dxa"/>
          </w:tcPr>
          <w:p w14:paraId="38E64EC6"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p>
        </w:tc>
        <w:tc>
          <w:tcPr>
            <w:tcW w:w="1476" w:type="dxa"/>
          </w:tcPr>
          <w:p w14:paraId="7668E6C8"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p>
        </w:tc>
        <w:tc>
          <w:tcPr>
            <w:tcW w:w="2489" w:type="dxa"/>
          </w:tcPr>
          <w:p w14:paraId="316A733B"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p>
        </w:tc>
        <w:tc>
          <w:tcPr>
            <w:tcW w:w="2548" w:type="dxa"/>
          </w:tcPr>
          <w:p w14:paraId="5BD3598D" w14:textId="77777777" w:rsidR="008C0434" w:rsidRPr="009755B1" w:rsidRDefault="008C0434" w:rsidP="00DD2E4A">
            <w:pPr>
              <w:spacing w:after="100" w:line="276" w:lineRule="auto"/>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b/>
                <w:bCs/>
                <w:rtl/>
              </w:rPr>
            </w:pPr>
            <w:r w:rsidRPr="009755B1">
              <w:rPr>
                <w:rFonts w:ascii="Calibri" w:eastAsia="Calibri" w:hAnsi="Calibri" w:cs="Arial"/>
                <w:b/>
                <w:bCs/>
              </w:rPr>
              <w:t>Number of Children</w:t>
            </w:r>
          </w:p>
        </w:tc>
      </w:tr>
      <w:tr w:rsidR="00D825AB" w:rsidRPr="009755B1" w14:paraId="645EBF8A" w14:textId="77777777" w:rsidTr="00D8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0C1E12AB"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78BED1D4"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1421" w:type="dxa"/>
          </w:tcPr>
          <w:p w14:paraId="4B84BC8F"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31 (38.8%)</w:t>
            </w:r>
          </w:p>
        </w:tc>
        <w:tc>
          <w:tcPr>
            <w:tcW w:w="1476" w:type="dxa"/>
          </w:tcPr>
          <w:p w14:paraId="3E428E3E"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17 (42.5%)</w:t>
            </w:r>
          </w:p>
        </w:tc>
        <w:tc>
          <w:tcPr>
            <w:tcW w:w="2489" w:type="dxa"/>
          </w:tcPr>
          <w:p w14:paraId="1A57C7A1"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14 (35.0%)</w:t>
            </w:r>
          </w:p>
        </w:tc>
        <w:tc>
          <w:tcPr>
            <w:tcW w:w="2548" w:type="dxa"/>
          </w:tcPr>
          <w:p w14:paraId="34921C91" w14:textId="77777777" w:rsidR="008C0434" w:rsidRPr="009755B1" w:rsidRDefault="008C0434" w:rsidP="00DD2E4A">
            <w:pPr>
              <w:spacing w:after="100" w:line="276" w:lineRule="auto"/>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r w:rsidRPr="009755B1">
              <w:rPr>
                <w:rFonts w:ascii="Calibri" w:eastAsia="Calibri" w:hAnsi="Calibri" w:cs="Arial" w:hint="cs"/>
                <w:rtl/>
              </w:rPr>
              <w:t>1</w:t>
            </w:r>
          </w:p>
        </w:tc>
      </w:tr>
      <w:tr w:rsidR="00D825AB" w:rsidRPr="009755B1" w14:paraId="6952EC3B" w14:textId="77777777" w:rsidTr="00D825AB">
        <w:tc>
          <w:tcPr>
            <w:cnfStyle w:val="001000000000" w:firstRow="0" w:lastRow="0" w:firstColumn="1" w:lastColumn="0" w:oddVBand="0" w:evenVBand="0" w:oddHBand="0" w:evenHBand="0" w:firstRowFirstColumn="0" w:firstRowLastColumn="0" w:lastRowFirstColumn="0" w:lastRowLastColumn="0"/>
            <w:tcW w:w="1130" w:type="dxa"/>
          </w:tcPr>
          <w:p w14:paraId="21E6FB4F"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3543C7F0"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tc>
        <w:tc>
          <w:tcPr>
            <w:tcW w:w="1421" w:type="dxa"/>
          </w:tcPr>
          <w:p w14:paraId="045A0B8C"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32 (40.0%)</w:t>
            </w:r>
          </w:p>
        </w:tc>
        <w:tc>
          <w:tcPr>
            <w:tcW w:w="1476" w:type="dxa"/>
          </w:tcPr>
          <w:p w14:paraId="0D79A6AB"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14 (35.0%)</w:t>
            </w:r>
          </w:p>
        </w:tc>
        <w:tc>
          <w:tcPr>
            <w:tcW w:w="2489" w:type="dxa"/>
          </w:tcPr>
          <w:p w14:paraId="0EFBB96D"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18 (45.0%)</w:t>
            </w:r>
          </w:p>
        </w:tc>
        <w:tc>
          <w:tcPr>
            <w:tcW w:w="2548" w:type="dxa"/>
          </w:tcPr>
          <w:p w14:paraId="6A055320" w14:textId="77777777" w:rsidR="008C0434" w:rsidRPr="009755B1" w:rsidRDefault="008C0434" w:rsidP="00DD2E4A">
            <w:pPr>
              <w:spacing w:after="100" w:line="276" w:lineRule="auto"/>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r w:rsidRPr="009755B1">
              <w:rPr>
                <w:rFonts w:ascii="Calibri" w:eastAsia="Calibri" w:hAnsi="Calibri" w:cs="Arial" w:hint="cs"/>
                <w:rtl/>
              </w:rPr>
              <w:t>2</w:t>
            </w:r>
          </w:p>
        </w:tc>
      </w:tr>
      <w:tr w:rsidR="00D825AB" w:rsidRPr="009755B1" w14:paraId="274A1391" w14:textId="77777777" w:rsidTr="00D8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2D3D8C12"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2D3352F3"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1421" w:type="dxa"/>
          </w:tcPr>
          <w:p w14:paraId="250207E6"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15 (18.8%)</w:t>
            </w:r>
          </w:p>
        </w:tc>
        <w:tc>
          <w:tcPr>
            <w:tcW w:w="1476" w:type="dxa"/>
          </w:tcPr>
          <w:p w14:paraId="59F5D14E"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8 (20.0%)</w:t>
            </w:r>
          </w:p>
        </w:tc>
        <w:tc>
          <w:tcPr>
            <w:tcW w:w="2489" w:type="dxa"/>
          </w:tcPr>
          <w:p w14:paraId="466B7381" w14:textId="77777777" w:rsidR="008C0434" w:rsidRPr="009755B1" w:rsidRDefault="008C0434" w:rsidP="00DD2E4A">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Arial"/>
                <w:rtl/>
              </w:rPr>
            </w:pPr>
            <w:r w:rsidRPr="009755B1">
              <w:rPr>
                <w:rFonts w:ascii="Calibri" w:eastAsia="Calibri" w:hAnsi="Calibri" w:cs="Arial"/>
              </w:rPr>
              <w:t>7 (17.5%)</w:t>
            </w:r>
          </w:p>
        </w:tc>
        <w:tc>
          <w:tcPr>
            <w:tcW w:w="2548" w:type="dxa"/>
          </w:tcPr>
          <w:p w14:paraId="233AF15C" w14:textId="77777777" w:rsidR="008C0434" w:rsidRPr="009755B1" w:rsidRDefault="008C0434" w:rsidP="00DD2E4A">
            <w:pPr>
              <w:spacing w:after="100" w:line="276" w:lineRule="auto"/>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r w:rsidRPr="009755B1">
              <w:rPr>
                <w:rFonts w:ascii="Calibri" w:eastAsia="Calibri" w:hAnsi="Calibri" w:cs="Arial" w:hint="cs"/>
                <w:rtl/>
              </w:rPr>
              <w:t>3</w:t>
            </w:r>
          </w:p>
        </w:tc>
      </w:tr>
      <w:tr w:rsidR="00D825AB" w:rsidRPr="009755B1" w14:paraId="07F71A5B" w14:textId="77777777" w:rsidTr="00D825AB">
        <w:tc>
          <w:tcPr>
            <w:cnfStyle w:val="001000000000" w:firstRow="0" w:lastRow="0" w:firstColumn="1" w:lastColumn="0" w:oddVBand="0" w:evenVBand="0" w:oddHBand="0" w:evenHBand="0" w:firstRowFirstColumn="0" w:firstRowLastColumn="0" w:lastRowFirstColumn="0" w:lastRowLastColumn="0"/>
            <w:tcW w:w="1130" w:type="dxa"/>
          </w:tcPr>
          <w:p w14:paraId="5FDD5D8B" w14:textId="77777777" w:rsidR="008C0434" w:rsidRPr="009755B1" w:rsidRDefault="008C0434" w:rsidP="00DD2E4A">
            <w:pPr>
              <w:spacing w:after="100" w:line="276" w:lineRule="auto"/>
              <w:jc w:val="center"/>
              <w:rPr>
                <w:rFonts w:ascii="Calibri" w:eastAsia="Calibri" w:hAnsi="Calibri" w:cs="Arial"/>
                <w:rtl/>
              </w:rPr>
            </w:pPr>
          </w:p>
        </w:tc>
        <w:tc>
          <w:tcPr>
            <w:tcW w:w="1421" w:type="dxa"/>
          </w:tcPr>
          <w:p w14:paraId="4A5A7C5B"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tc>
        <w:tc>
          <w:tcPr>
            <w:tcW w:w="1421" w:type="dxa"/>
          </w:tcPr>
          <w:p w14:paraId="0C618741"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2 (2.5%)</w:t>
            </w:r>
          </w:p>
        </w:tc>
        <w:tc>
          <w:tcPr>
            <w:tcW w:w="1476" w:type="dxa"/>
          </w:tcPr>
          <w:p w14:paraId="148E7413"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1 (2.5%)</w:t>
            </w:r>
          </w:p>
        </w:tc>
        <w:tc>
          <w:tcPr>
            <w:tcW w:w="2489" w:type="dxa"/>
          </w:tcPr>
          <w:p w14:paraId="3807BDDE" w14:textId="77777777" w:rsidR="008C0434" w:rsidRPr="009755B1" w:rsidRDefault="008C0434" w:rsidP="00DD2E4A">
            <w:pPr>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Fonts w:ascii="Calibri" w:eastAsia="Calibri" w:hAnsi="Calibri" w:cs="Arial"/>
              </w:rPr>
              <w:t>1 (2.5%)</w:t>
            </w:r>
          </w:p>
        </w:tc>
        <w:tc>
          <w:tcPr>
            <w:tcW w:w="2548" w:type="dxa"/>
          </w:tcPr>
          <w:p w14:paraId="1C0BB3A2" w14:textId="77777777" w:rsidR="008C0434" w:rsidRPr="009755B1" w:rsidRDefault="008C0434" w:rsidP="00DD2E4A">
            <w:pPr>
              <w:spacing w:after="100" w:line="276" w:lineRule="auto"/>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rtl/>
              </w:rPr>
            </w:pPr>
            <w:r w:rsidRPr="009755B1">
              <w:rPr>
                <w:rStyle w:val="katex-mathml"/>
              </w:rPr>
              <w:t>≥4</w:t>
            </w:r>
          </w:p>
        </w:tc>
      </w:tr>
    </w:tbl>
    <w:p w14:paraId="2DBAD9FE" w14:textId="77777777" w:rsidR="008C0434" w:rsidRPr="009755B1" w:rsidRDefault="008C0434" w:rsidP="008C0434">
      <w:pPr>
        <w:spacing w:before="100" w:beforeAutospacing="1" w:after="100" w:afterAutospacing="1" w:line="276" w:lineRule="auto"/>
        <w:jc w:val="both"/>
        <w:rPr>
          <w:rFonts w:ascii="Calibri" w:eastAsia="Calibri" w:hAnsi="Calibri" w:cs="Arial"/>
          <w:rtl/>
        </w:rPr>
      </w:pPr>
    </w:p>
    <w:p w14:paraId="7449C34E" w14:textId="77777777" w:rsidR="008C0434" w:rsidRPr="009755B1" w:rsidRDefault="008C0434" w:rsidP="008C0434">
      <w:pPr>
        <w:spacing w:before="100" w:beforeAutospacing="1" w:after="100" w:afterAutospacing="1" w:line="276" w:lineRule="auto"/>
        <w:jc w:val="both"/>
        <w:rPr>
          <w:rFonts w:ascii="Calibri" w:eastAsia="Calibri" w:hAnsi="Calibri" w:cs="Arial"/>
          <w:rtl/>
        </w:rPr>
      </w:pPr>
    </w:p>
    <w:p w14:paraId="4CD685F7" w14:textId="77777777" w:rsidR="008C0434" w:rsidRPr="009755B1" w:rsidRDefault="008C0434" w:rsidP="008C0434">
      <w:pPr>
        <w:spacing w:before="100" w:beforeAutospacing="1" w:after="100" w:afterAutospacing="1" w:line="276" w:lineRule="auto"/>
        <w:jc w:val="both"/>
        <w:rPr>
          <w:rFonts w:ascii="Calibri" w:eastAsia="Calibri" w:hAnsi="Calibri" w:cs="Arial"/>
          <w:rtl/>
        </w:rPr>
      </w:pPr>
    </w:p>
    <w:p w14:paraId="5CDE2DAB" w14:textId="77777777" w:rsidR="008C0434" w:rsidRPr="009755B1" w:rsidRDefault="008C0434" w:rsidP="008C0434">
      <w:pPr>
        <w:spacing w:before="100" w:beforeAutospacing="1" w:after="100" w:afterAutospacing="1" w:line="276" w:lineRule="auto"/>
        <w:jc w:val="both"/>
        <w:rPr>
          <w:rFonts w:ascii="Times New Roman" w:eastAsia="Times New Roman" w:hAnsi="Times New Roman" w:cs="Times New Roman"/>
          <w:sz w:val="24"/>
          <w:szCs w:val="24"/>
        </w:rPr>
      </w:pPr>
      <w:r w:rsidRPr="009755B1">
        <w:rPr>
          <w:rFonts w:ascii="Calibri" w:eastAsia="Calibri" w:hAnsi="Calibri" w:cs="Arial"/>
        </w:rPr>
        <w:br w:type="page"/>
      </w:r>
    </w:p>
    <w:p w14:paraId="528AEA43" w14:textId="77777777" w:rsidR="008C0434" w:rsidRPr="009755B1" w:rsidRDefault="008C0434" w:rsidP="008C0434">
      <w:pPr>
        <w:bidi w:val="0"/>
        <w:spacing w:before="100" w:beforeAutospacing="1" w:after="100" w:afterAutospacing="1" w:line="240" w:lineRule="auto"/>
        <w:jc w:val="both"/>
        <w:rPr>
          <w:rFonts w:ascii="Times New Roman" w:eastAsia="Times New Roman" w:hAnsi="Times New Roman" w:cs="Times New Roman"/>
          <w:sz w:val="20"/>
          <w:szCs w:val="20"/>
        </w:rPr>
      </w:pPr>
      <w:r w:rsidRPr="009755B1">
        <w:rPr>
          <w:rFonts w:ascii="Times New Roman" w:eastAsia="Times New Roman" w:hAnsi="Times New Roman" w:cs="Times New Roman"/>
          <w:i/>
          <w:iCs/>
          <w:sz w:val="20"/>
          <w:szCs w:val="20"/>
          <w:lang w:val="en"/>
        </w:rPr>
        <w:t>Note.</w:t>
      </w:r>
      <w:r w:rsidRPr="009755B1">
        <w:rPr>
          <w:rFonts w:ascii="Times New Roman" w:eastAsia="Times New Roman" w:hAnsi="Times New Roman" w:cs="Times New Roman"/>
          <w:sz w:val="20"/>
          <w:szCs w:val="20"/>
          <w:lang w:val="en"/>
        </w:rPr>
        <w:t xml:space="preserve"> p-values were calculated using the Chi-square test for categorical variables. All values are presented as n (%).</w:t>
      </w:r>
    </w:p>
    <w:p w14:paraId="3649F0D2" w14:textId="77777777" w:rsidR="008C0434" w:rsidRPr="009755B1" w:rsidRDefault="008C0434" w:rsidP="008C0434">
      <w:pPr>
        <w:bidi w:val="0"/>
        <w:spacing w:before="100" w:beforeAutospacing="1" w:after="100" w:afterAutospacing="1" w:line="240" w:lineRule="auto"/>
        <w:jc w:val="both"/>
        <w:rPr>
          <w:rFonts w:ascii="Times New Roman" w:eastAsia="Times New Roman" w:hAnsi="Times New Roman" w:cs="Times New Roman"/>
          <w:sz w:val="20"/>
          <w:szCs w:val="20"/>
        </w:rPr>
      </w:pPr>
      <w:r w:rsidRPr="009755B1">
        <w:rPr>
          <w:rFonts w:ascii="Times New Roman" w:eastAsia="Times New Roman" w:hAnsi="Times New Roman" w:cs="Times New Roman"/>
          <w:sz w:val="20"/>
          <w:szCs w:val="20"/>
          <w:lang w:val="en"/>
        </w:rPr>
        <w:t>* IRR, Iranian Rial.</w:t>
      </w:r>
    </w:p>
    <w:p w14:paraId="5A22246A" w14:textId="2A2EC1B1" w:rsidR="00C77330" w:rsidRPr="009755B1" w:rsidRDefault="00C77330" w:rsidP="00BA043E">
      <w:pPr>
        <w:pStyle w:val="NormalWeb"/>
        <w:spacing w:line="360" w:lineRule="auto"/>
        <w:jc w:val="both"/>
        <w:rPr>
          <w:lang w:val="en"/>
        </w:rPr>
      </w:pPr>
      <w:r w:rsidRPr="009755B1">
        <w:rPr>
          <w:lang w:val="en"/>
        </w:rPr>
        <w:t xml:space="preserve">Prior to executing the mixed-design analyses, the necessary statistical assumptions were rigorously evaluated. Box’s </w:t>
      </w:r>
      <w:r w:rsidRPr="009755B1">
        <w:rPr>
          <w:rStyle w:val="mord"/>
          <w:lang w:val="en"/>
        </w:rPr>
        <w:t>M</w:t>
      </w:r>
      <w:r w:rsidRPr="009755B1">
        <w:rPr>
          <w:lang w:val="en"/>
        </w:rPr>
        <w:t xml:space="preserve"> test for equality of covariance matrices showed non-significant results across all dependent variables, confirming the assumption of variance-covariance homogeneity: PSQI (</w:t>
      </w:r>
      <w:r w:rsidRPr="009755B1">
        <w:rPr>
          <w:rStyle w:val="katex-mathml"/>
          <w:lang w:val="en"/>
        </w:rPr>
        <w:t>M=5.</w:t>
      </w:r>
      <w:r w:rsidR="009940FF" w:rsidRPr="009755B1">
        <w:rPr>
          <w:rStyle w:val="katex-mathml"/>
          <w:lang w:val="en"/>
        </w:rPr>
        <w:t>484, F (</w:t>
      </w:r>
      <w:r w:rsidRPr="009755B1">
        <w:rPr>
          <w:rStyle w:val="katex-mathml"/>
          <w:lang w:val="en"/>
        </w:rPr>
        <w:t>6,44080.</w:t>
      </w:r>
      <w:r w:rsidR="009940FF" w:rsidRPr="009755B1">
        <w:rPr>
          <w:rStyle w:val="katex-mathml"/>
          <w:lang w:val="en"/>
        </w:rPr>
        <w:t>302) =</w:t>
      </w:r>
      <w:r w:rsidRPr="009755B1">
        <w:rPr>
          <w:rStyle w:val="katex-mathml"/>
          <w:lang w:val="en"/>
        </w:rPr>
        <w:t>0.</w:t>
      </w:r>
      <w:r w:rsidR="009940FF" w:rsidRPr="009755B1">
        <w:rPr>
          <w:rStyle w:val="katex-mathml"/>
          <w:lang w:val="en"/>
        </w:rPr>
        <w:t>876, p</w:t>
      </w:r>
      <w:r w:rsidRPr="009755B1">
        <w:rPr>
          <w:rStyle w:val="katex-mathml"/>
          <w:lang w:val="en"/>
        </w:rPr>
        <w:t>=.</w:t>
      </w:r>
      <w:r w:rsidR="009940FF" w:rsidRPr="009755B1">
        <w:rPr>
          <w:rStyle w:val="katex-mathml"/>
          <w:lang w:val="en"/>
        </w:rPr>
        <w:t>512</w:t>
      </w:r>
      <w:r w:rsidR="009940FF" w:rsidRPr="009755B1">
        <w:rPr>
          <w:lang w:val="en"/>
        </w:rPr>
        <w:t>,</w:t>
      </w:r>
      <w:r w:rsidRPr="009755B1">
        <w:rPr>
          <w:lang w:val="en"/>
        </w:rPr>
        <w:t xml:space="preserve"> CD-RISC (</w:t>
      </w:r>
      <w:r w:rsidRPr="009755B1">
        <w:rPr>
          <w:rStyle w:val="katex-mathml"/>
          <w:lang w:val="en"/>
        </w:rPr>
        <w:t>M=9.</w:t>
      </w:r>
      <w:r w:rsidR="009940FF" w:rsidRPr="009755B1">
        <w:rPr>
          <w:rStyle w:val="katex-mathml"/>
          <w:lang w:val="en"/>
        </w:rPr>
        <w:t>233, F (</w:t>
      </w:r>
      <w:r w:rsidRPr="009755B1">
        <w:rPr>
          <w:rStyle w:val="katex-mathml"/>
          <w:lang w:val="en"/>
        </w:rPr>
        <w:t>6,44080.</w:t>
      </w:r>
      <w:r w:rsidR="009940FF" w:rsidRPr="009755B1">
        <w:rPr>
          <w:rStyle w:val="katex-mathml"/>
          <w:lang w:val="en"/>
        </w:rPr>
        <w:t>302) =</w:t>
      </w:r>
      <w:r w:rsidRPr="009755B1">
        <w:rPr>
          <w:rStyle w:val="katex-mathml"/>
          <w:lang w:val="en"/>
        </w:rPr>
        <w:t>1.</w:t>
      </w:r>
      <w:r w:rsidR="009940FF" w:rsidRPr="009755B1">
        <w:rPr>
          <w:rStyle w:val="katex-mathml"/>
          <w:lang w:val="en"/>
        </w:rPr>
        <w:t>474, p</w:t>
      </w:r>
      <w:r w:rsidRPr="009755B1">
        <w:rPr>
          <w:rStyle w:val="katex-mathml"/>
          <w:lang w:val="en"/>
        </w:rPr>
        <w:t>=.182</w:t>
      </w:r>
      <w:r w:rsidRPr="009755B1">
        <w:rPr>
          <w:lang w:val="en"/>
        </w:rPr>
        <w:t>, and GHQ-28 (</w:t>
      </w:r>
      <w:r w:rsidRPr="009755B1">
        <w:rPr>
          <w:rStyle w:val="mord"/>
          <w:lang w:val="en"/>
        </w:rPr>
        <w:t>p</w:t>
      </w:r>
      <w:r w:rsidRPr="009755B1">
        <w:rPr>
          <w:rStyle w:val="mrel"/>
          <w:rFonts w:eastAsiaTheme="majorEastAsia"/>
          <w:lang w:val="en"/>
        </w:rPr>
        <w:t>&gt;</w:t>
      </w:r>
      <w:r w:rsidRPr="009755B1">
        <w:rPr>
          <w:rStyle w:val="mord"/>
          <w:lang w:val="en"/>
        </w:rPr>
        <w:t>.05</w:t>
      </w:r>
      <w:r w:rsidRPr="009755B1">
        <w:rPr>
          <w:lang w:val="en"/>
        </w:rPr>
        <w:t>). Levene’s test of equality of error variances confirmed homoscedasticity across groups across all assessment timepoints (</w:t>
      </w:r>
      <w:r w:rsidRPr="009755B1">
        <w:rPr>
          <w:rStyle w:val="mord"/>
          <w:lang w:val="en"/>
        </w:rPr>
        <w:t>p</w:t>
      </w:r>
      <w:r w:rsidRPr="009755B1">
        <w:rPr>
          <w:rStyle w:val="mrel"/>
          <w:rFonts w:eastAsiaTheme="majorEastAsia"/>
          <w:lang w:val="en"/>
        </w:rPr>
        <w:t>&gt;</w:t>
      </w:r>
      <w:r w:rsidRPr="009755B1">
        <w:rPr>
          <w:rStyle w:val="mord"/>
          <w:lang w:val="en"/>
        </w:rPr>
        <w:t>.05</w:t>
      </w:r>
      <w:r w:rsidRPr="009755B1">
        <w:rPr>
          <w:lang w:val="en"/>
        </w:rPr>
        <w:t>). Because Mauchly’s test indicated violations of sphericity for sleep quality (</w:t>
      </w:r>
      <w:r w:rsidRPr="009755B1">
        <w:rPr>
          <w:rStyle w:val="katex-mathml"/>
          <w:lang w:val="en"/>
        </w:rPr>
        <w:t>W=.</w:t>
      </w:r>
      <w:r w:rsidR="009940FF" w:rsidRPr="009755B1">
        <w:rPr>
          <w:rStyle w:val="katex-mathml"/>
          <w:lang w:val="en"/>
        </w:rPr>
        <w:t>869, χ</w:t>
      </w:r>
      <w:r w:rsidRPr="009755B1">
        <w:rPr>
          <w:rStyle w:val="katex-mathml"/>
          <w:lang w:val="en"/>
        </w:rPr>
        <w:t>2</w:t>
      </w:r>
      <w:r w:rsidR="009940FF" w:rsidRPr="009755B1">
        <w:rPr>
          <w:rStyle w:val="katex-mathml"/>
          <w:lang w:val="en"/>
        </w:rPr>
        <w:t>=</w:t>
      </w:r>
      <w:r w:rsidRPr="009755B1">
        <w:rPr>
          <w:rStyle w:val="katex-mathml"/>
          <w:lang w:val="en"/>
        </w:rPr>
        <w:t>10.</w:t>
      </w:r>
      <w:r w:rsidR="009940FF" w:rsidRPr="009755B1">
        <w:rPr>
          <w:rStyle w:val="katex-mathml"/>
          <w:lang w:val="en"/>
        </w:rPr>
        <w:t>830, p</w:t>
      </w:r>
      <w:r w:rsidRPr="009755B1">
        <w:rPr>
          <w:rStyle w:val="katex-mathml"/>
          <w:lang w:val="en"/>
        </w:rPr>
        <w:t>=.</w:t>
      </w:r>
      <w:r w:rsidR="009940FF" w:rsidRPr="009755B1">
        <w:rPr>
          <w:rStyle w:val="katex-mathml"/>
          <w:lang w:val="en"/>
        </w:rPr>
        <w:t>004, ϵ</w:t>
      </w:r>
      <w:r w:rsidRPr="009755B1">
        <w:rPr>
          <w:rStyle w:val="katex-mathml"/>
          <w:lang w:val="en"/>
        </w:rPr>
        <w:t>=.884</w:t>
      </w:r>
      <w:r w:rsidRPr="009755B1">
        <w:rPr>
          <w:lang w:val="en"/>
        </w:rPr>
        <w:t>) and resilience (</w:t>
      </w:r>
      <w:r w:rsidRPr="009755B1">
        <w:rPr>
          <w:rStyle w:val="katex-mathml"/>
          <w:lang w:val="en"/>
        </w:rPr>
        <w:t>W=.</w:t>
      </w:r>
      <w:r w:rsidR="009940FF" w:rsidRPr="009755B1">
        <w:rPr>
          <w:rStyle w:val="katex-mathml"/>
          <w:lang w:val="en"/>
        </w:rPr>
        <w:t>620, p</w:t>
      </w:r>
      <w:r w:rsidRPr="009755B1">
        <w:rPr>
          <w:rStyle w:val="katex-mathml"/>
          <w:lang w:val="en"/>
        </w:rPr>
        <w:t>&lt;.</w:t>
      </w:r>
      <w:r w:rsidR="009940FF" w:rsidRPr="009755B1">
        <w:rPr>
          <w:rStyle w:val="katex-mathml"/>
          <w:lang w:val="en"/>
        </w:rPr>
        <w:t>001, ϵ</w:t>
      </w:r>
      <w:r w:rsidRPr="009755B1">
        <w:rPr>
          <w:rStyle w:val="katex-mathml"/>
          <w:lang w:val="en"/>
        </w:rPr>
        <w:t>=.721</w:t>
      </w:r>
      <w:r w:rsidRPr="009755B1">
        <w:rPr>
          <w:lang w:val="en"/>
        </w:rPr>
        <w:t xml:space="preserve">), Greenhouse–Geisser corrected degrees of freedom and </w:t>
      </w:r>
      <w:r w:rsidRPr="009755B1">
        <w:rPr>
          <w:rStyle w:val="mord"/>
          <w:lang w:val="en"/>
        </w:rPr>
        <w:t>p</w:t>
      </w:r>
      <w:r w:rsidRPr="009755B1">
        <w:rPr>
          <w:lang w:val="en"/>
        </w:rPr>
        <w:t xml:space="preserve">-values are reported for within-subject effects.A series of </w:t>
      </w:r>
      <w:r w:rsidRPr="009755B1">
        <w:rPr>
          <w:rStyle w:val="katex-mathml"/>
          <w:lang w:val="en"/>
        </w:rPr>
        <w:t>2×</w:t>
      </w:r>
      <w:r w:rsidRPr="009755B1">
        <w:rPr>
          <w:rStyle w:val="mord"/>
          <w:lang w:val="en"/>
        </w:rPr>
        <w:t>3</w:t>
      </w:r>
      <w:r w:rsidRPr="009755B1">
        <w:rPr>
          <w:lang w:val="en"/>
        </w:rPr>
        <w:t xml:space="preserve"> Mixed-Design Repeated Measures ANOVAs were conducted to evaluate intervention efficacy across baseline (</w:t>
      </w:r>
      <w:r w:rsidRPr="009755B1">
        <w:rPr>
          <w:rStyle w:val="mord"/>
          <w:lang w:val="en"/>
        </w:rPr>
        <w:t>T1</w:t>
      </w:r>
      <w:r w:rsidRPr="009755B1">
        <w:rPr>
          <w:rStyle w:val="vlist-s"/>
          <w:lang w:val="en"/>
        </w:rPr>
        <w:t>​</w:t>
      </w:r>
      <w:r w:rsidRPr="009755B1">
        <w:rPr>
          <w:lang w:val="en"/>
        </w:rPr>
        <w:t>), post-intervention (</w:t>
      </w:r>
      <w:r w:rsidRPr="009755B1">
        <w:rPr>
          <w:rStyle w:val="mord"/>
          <w:lang w:val="en"/>
        </w:rPr>
        <w:t>T2</w:t>
      </w:r>
      <w:r w:rsidRPr="009755B1">
        <w:rPr>
          <w:rStyle w:val="vlist-s"/>
          <w:lang w:val="en"/>
        </w:rPr>
        <w:t>​</w:t>
      </w:r>
      <w:r w:rsidRPr="009755B1">
        <w:rPr>
          <w:lang w:val="en"/>
        </w:rPr>
        <w:t>), and 2-month follow-up (</w:t>
      </w:r>
      <w:r w:rsidRPr="009755B1">
        <w:rPr>
          <w:rStyle w:val="mord"/>
          <w:lang w:val="en"/>
        </w:rPr>
        <w:t>T3</w:t>
      </w:r>
      <w:r w:rsidRPr="009755B1">
        <w:rPr>
          <w:rStyle w:val="vlist-s"/>
          <w:lang w:val="en"/>
        </w:rPr>
        <w:t>​</w:t>
      </w:r>
      <w:r w:rsidRPr="009755B1">
        <w:rPr>
          <w:lang w:val="en"/>
        </w:rPr>
        <w:t xml:space="preserve">). Descriptive statistics and inferential test results are summarized in Table </w:t>
      </w:r>
      <w:r w:rsidR="00AA78DA" w:rsidRPr="009755B1">
        <w:rPr>
          <w:lang w:val="en"/>
        </w:rPr>
        <w:t>3</w:t>
      </w:r>
      <w:r w:rsidRPr="009755B1">
        <w:rPr>
          <w:lang w:val="en"/>
        </w:rPr>
        <w:t>.</w:t>
      </w:r>
    </w:p>
    <w:p w14:paraId="4684CBEA" w14:textId="68EADF03" w:rsidR="00AA78DA" w:rsidRPr="009755B1" w:rsidRDefault="00AA78DA" w:rsidP="004E2708">
      <w:pPr>
        <w:bidi w:val="0"/>
        <w:spacing w:before="100" w:beforeAutospacing="1" w:after="100" w:afterAutospacing="1" w:line="240" w:lineRule="auto"/>
        <w:outlineLvl w:val="2"/>
        <w:rPr>
          <w:rFonts w:ascii="Times New Roman" w:eastAsia="Times New Roman" w:hAnsi="Times New Roman" w:cs="Times New Roman"/>
          <w:sz w:val="24"/>
          <w:szCs w:val="24"/>
          <w:lang w:val="en"/>
        </w:rPr>
      </w:pPr>
      <w:r w:rsidRPr="009755B1">
        <w:rPr>
          <w:rFonts w:ascii="Times New Roman" w:eastAsia="Times New Roman" w:hAnsi="Times New Roman" w:cs="Times New Roman"/>
          <w:b/>
          <w:bCs/>
          <w:sz w:val="27"/>
          <w:szCs w:val="27"/>
          <w:lang w:val="en"/>
        </w:rPr>
        <w:t xml:space="preserve">Table </w:t>
      </w:r>
      <w:r w:rsidR="00C733A9" w:rsidRPr="009755B1">
        <w:rPr>
          <w:rFonts w:ascii="Times New Roman" w:eastAsia="Times New Roman" w:hAnsi="Times New Roman" w:cs="Times New Roman"/>
          <w:b/>
          <w:bCs/>
          <w:sz w:val="27"/>
          <w:szCs w:val="27"/>
          <w:lang w:val="en"/>
        </w:rPr>
        <w:t>3:</w:t>
      </w:r>
      <w:r w:rsidR="00C733A9" w:rsidRPr="009755B1">
        <w:rPr>
          <w:rFonts w:ascii="Times New Roman" w:eastAsia="Times New Roman" w:hAnsi="Times New Roman" w:cs="Times New Roman"/>
          <w:i/>
          <w:iCs/>
          <w:sz w:val="24"/>
          <w:szCs w:val="24"/>
          <w:lang w:val="en"/>
        </w:rPr>
        <w:t xml:space="preserve"> Descriptive</w:t>
      </w:r>
      <w:r w:rsidRPr="009755B1">
        <w:rPr>
          <w:rFonts w:ascii="Times New Roman" w:eastAsia="Times New Roman" w:hAnsi="Times New Roman" w:cs="Times New Roman"/>
          <w:i/>
          <w:iCs/>
          <w:sz w:val="24"/>
          <w:szCs w:val="24"/>
          <w:lang w:val="en"/>
        </w:rPr>
        <w:t xml:space="preserve"> Statistics and Mixed-Design Repeated Measures ANOVA for Primary Study Outcomes (N=80)</w:t>
      </w:r>
    </w:p>
    <w:tbl>
      <w:tblPr>
        <w:tblStyle w:val="GridTable21"/>
        <w:tblW w:w="15309" w:type="dxa"/>
        <w:tblLook w:val="04A0" w:firstRow="1" w:lastRow="0" w:firstColumn="1" w:lastColumn="0" w:noHBand="0" w:noVBand="1"/>
      </w:tblPr>
      <w:tblGrid>
        <w:gridCol w:w="1245"/>
        <w:gridCol w:w="1391"/>
        <w:gridCol w:w="1510"/>
        <w:gridCol w:w="1666"/>
        <w:gridCol w:w="1469"/>
        <w:gridCol w:w="1867"/>
        <w:gridCol w:w="2072"/>
        <w:gridCol w:w="1867"/>
        <w:gridCol w:w="2222"/>
      </w:tblGrid>
      <w:tr w:rsidR="00C9687E" w:rsidRPr="009755B1" w14:paraId="4453917B" w14:textId="77777777" w:rsidTr="00A617AA">
        <w:trPr>
          <w:cnfStyle w:val="100000000000" w:firstRow="1" w:lastRow="0" w:firstColumn="0" w:lastColumn="0" w:oddVBand="0" w:evenVBand="0" w:oddHBand="0"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245" w:type="dxa"/>
          </w:tcPr>
          <w:p w14:paraId="606EF908" w14:textId="76B504B8" w:rsidR="00CF1944" w:rsidRPr="009755B1" w:rsidRDefault="00CF1944" w:rsidP="00497F95">
            <w:pPr>
              <w:bidi w:val="0"/>
              <w:spacing w:before="100" w:beforeAutospacing="1" w:after="100" w:afterAutospacing="1" w:line="240" w:lineRule="auto"/>
            </w:pPr>
            <w:r w:rsidRPr="009755B1">
              <w:rPr>
                <w:rFonts w:ascii="Times New Roman" w:eastAsia="Times New Roman" w:hAnsi="Times New Roman" w:cs="Times New Roman"/>
                <w:sz w:val="24"/>
                <w:szCs w:val="24"/>
                <w:lang w:val="en"/>
              </w:rPr>
              <w:t>Outcome Variable</w:t>
            </w:r>
          </w:p>
        </w:tc>
        <w:tc>
          <w:tcPr>
            <w:tcW w:w="1391" w:type="dxa"/>
          </w:tcPr>
          <w:p w14:paraId="7D53C33A" w14:textId="5519F8EA" w:rsidR="00CF1944" w:rsidRPr="009755B1" w:rsidRDefault="00CF1944" w:rsidP="00497F95">
            <w:pPr>
              <w:bidi w:val="0"/>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t>Study Group</w:t>
            </w:r>
          </w:p>
        </w:tc>
        <w:tc>
          <w:tcPr>
            <w:tcW w:w="1510" w:type="dxa"/>
          </w:tcPr>
          <w:p w14:paraId="117570E6" w14:textId="515862DF" w:rsidR="00CF1944" w:rsidRPr="009755B1" w:rsidRDefault="00CF1944" w:rsidP="00497F95">
            <w:pPr>
              <w:bidi w:val="0"/>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t>Baseline (</w:t>
            </w:r>
            <w:r w:rsidRPr="009755B1">
              <w:rPr>
                <w:rStyle w:val="mord"/>
              </w:rPr>
              <w:t>T1</w:t>
            </w:r>
            <w:r w:rsidRPr="009755B1">
              <w:rPr>
                <w:rStyle w:val="vlist-s"/>
              </w:rPr>
              <w:t>​</w:t>
            </w:r>
            <w:r w:rsidRPr="009755B1">
              <w:t>)</w:t>
            </w:r>
          </w:p>
        </w:tc>
        <w:tc>
          <w:tcPr>
            <w:tcW w:w="1666" w:type="dxa"/>
          </w:tcPr>
          <w:p w14:paraId="6178DF86" w14:textId="3C9787FA" w:rsidR="00CF1944" w:rsidRPr="009755B1" w:rsidRDefault="00CF1944" w:rsidP="00497F95">
            <w:pPr>
              <w:bidi w:val="0"/>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t>Post-Test (</w:t>
            </w:r>
            <w:r w:rsidRPr="009755B1">
              <w:rPr>
                <w:rStyle w:val="mord"/>
              </w:rPr>
              <w:t>T2</w:t>
            </w:r>
            <w:r w:rsidRPr="009755B1">
              <w:rPr>
                <w:rStyle w:val="vlist-s"/>
              </w:rPr>
              <w:t>​</w:t>
            </w:r>
            <w:r w:rsidRPr="009755B1">
              <w:t>)</w:t>
            </w:r>
          </w:p>
        </w:tc>
        <w:tc>
          <w:tcPr>
            <w:tcW w:w="1469" w:type="dxa"/>
          </w:tcPr>
          <w:p w14:paraId="75240BD1" w14:textId="0D92AFF8" w:rsidR="00CF1944" w:rsidRPr="009755B1" w:rsidRDefault="00CF1944" w:rsidP="00497F95">
            <w:pPr>
              <w:bidi w:val="0"/>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t>Follow-Up (</w:t>
            </w:r>
            <w:r w:rsidRPr="009755B1">
              <w:rPr>
                <w:rStyle w:val="mord"/>
              </w:rPr>
              <w:t>T3</w:t>
            </w:r>
            <w:r w:rsidRPr="009755B1">
              <w:rPr>
                <w:rStyle w:val="vlist-s"/>
              </w:rPr>
              <w:t>​</w:t>
            </w:r>
            <w:r w:rsidRPr="009755B1">
              <w:t>)</w:t>
            </w:r>
          </w:p>
        </w:tc>
        <w:tc>
          <w:tcPr>
            <w:tcW w:w="1867" w:type="dxa"/>
          </w:tcPr>
          <w:p w14:paraId="02E63F99" w14:textId="501D347B" w:rsidR="00CF1944" w:rsidRPr="009755B1" w:rsidRDefault="00CF1944" w:rsidP="00497F95">
            <w:pPr>
              <w:bidi w:val="0"/>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t>Main Effect of Time</w:t>
            </w:r>
          </w:p>
        </w:tc>
        <w:tc>
          <w:tcPr>
            <w:tcW w:w="2072" w:type="dxa"/>
          </w:tcPr>
          <w:p w14:paraId="56228EFF" w14:textId="7024E145" w:rsidR="00CF1944" w:rsidRPr="009755B1" w:rsidRDefault="00CF1944" w:rsidP="00497F95">
            <w:pPr>
              <w:bidi w:val="0"/>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p>
        </w:tc>
        <w:tc>
          <w:tcPr>
            <w:tcW w:w="1867" w:type="dxa"/>
          </w:tcPr>
          <w:p w14:paraId="3988BD86" w14:textId="1CC64647" w:rsidR="00CF1944" w:rsidRPr="009755B1" w:rsidRDefault="00CF1944" w:rsidP="00497F95">
            <w:pPr>
              <w:bidi w:val="0"/>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pPr>
            <w:r w:rsidRPr="009755B1">
              <w:t xml:space="preserve">Time </w:t>
            </w:r>
            <w:r w:rsidRPr="009755B1">
              <w:rPr>
                <w:rStyle w:val="mord"/>
              </w:rPr>
              <w:t>×</w:t>
            </w:r>
            <w:r w:rsidRPr="009755B1">
              <w:t xml:space="preserve"> Group Interaction</w:t>
            </w:r>
          </w:p>
        </w:tc>
        <w:tc>
          <w:tcPr>
            <w:tcW w:w="2222" w:type="dxa"/>
          </w:tcPr>
          <w:p w14:paraId="28C6CAB1" w14:textId="77777777" w:rsidR="00CF1944" w:rsidRPr="009755B1" w:rsidRDefault="00CF1944" w:rsidP="00497F95">
            <w:pPr>
              <w:bidi w:val="0"/>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p>
        </w:tc>
      </w:tr>
      <w:tr w:rsidR="00C9687E" w:rsidRPr="009755B1" w14:paraId="722B4ABF" w14:textId="77777777" w:rsidTr="00A617AA">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245" w:type="dxa"/>
          </w:tcPr>
          <w:p w14:paraId="70F6CE93" w14:textId="77777777" w:rsidR="00CF1944" w:rsidRPr="009755B1" w:rsidRDefault="00CF1944" w:rsidP="00497F95">
            <w:pPr>
              <w:bidi w:val="0"/>
              <w:spacing w:before="100" w:beforeAutospacing="1" w:after="100" w:afterAutospacing="1" w:line="240" w:lineRule="auto"/>
              <w:rPr>
                <w:rFonts w:ascii="Times New Roman" w:eastAsia="Times New Roman" w:hAnsi="Times New Roman" w:cs="Times New Roman"/>
                <w:sz w:val="24"/>
                <w:szCs w:val="24"/>
                <w:lang w:val="en"/>
              </w:rPr>
            </w:pPr>
          </w:p>
        </w:tc>
        <w:tc>
          <w:tcPr>
            <w:tcW w:w="1391" w:type="dxa"/>
          </w:tcPr>
          <w:p w14:paraId="5500FA8B" w14:textId="1C548173" w:rsidR="00CF1944" w:rsidRPr="009755B1" w:rsidRDefault="00CF1944" w:rsidP="00497F9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
              </w:rPr>
            </w:pPr>
          </w:p>
        </w:tc>
        <w:tc>
          <w:tcPr>
            <w:tcW w:w="1510" w:type="dxa"/>
          </w:tcPr>
          <w:p w14:paraId="21987EB0" w14:textId="39B74E8B" w:rsidR="00CF1944" w:rsidRPr="009755B1" w:rsidRDefault="00CF1944" w:rsidP="00497F9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
              </w:rPr>
            </w:pPr>
            <w:r w:rsidRPr="009755B1">
              <w:rPr>
                <w:rStyle w:val="mord"/>
                <w:rFonts w:asciiTheme="majorBidi" w:hAnsiTheme="majorBidi" w:cstheme="majorBidi"/>
              </w:rPr>
              <w:t>M</w:t>
            </w:r>
            <w:r w:rsidRPr="009755B1">
              <w:rPr>
                <w:rStyle w:val="mbin"/>
                <w:rFonts w:asciiTheme="majorBidi" w:hAnsiTheme="majorBidi" w:cstheme="majorBidi"/>
              </w:rPr>
              <w:t>±</w:t>
            </w:r>
            <w:r w:rsidRPr="009755B1">
              <w:rPr>
                <w:rStyle w:val="mord"/>
                <w:rFonts w:asciiTheme="majorBidi" w:hAnsiTheme="majorBidi" w:cstheme="majorBidi"/>
              </w:rPr>
              <w:t>SD</w:t>
            </w:r>
          </w:p>
        </w:tc>
        <w:tc>
          <w:tcPr>
            <w:tcW w:w="1666" w:type="dxa"/>
          </w:tcPr>
          <w:p w14:paraId="7240F7C2" w14:textId="6C8DACD9" w:rsidR="00CF1944" w:rsidRPr="009755B1" w:rsidRDefault="00CF1944" w:rsidP="00497F9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
              </w:rPr>
            </w:pPr>
            <w:r w:rsidRPr="009755B1">
              <w:rPr>
                <w:rStyle w:val="mord"/>
                <w:rFonts w:asciiTheme="majorBidi" w:hAnsiTheme="majorBidi" w:cstheme="majorBidi"/>
              </w:rPr>
              <w:t>M</w:t>
            </w:r>
            <w:r w:rsidRPr="009755B1">
              <w:rPr>
                <w:rStyle w:val="mbin"/>
                <w:rFonts w:asciiTheme="majorBidi" w:hAnsiTheme="majorBidi" w:cstheme="majorBidi"/>
              </w:rPr>
              <w:t>±</w:t>
            </w:r>
            <w:r w:rsidRPr="009755B1">
              <w:rPr>
                <w:rStyle w:val="mord"/>
                <w:rFonts w:asciiTheme="majorBidi" w:hAnsiTheme="majorBidi" w:cstheme="majorBidi"/>
              </w:rPr>
              <w:t>SD</w:t>
            </w:r>
          </w:p>
        </w:tc>
        <w:tc>
          <w:tcPr>
            <w:tcW w:w="1469" w:type="dxa"/>
          </w:tcPr>
          <w:p w14:paraId="416DB4CE" w14:textId="0B9B1364" w:rsidR="00CF1944" w:rsidRPr="009755B1" w:rsidRDefault="00CF1944" w:rsidP="00497F9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
              </w:rPr>
            </w:pPr>
            <w:r w:rsidRPr="009755B1">
              <w:rPr>
                <w:rStyle w:val="mord"/>
                <w:rFonts w:asciiTheme="majorBidi" w:hAnsiTheme="majorBidi" w:cstheme="majorBidi"/>
              </w:rPr>
              <w:t>M</w:t>
            </w:r>
            <w:r w:rsidRPr="009755B1">
              <w:rPr>
                <w:rStyle w:val="mbin"/>
                <w:rFonts w:asciiTheme="majorBidi" w:hAnsiTheme="majorBidi" w:cstheme="majorBidi"/>
              </w:rPr>
              <w:t>±</w:t>
            </w:r>
            <w:r w:rsidRPr="009755B1">
              <w:rPr>
                <w:rStyle w:val="mord"/>
                <w:rFonts w:asciiTheme="majorBidi" w:hAnsiTheme="majorBidi" w:cstheme="majorBidi"/>
              </w:rPr>
              <w:t>SD</w:t>
            </w:r>
          </w:p>
        </w:tc>
        <w:tc>
          <w:tcPr>
            <w:tcW w:w="1867" w:type="dxa"/>
          </w:tcPr>
          <w:p w14:paraId="28BE08E5" w14:textId="169ACFBF" w:rsidR="00CF1944" w:rsidRPr="009755B1" w:rsidRDefault="00CF1944" w:rsidP="00497F9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
              </w:rPr>
            </w:pPr>
            <w:r w:rsidRPr="009755B1">
              <w:rPr>
                <w:rStyle w:val="mord"/>
                <w:rFonts w:asciiTheme="majorBidi" w:hAnsiTheme="majorBidi" w:cstheme="majorBidi"/>
              </w:rPr>
              <w:t>F</w:t>
            </w:r>
            <w:r w:rsidRPr="009755B1">
              <w:rPr>
                <w:rFonts w:asciiTheme="majorBidi" w:hAnsiTheme="majorBidi" w:cstheme="majorBidi"/>
              </w:rPr>
              <w:t xml:space="preserve"> (</w:t>
            </w:r>
            <w:r w:rsidRPr="009755B1">
              <w:rPr>
                <w:rStyle w:val="katex-mathml"/>
                <w:rFonts w:asciiTheme="majorBidi" w:hAnsiTheme="majorBidi" w:cstheme="majorBidi"/>
              </w:rPr>
              <w:t>df</w:t>
            </w:r>
            <w:r w:rsidRPr="009755B1">
              <w:rPr>
                <w:rFonts w:asciiTheme="majorBidi" w:eastAsia="Times New Roman" w:hAnsiTheme="majorBidi" w:cstheme="majorBidi"/>
                <w:sz w:val="24"/>
                <w:szCs w:val="24"/>
                <w:lang w:val="en"/>
              </w:rPr>
              <w:t>)</w:t>
            </w:r>
          </w:p>
        </w:tc>
        <w:tc>
          <w:tcPr>
            <w:tcW w:w="2072" w:type="dxa"/>
          </w:tcPr>
          <w:p w14:paraId="1D680CAA" w14:textId="664AEC9B" w:rsidR="00CF1944" w:rsidRPr="009755B1" w:rsidRDefault="00CF1944" w:rsidP="00497F9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
              </w:rPr>
            </w:pPr>
            <w:r w:rsidRPr="009755B1">
              <w:rPr>
                <w:rFonts w:asciiTheme="majorBidi" w:hAnsiTheme="majorBidi" w:cstheme="majorBidi"/>
              </w:rPr>
              <w:t xml:space="preserve">  p                  ηp2</w:t>
            </w:r>
          </w:p>
        </w:tc>
        <w:tc>
          <w:tcPr>
            <w:tcW w:w="1867" w:type="dxa"/>
          </w:tcPr>
          <w:p w14:paraId="788506B2" w14:textId="7D82C6D7" w:rsidR="00CF1944" w:rsidRPr="009755B1" w:rsidRDefault="00CF1944" w:rsidP="00497F9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
              </w:rPr>
            </w:pPr>
            <w:r w:rsidRPr="009755B1">
              <w:rPr>
                <w:rFonts w:asciiTheme="majorBidi" w:eastAsia="Times New Roman" w:hAnsiTheme="majorBidi" w:cstheme="majorBidi"/>
                <w:sz w:val="24"/>
                <w:szCs w:val="24"/>
                <w:lang w:val="en"/>
              </w:rPr>
              <w:t>F (df)</w:t>
            </w:r>
          </w:p>
        </w:tc>
        <w:tc>
          <w:tcPr>
            <w:tcW w:w="2222" w:type="dxa"/>
          </w:tcPr>
          <w:p w14:paraId="002F3D74" w14:textId="3EABA0C1" w:rsidR="00CF1944" w:rsidRPr="009755B1" w:rsidRDefault="00CF1944" w:rsidP="00497F9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
              </w:rPr>
            </w:pPr>
            <w:r w:rsidRPr="009755B1">
              <w:rPr>
                <w:rFonts w:asciiTheme="majorBidi" w:eastAsia="Times New Roman" w:hAnsiTheme="majorBidi" w:cstheme="majorBidi"/>
                <w:sz w:val="24"/>
                <w:szCs w:val="24"/>
                <w:lang w:val="en"/>
              </w:rPr>
              <w:t xml:space="preserve">  p                 ηp2          </w:t>
            </w:r>
          </w:p>
        </w:tc>
      </w:tr>
      <w:tr w:rsidR="00A617AA" w:rsidRPr="009755B1" w14:paraId="137D6106" w14:textId="77777777" w:rsidTr="00A617AA">
        <w:trPr>
          <w:trHeight w:val="505"/>
        </w:trPr>
        <w:tc>
          <w:tcPr>
            <w:cnfStyle w:val="001000000000" w:firstRow="0" w:lastRow="0" w:firstColumn="1" w:lastColumn="0" w:oddVBand="0" w:evenVBand="0" w:oddHBand="0" w:evenHBand="0" w:firstRowFirstColumn="0" w:firstRowLastColumn="0" w:lastRowFirstColumn="0" w:lastRowLastColumn="0"/>
            <w:tcW w:w="1245" w:type="dxa"/>
          </w:tcPr>
          <w:p w14:paraId="406CBB98" w14:textId="6F8EB6EA" w:rsidR="009F20E5" w:rsidRPr="009755B1" w:rsidRDefault="009F20E5" w:rsidP="009F20E5">
            <w:pPr>
              <w:bidi w:val="0"/>
              <w:spacing w:before="100" w:beforeAutospacing="1" w:after="100" w:afterAutospacing="1" w:line="240" w:lineRule="auto"/>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Sleep Quality (PSQI)</w:t>
            </w:r>
            <w:r w:rsidR="00B65B63" w:rsidRPr="009755B1">
              <w:t xml:space="preserve"> </w:t>
            </w:r>
            <w:r w:rsidR="00B65B63" w:rsidRPr="009755B1">
              <w:rPr>
                <w:rFonts w:ascii="Times New Roman" w:eastAsia="Times New Roman" w:hAnsi="Times New Roman" w:cs="Times New Roman"/>
                <w:sz w:val="24"/>
                <w:szCs w:val="24"/>
                <w:lang w:val="en"/>
              </w:rPr>
              <w:t>†</w:t>
            </w:r>
          </w:p>
        </w:tc>
        <w:tc>
          <w:tcPr>
            <w:tcW w:w="1391" w:type="dxa"/>
          </w:tcPr>
          <w:p w14:paraId="01DF7E25" w14:textId="0DA6CD78"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Intervention (n=40)</w:t>
            </w:r>
          </w:p>
        </w:tc>
        <w:tc>
          <w:tcPr>
            <w:tcW w:w="1510" w:type="dxa"/>
          </w:tcPr>
          <w:p w14:paraId="75F7158C" w14:textId="277A1E61"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t xml:space="preserve">12.27±2.83 </w:t>
            </w:r>
          </w:p>
        </w:tc>
        <w:tc>
          <w:tcPr>
            <w:tcW w:w="1666" w:type="dxa"/>
          </w:tcPr>
          <w:p w14:paraId="2302A056" w14:textId="51F118E6"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11.60</w:t>
            </w:r>
            <w:r w:rsidRPr="009755B1">
              <w:t>±2.77</w:t>
            </w:r>
          </w:p>
        </w:tc>
        <w:tc>
          <w:tcPr>
            <w:tcW w:w="1469" w:type="dxa"/>
          </w:tcPr>
          <w:p w14:paraId="36CDD331" w14:textId="70D7A8C4"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t>11.15±2. 56</w:t>
            </w:r>
          </w:p>
        </w:tc>
        <w:tc>
          <w:tcPr>
            <w:tcW w:w="1867" w:type="dxa"/>
          </w:tcPr>
          <w:p w14:paraId="112BD160" w14:textId="7D70FBB1"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14.228</w:t>
            </w:r>
          </w:p>
        </w:tc>
        <w:tc>
          <w:tcPr>
            <w:tcW w:w="2072" w:type="dxa"/>
          </w:tcPr>
          <w:p w14:paraId="590C09CB" w14:textId="001EE5FF"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tl/>
                <w:lang w:val="en"/>
              </w:rPr>
            </w:pPr>
            <w:r w:rsidRPr="009755B1">
              <w:rPr>
                <w:rStyle w:val="mrel"/>
              </w:rPr>
              <w:t>&lt;</w:t>
            </w:r>
            <w:r w:rsidRPr="009755B1">
              <w:rPr>
                <w:rStyle w:val="mord"/>
              </w:rPr>
              <w:t>.001</w:t>
            </w:r>
            <w:r w:rsidRPr="009755B1">
              <w:rPr>
                <w:rStyle w:val="mbin"/>
                <w:rFonts w:ascii="Cambria Math" w:hAnsi="Cambria Math" w:cs="Cambria Math"/>
              </w:rPr>
              <w:t>∗</w:t>
            </w:r>
            <w:r w:rsidRPr="009755B1">
              <w:rPr>
                <w:rStyle w:val="katex-mathml"/>
              </w:rPr>
              <w:t xml:space="preserve">        .154</w:t>
            </w:r>
          </w:p>
        </w:tc>
        <w:tc>
          <w:tcPr>
            <w:tcW w:w="1867" w:type="dxa"/>
          </w:tcPr>
          <w:p w14:paraId="2DB434BD" w14:textId="3C6A21C8"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rPr>
                <w:rStyle w:val="mord"/>
              </w:rPr>
              <w:t>17.736</w:t>
            </w:r>
          </w:p>
        </w:tc>
        <w:tc>
          <w:tcPr>
            <w:tcW w:w="2222" w:type="dxa"/>
          </w:tcPr>
          <w:p w14:paraId="6C8A3322" w14:textId="18EB7E8B"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rPr>
                <w:rStyle w:val="mrel"/>
              </w:rPr>
              <w:t>&lt;</w:t>
            </w:r>
            <w:r w:rsidRPr="009755B1">
              <w:rPr>
                <w:rStyle w:val="mord"/>
              </w:rPr>
              <w:t>.001</w:t>
            </w:r>
            <w:r w:rsidRPr="009755B1">
              <w:rPr>
                <w:rStyle w:val="mbin"/>
                <w:rFonts w:ascii="Cambria Math" w:hAnsi="Cambria Math" w:cs="Cambria Math"/>
                <w:vertAlign w:val="superscript"/>
              </w:rPr>
              <w:t>∗</w:t>
            </w:r>
            <w:r w:rsidRPr="009755B1">
              <w:rPr>
                <w:rStyle w:val="katex-mathml"/>
                <w:vertAlign w:val="superscript"/>
              </w:rPr>
              <w:t xml:space="preserve"> </w:t>
            </w:r>
            <w:r w:rsidRPr="009755B1">
              <w:rPr>
                <w:rStyle w:val="katex-mathml"/>
              </w:rPr>
              <w:t xml:space="preserve">       .185</w:t>
            </w:r>
          </w:p>
        </w:tc>
      </w:tr>
      <w:tr w:rsidR="00C9687E" w:rsidRPr="009755B1" w14:paraId="1BA5C438" w14:textId="77777777" w:rsidTr="00A617AA">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245" w:type="dxa"/>
          </w:tcPr>
          <w:p w14:paraId="225FB519" w14:textId="77777777" w:rsidR="009F20E5" w:rsidRPr="009755B1" w:rsidRDefault="009F20E5" w:rsidP="009F20E5">
            <w:pPr>
              <w:bidi w:val="0"/>
              <w:spacing w:before="100" w:beforeAutospacing="1" w:after="100" w:afterAutospacing="1" w:line="240" w:lineRule="auto"/>
              <w:rPr>
                <w:rFonts w:ascii="Times New Roman" w:eastAsia="Times New Roman" w:hAnsi="Times New Roman" w:cs="Times New Roman"/>
                <w:sz w:val="24"/>
                <w:szCs w:val="24"/>
                <w:lang w:val="en"/>
              </w:rPr>
            </w:pPr>
          </w:p>
        </w:tc>
        <w:tc>
          <w:tcPr>
            <w:tcW w:w="1391" w:type="dxa"/>
          </w:tcPr>
          <w:p w14:paraId="4BFFDD19" w14:textId="19F6A7C6" w:rsidR="009F20E5" w:rsidRPr="009755B1" w:rsidRDefault="009F20E5" w:rsidP="009F20E5">
            <w:pPr>
              <w:bidi w:val="0"/>
              <w:spacing w:before="100" w:beforeAutospacing="1" w:after="100" w:afterAutospacing="1"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Control (n=40)</w:t>
            </w:r>
          </w:p>
        </w:tc>
        <w:tc>
          <w:tcPr>
            <w:tcW w:w="1510" w:type="dxa"/>
          </w:tcPr>
          <w:p w14:paraId="31D1F195" w14:textId="0A74FBB4"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55B1">
              <w:t xml:space="preserve">11.88±2.45 </w:t>
            </w:r>
          </w:p>
        </w:tc>
        <w:tc>
          <w:tcPr>
            <w:tcW w:w="1666" w:type="dxa"/>
          </w:tcPr>
          <w:p w14:paraId="5E2DB160" w14:textId="45704B6B"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rPr>
                <w:rStyle w:val="katex-mathml"/>
              </w:rPr>
              <w:t xml:space="preserve">12.00±2.46 </w:t>
            </w:r>
          </w:p>
        </w:tc>
        <w:tc>
          <w:tcPr>
            <w:tcW w:w="1469" w:type="dxa"/>
          </w:tcPr>
          <w:p w14:paraId="19FA9E52" w14:textId="677AE60D"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t>11.93±2.54</w:t>
            </w:r>
          </w:p>
        </w:tc>
        <w:tc>
          <w:tcPr>
            <w:tcW w:w="1867" w:type="dxa"/>
          </w:tcPr>
          <w:p w14:paraId="3E987F97" w14:textId="0E78DB0B"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rPr>
                <w:rStyle w:val="mopen"/>
              </w:rPr>
              <w:t>(</w:t>
            </w:r>
            <w:r w:rsidRPr="009755B1">
              <w:rPr>
                <w:rStyle w:val="mord"/>
              </w:rPr>
              <w:t>1.768</w:t>
            </w:r>
            <w:r w:rsidRPr="009755B1">
              <w:rPr>
                <w:rStyle w:val="mpunct"/>
              </w:rPr>
              <w:t>,</w:t>
            </w:r>
            <w:r w:rsidRPr="009755B1">
              <w:rPr>
                <w:rStyle w:val="mord"/>
              </w:rPr>
              <w:t>137.906</w:t>
            </w:r>
            <w:r w:rsidRPr="009755B1">
              <w:rPr>
                <w:rStyle w:val="mclose"/>
              </w:rPr>
              <w:t>)</w:t>
            </w:r>
          </w:p>
        </w:tc>
        <w:tc>
          <w:tcPr>
            <w:tcW w:w="2072" w:type="dxa"/>
          </w:tcPr>
          <w:p w14:paraId="7B63887D" w14:textId="4C74E91F"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p>
        </w:tc>
        <w:tc>
          <w:tcPr>
            <w:tcW w:w="1867" w:type="dxa"/>
          </w:tcPr>
          <w:p w14:paraId="4D94FAA6" w14:textId="6CEABC17"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rPr>
                <w:rStyle w:val="mopen"/>
              </w:rPr>
              <w:t>(</w:t>
            </w:r>
            <w:r w:rsidRPr="009755B1">
              <w:rPr>
                <w:rStyle w:val="mord"/>
              </w:rPr>
              <w:t>1.768</w:t>
            </w:r>
            <w:r w:rsidRPr="009755B1">
              <w:rPr>
                <w:rStyle w:val="mpunct"/>
              </w:rPr>
              <w:t>,</w:t>
            </w:r>
            <w:r w:rsidRPr="009755B1">
              <w:rPr>
                <w:rStyle w:val="mord"/>
              </w:rPr>
              <w:t>137.906</w:t>
            </w:r>
            <w:r w:rsidRPr="009755B1">
              <w:rPr>
                <w:rStyle w:val="mclose"/>
              </w:rPr>
              <w:t>)</w:t>
            </w:r>
          </w:p>
        </w:tc>
        <w:tc>
          <w:tcPr>
            <w:tcW w:w="2222" w:type="dxa"/>
          </w:tcPr>
          <w:p w14:paraId="7C6EB8A5" w14:textId="77777777"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p>
        </w:tc>
      </w:tr>
      <w:tr w:rsidR="00A617AA" w:rsidRPr="009755B1" w14:paraId="59426B0F" w14:textId="77777777" w:rsidTr="00A617AA">
        <w:trPr>
          <w:trHeight w:val="505"/>
        </w:trPr>
        <w:tc>
          <w:tcPr>
            <w:cnfStyle w:val="001000000000" w:firstRow="0" w:lastRow="0" w:firstColumn="1" w:lastColumn="0" w:oddVBand="0" w:evenVBand="0" w:oddHBand="0" w:evenHBand="0" w:firstRowFirstColumn="0" w:firstRowLastColumn="0" w:lastRowFirstColumn="0" w:lastRowLastColumn="0"/>
            <w:tcW w:w="1245" w:type="dxa"/>
          </w:tcPr>
          <w:p w14:paraId="11CAE6C1" w14:textId="77777777" w:rsidR="009F20E5" w:rsidRPr="009755B1" w:rsidRDefault="009F20E5" w:rsidP="009F20E5">
            <w:pPr>
              <w:bidi w:val="0"/>
              <w:spacing w:before="100" w:beforeAutospacing="1" w:after="100" w:afterAutospacing="1" w:line="240" w:lineRule="auto"/>
              <w:rPr>
                <w:rFonts w:ascii="Times New Roman" w:eastAsia="Times New Roman" w:hAnsi="Times New Roman" w:cs="Times New Roman"/>
                <w:sz w:val="24"/>
                <w:szCs w:val="24"/>
                <w:lang w:val="en"/>
              </w:rPr>
            </w:pPr>
          </w:p>
        </w:tc>
        <w:tc>
          <w:tcPr>
            <w:tcW w:w="1391" w:type="dxa"/>
          </w:tcPr>
          <w:p w14:paraId="41654E11" w14:textId="19EC63E7"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Total Cohort (N=80)</w:t>
            </w:r>
          </w:p>
        </w:tc>
        <w:tc>
          <w:tcPr>
            <w:tcW w:w="1510" w:type="dxa"/>
          </w:tcPr>
          <w:p w14:paraId="6670C514" w14:textId="3652CDC9"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t>12.07±2.64</w:t>
            </w:r>
          </w:p>
        </w:tc>
        <w:tc>
          <w:tcPr>
            <w:tcW w:w="1666" w:type="dxa"/>
          </w:tcPr>
          <w:p w14:paraId="0F45877B" w14:textId="0DC76A38"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55B1">
              <w:rPr>
                <w:rFonts w:ascii="Times New Roman" w:eastAsia="Times New Roman" w:hAnsi="Times New Roman" w:cs="Times New Roman"/>
                <w:sz w:val="24"/>
                <w:szCs w:val="24"/>
                <w:lang w:val="en"/>
              </w:rPr>
              <w:t>11.80±2.61</w:t>
            </w:r>
          </w:p>
        </w:tc>
        <w:tc>
          <w:tcPr>
            <w:tcW w:w="1469" w:type="dxa"/>
          </w:tcPr>
          <w:p w14:paraId="796B2CC8" w14:textId="3BF97FBA"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55B1">
              <w:t xml:space="preserve">11.54±2.56 </w:t>
            </w:r>
          </w:p>
        </w:tc>
        <w:tc>
          <w:tcPr>
            <w:tcW w:w="1867" w:type="dxa"/>
          </w:tcPr>
          <w:p w14:paraId="1FA1F037" w14:textId="25034C60"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2072" w:type="dxa"/>
          </w:tcPr>
          <w:p w14:paraId="228935B0" w14:textId="37D0CE39"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p>
        </w:tc>
        <w:tc>
          <w:tcPr>
            <w:tcW w:w="1867" w:type="dxa"/>
          </w:tcPr>
          <w:p w14:paraId="7C270D8B" w14:textId="77777777"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p>
        </w:tc>
        <w:tc>
          <w:tcPr>
            <w:tcW w:w="2222" w:type="dxa"/>
          </w:tcPr>
          <w:p w14:paraId="3EC1E137" w14:textId="77777777"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p>
        </w:tc>
      </w:tr>
      <w:tr w:rsidR="00C9687E" w:rsidRPr="009755B1" w14:paraId="15A20C8C" w14:textId="77777777" w:rsidTr="00A617AA">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245" w:type="dxa"/>
          </w:tcPr>
          <w:p w14:paraId="0585A532" w14:textId="79601539" w:rsidR="009F20E5" w:rsidRPr="009755B1" w:rsidRDefault="009F20E5" w:rsidP="009F20E5">
            <w:pPr>
              <w:bidi w:val="0"/>
              <w:spacing w:before="100" w:beforeAutospacing="1" w:after="100" w:afterAutospacing="1" w:line="240" w:lineRule="auto"/>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 xml:space="preserve">Resilience (CD-RISC) </w:t>
            </w:r>
            <w:r w:rsidR="00B65B63" w:rsidRPr="009755B1">
              <w:rPr>
                <w:rFonts w:ascii="Times New Roman" w:eastAsia="Times New Roman" w:hAnsi="Times New Roman" w:cs="Times New Roman"/>
                <w:sz w:val="24"/>
                <w:szCs w:val="24"/>
                <w:lang w:val="en"/>
              </w:rPr>
              <w:t>‡</w:t>
            </w:r>
          </w:p>
        </w:tc>
        <w:tc>
          <w:tcPr>
            <w:tcW w:w="1391" w:type="dxa"/>
          </w:tcPr>
          <w:p w14:paraId="6412065F" w14:textId="27554247"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Intervention (n=40)</w:t>
            </w:r>
          </w:p>
        </w:tc>
        <w:tc>
          <w:tcPr>
            <w:tcW w:w="1510" w:type="dxa"/>
          </w:tcPr>
          <w:p w14:paraId="228B683E" w14:textId="46E7512B"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t>64.08±10.90</w:t>
            </w:r>
          </w:p>
        </w:tc>
        <w:tc>
          <w:tcPr>
            <w:tcW w:w="1666" w:type="dxa"/>
          </w:tcPr>
          <w:p w14:paraId="592AE46B" w14:textId="2704A513"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rPr>
                <w:rStyle w:val="mord"/>
              </w:rPr>
              <w:t>70.33</w:t>
            </w:r>
            <w:r w:rsidRPr="009755B1">
              <w:rPr>
                <w:rStyle w:val="mbin"/>
              </w:rPr>
              <w:t>±</w:t>
            </w:r>
            <w:r w:rsidRPr="009755B1">
              <w:rPr>
                <w:rStyle w:val="mord"/>
              </w:rPr>
              <w:t>9.64</w:t>
            </w:r>
          </w:p>
        </w:tc>
        <w:tc>
          <w:tcPr>
            <w:tcW w:w="1469" w:type="dxa"/>
          </w:tcPr>
          <w:p w14:paraId="5D89CB2A" w14:textId="1086A87D"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t xml:space="preserve">71.43±8.16 </w:t>
            </w:r>
          </w:p>
        </w:tc>
        <w:tc>
          <w:tcPr>
            <w:tcW w:w="1867" w:type="dxa"/>
          </w:tcPr>
          <w:p w14:paraId="0A43F27D" w14:textId="1E2C7E1E" w:rsidR="009F20E5" w:rsidRPr="009755B1" w:rsidRDefault="00A229CF"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12.961</w:t>
            </w:r>
          </w:p>
        </w:tc>
        <w:tc>
          <w:tcPr>
            <w:tcW w:w="2072" w:type="dxa"/>
          </w:tcPr>
          <w:p w14:paraId="6BBA4BEC" w14:textId="16FB266F" w:rsidR="009F20E5" w:rsidRPr="009755B1" w:rsidRDefault="00CE5988"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&lt;.001</w:t>
            </w:r>
            <w:r w:rsidRPr="009755B1">
              <w:rPr>
                <w:rFonts w:ascii="Cambria Math" w:eastAsia="Times New Roman" w:hAnsi="Cambria Math" w:cs="Cambria Math"/>
                <w:sz w:val="24"/>
                <w:szCs w:val="24"/>
                <w:lang w:val="en"/>
              </w:rPr>
              <w:t>∗</w:t>
            </w:r>
            <w:r w:rsidRPr="009755B1">
              <w:rPr>
                <w:rFonts w:ascii="Times New Roman" w:eastAsia="Times New Roman" w:hAnsi="Times New Roman" w:cs="Times New Roman"/>
                <w:sz w:val="24"/>
                <w:szCs w:val="24"/>
                <w:lang w:val="en"/>
              </w:rPr>
              <w:t xml:space="preserve">        .142</w:t>
            </w:r>
          </w:p>
        </w:tc>
        <w:tc>
          <w:tcPr>
            <w:tcW w:w="1867" w:type="dxa"/>
          </w:tcPr>
          <w:p w14:paraId="7DF2605B" w14:textId="46FE0F49" w:rsidR="009F20E5" w:rsidRPr="009755B1" w:rsidRDefault="00CE5988"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14.360</w:t>
            </w:r>
          </w:p>
        </w:tc>
        <w:tc>
          <w:tcPr>
            <w:tcW w:w="2222" w:type="dxa"/>
          </w:tcPr>
          <w:p w14:paraId="398B5F18" w14:textId="78524FC4"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&lt;.001</w:t>
            </w:r>
            <w:r w:rsidRPr="009755B1">
              <w:rPr>
                <w:rFonts w:ascii="Cambria Math" w:eastAsia="Times New Roman" w:hAnsi="Cambria Math" w:cs="Cambria Math"/>
                <w:sz w:val="24"/>
                <w:szCs w:val="24"/>
                <w:vertAlign w:val="superscript"/>
                <w:lang w:val="en"/>
              </w:rPr>
              <w:t>∗</w:t>
            </w:r>
            <w:r w:rsidRPr="009755B1">
              <w:rPr>
                <w:rFonts w:ascii="Times New Roman" w:eastAsia="Times New Roman" w:hAnsi="Times New Roman" w:cs="Times New Roman"/>
                <w:sz w:val="24"/>
                <w:szCs w:val="24"/>
                <w:lang w:val="en"/>
              </w:rPr>
              <w:t xml:space="preserve">        .155</w:t>
            </w:r>
          </w:p>
        </w:tc>
      </w:tr>
      <w:tr w:rsidR="00A617AA" w:rsidRPr="009755B1" w14:paraId="59BFE623" w14:textId="77777777" w:rsidTr="00A617AA">
        <w:trPr>
          <w:trHeight w:val="505"/>
        </w:trPr>
        <w:tc>
          <w:tcPr>
            <w:cnfStyle w:val="001000000000" w:firstRow="0" w:lastRow="0" w:firstColumn="1" w:lastColumn="0" w:oddVBand="0" w:evenVBand="0" w:oddHBand="0" w:evenHBand="0" w:firstRowFirstColumn="0" w:firstRowLastColumn="0" w:lastRowFirstColumn="0" w:lastRowLastColumn="0"/>
            <w:tcW w:w="1245" w:type="dxa"/>
          </w:tcPr>
          <w:p w14:paraId="0AEB717D" w14:textId="77777777" w:rsidR="009F20E5" w:rsidRPr="009755B1" w:rsidRDefault="009F20E5" w:rsidP="009F20E5">
            <w:pPr>
              <w:bidi w:val="0"/>
              <w:spacing w:before="100" w:beforeAutospacing="1" w:after="100" w:afterAutospacing="1" w:line="240" w:lineRule="auto"/>
              <w:rPr>
                <w:rFonts w:ascii="Times New Roman" w:eastAsia="Times New Roman" w:hAnsi="Times New Roman" w:cs="Times New Roman"/>
                <w:sz w:val="24"/>
                <w:szCs w:val="24"/>
                <w:lang w:val="en"/>
              </w:rPr>
            </w:pPr>
          </w:p>
        </w:tc>
        <w:tc>
          <w:tcPr>
            <w:tcW w:w="1391" w:type="dxa"/>
          </w:tcPr>
          <w:p w14:paraId="04C82311" w14:textId="6EE39BB1"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Control (n=40)</w:t>
            </w:r>
          </w:p>
        </w:tc>
        <w:tc>
          <w:tcPr>
            <w:tcW w:w="1510" w:type="dxa"/>
          </w:tcPr>
          <w:p w14:paraId="0CF5EC3D" w14:textId="06ECD7FD"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t>60.43±10.35</w:t>
            </w:r>
          </w:p>
        </w:tc>
        <w:tc>
          <w:tcPr>
            <w:tcW w:w="1666" w:type="dxa"/>
          </w:tcPr>
          <w:p w14:paraId="5174A851" w14:textId="70D6E9C8"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lang w:val="en"/>
              </w:rPr>
              <w:t>60.33±10.45</w:t>
            </w:r>
          </w:p>
        </w:tc>
        <w:tc>
          <w:tcPr>
            <w:tcW w:w="1469" w:type="dxa"/>
          </w:tcPr>
          <w:p w14:paraId="036A0232" w14:textId="5F198CD2"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t xml:space="preserve">60.20±8.68 </w:t>
            </w:r>
          </w:p>
        </w:tc>
        <w:tc>
          <w:tcPr>
            <w:tcW w:w="1867" w:type="dxa"/>
          </w:tcPr>
          <w:p w14:paraId="14E2F8AE" w14:textId="6A891121" w:rsidR="009F20E5" w:rsidRPr="009755B1" w:rsidRDefault="00A229CF"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(1.442,112.453)</w:t>
            </w:r>
          </w:p>
        </w:tc>
        <w:tc>
          <w:tcPr>
            <w:tcW w:w="2072" w:type="dxa"/>
          </w:tcPr>
          <w:p w14:paraId="626AEDBF" w14:textId="7BB63351"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p>
        </w:tc>
        <w:tc>
          <w:tcPr>
            <w:tcW w:w="1867" w:type="dxa"/>
          </w:tcPr>
          <w:p w14:paraId="5DF80978" w14:textId="349A6B6D" w:rsidR="009F20E5" w:rsidRPr="009755B1" w:rsidRDefault="00CE5988"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(1.442,112.453)</w:t>
            </w:r>
          </w:p>
        </w:tc>
        <w:tc>
          <w:tcPr>
            <w:tcW w:w="2222" w:type="dxa"/>
          </w:tcPr>
          <w:p w14:paraId="2CBE7916" w14:textId="77777777"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p>
        </w:tc>
      </w:tr>
      <w:tr w:rsidR="00C9687E" w:rsidRPr="009755B1" w14:paraId="3E89E398" w14:textId="77777777" w:rsidTr="00A617AA">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1245" w:type="dxa"/>
          </w:tcPr>
          <w:p w14:paraId="54FFBC15" w14:textId="77777777" w:rsidR="009F20E5" w:rsidRPr="009755B1" w:rsidRDefault="009F20E5" w:rsidP="009F20E5">
            <w:pPr>
              <w:bidi w:val="0"/>
              <w:spacing w:before="100" w:beforeAutospacing="1" w:after="100" w:afterAutospacing="1" w:line="240" w:lineRule="auto"/>
              <w:rPr>
                <w:rFonts w:ascii="Times New Roman" w:eastAsia="Times New Roman" w:hAnsi="Times New Roman" w:cs="Times New Roman"/>
                <w:sz w:val="24"/>
                <w:szCs w:val="24"/>
                <w:lang w:val="en"/>
              </w:rPr>
            </w:pPr>
          </w:p>
        </w:tc>
        <w:tc>
          <w:tcPr>
            <w:tcW w:w="1391" w:type="dxa"/>
          </w:tcPr>
          <w:p w14:paraId="31ECA67B" w14:textId="1E19E20D"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Total Cohort (N=80)</w:t>
            </w:r>
          </w:p>
        </w:tc>
        <w:tc>
          <w:tcPr>
            <w:tcW w:w="1510" w:type="dxa"/>
          </w:tcPr>
          <w:p w14:paraId="5EBB8763" w14:textId="7BA6E260"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62.25±10.72</w:t>
            </w:r>
          </w:p>
        </w:tc>
        <w:tc>
          <w:tcPr>
            <w:tcW w:w="1666" w:type="dxa"/>
          </w:tcPr>
          <w:p w14:paraId="5B45BE79" w14:textId="641DFCC0"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t xml:space="preserve">65.32±11.18 </w:t>
            </w:r>
          </w:p>
        </w:tc>
        <w:tc>
          <w:tcPr>
            <w:tcW w:w="1469" w:type="dxa"/>
          </w:tcPr>
          <w:p w14:paraId="1DA91C2C" w14:textId="723C3ADD"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t xml:space="preserve">65.81±10.10 </w:t>
            </w:r>
          </w:p>
        </w:tc>
        <w:tc>
          <w:tcPr>
            <w:tcW w:w="1867" w:type="dxa"/>
          </w:tcPr>
          <w:p w14:paraId="7BAA9341" w14:textId="77777777"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p>
        </w:tc>
        <w:tc>
          <w:tcPr>
            <w:tcW w:w="2072" w:type="dxa"/>
          </w:tcPr>
          <w:p w14:paraId="59E02B8F" w14:textId="613EF375"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p>
        </w:tc>
        <w:tc>
          <w:tcPr>
            <w:tcW w:w="1867" w:type="dxa"/>
          </w:tcPr>
          <w:p w14:paraId="28EAE820" w14:textId="77777777"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p>
        </w:tc>
        <w:tc>
          <w:tcPr>
            <w:tcW w:w="2222" w:type="dxa"/>
          </w:tcPr>
          <w:p w14:paraId="33B2DC01" w14:textId="77777777"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p>
        </w:tc>
      </w:tr>
      <w:tr w:rsidR="00A617AA" w:rsidRPr="009755B1" w14:paraId="0CF04B90" w14:textId="77777777" w:rsidTr="00A617AA">
        <w:trPr>
          <w:trHeight w:val="505"/>
        </w:trPr>
        <w:tc>
          <w:tcPr>
            <w:cnfStyle w:val="001000000000" w:firstRow="0" w:lastRow="0" w:firstColumn="1" w:lastColumn="0" w:oddVBand="0" w:evenVBand="0" w:oddHBand="0" w:evenHBand="0" w:firstRowFirstColumn="0" w:firstRowLastColumn="0" w:lastRowFirstColumn="0" w:lastRowLastColumn="0"/>
            <w:tcW w:w="1245" w:type="dxa"/>
          </w:tcPr>
          <w:p w14:paraId="569ED554" w14:textId="60D7FE9F" w:rsidR="00860CC1" w:rsidRPr="009755B1" w:rsidRDefault="00860CC1" w:rsidP="00860CC1">
            <w:pPr>
              <w:bidi w:val="0"/>
              <w:spacing w:before="100" w:beforeAutospacing="1" w:after="100" w:afterAutospacing="1" w:line="240" w:lineRule="auto"/>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General Health (GHQ-28)</w:t>
            </w:r>
            <w:r w:rsidR="00B65B63" w:rsidRPr="009755B1">
              <w:t xml:space="preserve"> </w:t>
            </w:r>
            <w:r w:rsidR="00B65B63" w:rsidRPr="009755B1">
              <w:rPr>
                <w:rFonts w:ascii="Times New Roman" w:eastAsia="Times New Roman" w:hAnsi="Times New Roman" w:cs="Times New Roman"/>
                <w:sz w:val="24"/>
                <w:szCs w:val="24"/>
                <w:lang w:val="en"/>
              </w:rPr>
              <w:t>†</w:t>
            </w:r>
          </w:p>
        </w:tc>
        <w:tc>
          <w:tcPr>
            <w:tcW w:w="1391" w:type="dxa"/>
          </w:tcPr>
          <w:p w14:paraId="266AE510" w14:textId="6AFA8D86" w:rsidR="00860CC1" w:rsidRPr="009755B1" w:rsidRDefault="00860CC1" w:rsidP="00860CC1">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55B1">
              <w:t>Intervention (n=40)</w:t>
            </w:r>
          </w:p>
        </w:tc>
        <w:tc>
          <w:tcPr>
            <w:tcW w:w="1510" w:type="dxa"/>
          </w:tcPr>
          <w:p w14:paraId="29DACE5A" w14:textId="77777777" w:rsidR="00860CC1" w:rsidRPr="009755B1" w:rsidRDefault="00860CC1" w:rsidP="00860CC1">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
              </w:rPr>
            </w:pPr>
            <w:r w:rsidRPr="009755B1">
              <w:rPr>
                <w:rFonts w:ascii="Times New Roman" w:eastAsia="Times New Roman" w:hAnsi="Times New Roman" w:cs="Times New Roman"/>
                <w:lang w:val="en"/>
              </w:rPr>
              <w:t>34.62±9.44</w:t>
            </w:r>
          </w:p>
          <w:p w14:paraId="6DE25FB7" w14:textId="73875528" w:rsidR="00860CC1" w:rsidRPr="009755B1" w:rsidRDefault="00860CC1" w:rsidP="00860CC1">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p>
        </w:tc>
        <w:tc>
          <w:tcPr>
            <w:tcW w:w="1666" w:type="dxa"/>
          </w:tcPr>
          <w:p w14:paraId="207EE592" w14:textId="6D764A4F" w:rsidR="00860CC1" w:rsidRPr="009755B1" w:rsidRDefault="00860CC1" w:rsidP="00860CC1">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t xml:space="preserve">33.13±7.99 </w:t>
            </w:r>
          </w:p>
        </w:tc>
        <w:tc>
          <w:tcPr>
            <w:tcW w:w="1469" w:type="dxa"/>
          </w:tcPr>
          <w:p w14:paraId="3F39CFB5" w14:textId="0BAB23AE" w:rsidR="00860CC1" w:rsidRPr="009755B1" w:rsidRDefault="00860CC1" w:rsidP="00860CC1">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t xml:space="preserve">32.42±7.17 </w:t>
            </w:r>
          </w:p>
        </w:tc>
        <w:tc>
          <w:tcPr>
            <w:tcW w:w="1867" w:type="dxa"/>
          </w:tcPr>
          <w:p w14:paraId="27E2190A" w14:textId="502E728C" w:rsidR="00860CC1" w:rsidRPr="009755B1" w:rsidRDefault="00860CC1" w:rsidP="00860CC1">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8.884</w:t>
            </w:r>
          </w:p>
        </w:tc>
        <w:tc>
          <w:tcPr>
            <w:tcW w:w="2072" w:type="dxa"/>
          </w:tcPr>
          <w:p w14:paraId="27E756A5" w14:textId="5DAD1666" w:rsidR="00860CC1" w:rsidRPr="009755B1" w:rsidRDefault="00860CC1" w:rsidP="00860CC1">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t>.001</w:t>
            </w:r>
            <w:r w:rsidRPr="009755B1">
              <w:rPr>
                <w:rFonts w:ascii="Cambria Math" w:hAnsi="Cambria Math" w:cs="Cambria Math"/>
              </w:rPr>
              <w:t xml:space="preserve">∗            </w:t>
            </w:r>
            <w:r w:rsidRPr="009755B1">
              <w:rPr>
                <w:rFonts w:ascii="Times New Roman" w:eastAsia="Times New Roman" w:hAnsi="Times New Roman" w:cs="Times New Roman"/>
                <w:sz w:val="24"/>
                <w:szCs w:val="24"/>
                <w:lang w:val="en"/>
              </w:rPr>
              <w:t>.102</w:t>
            </w:r>
          </w:p>
        </w:tc>
        <w:tc>
          <w:tcPr>
            <w:tcW w:w="1867" w:type="dxa"/>
          </w:tcPr>
          <w:p w14:paraId="70F3D2C0" w14:textId="30EF0C06" w:rsidR="00860CC1" w:rsidRPr="009755B1" w:rsidRDefault="00860CC1" w:rsidP="00860CC1">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8.435</w:t>
            </w:r>
          </w:p>
        </w:tc>
        <w:tc>
          <w:tcPr>
            <w:tcW w:w="2222" w:type="dxa"/>
          </w:tcPr>
          <w:p w14:paraId="54E915A5" w14:textId="23BCE8F7" w:rsidR="00860CC1" w:rsidRPr="009755B1" w:rsidRDefault="00860CC1" w:rsidP="00860CC1">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.001</w:t>
            </w:r>
            <w:r w:rsidRPr="009755B1">
              <w:rPr>
                <w:rFonts w:ascii="Cambria Math" w:eastAsia="Times New Roman" w:hAnsi="Cambria Math" w:cs="Cambria Math"/>
                <w:sz w:val="24"/>
                <w:szCs w:val="24"/>
                <w:lang w:val="en"/>
              </w:rPr>
              <w:t>∗</w:t>
            </w:r>
            <w:r w:rsidRPr="009755B1">
              <w:rPr>
                <w:rFonts w:ascii="Times New Roman" w:eastAsia="Times New Roman" w:hAnsi="Times New Roman" w:cs="Times New Roman"/>
                <w:sz w:val="24"/>
                <w:szCs w:val="24"/>
                <w:lang w:val="en"/>
              </w:rPr>
              <w:t xml:space="preserve">            .98</w:t>
            </w:r>
          </w:p>
        </w:tc>
      </w:tr>
      <w:tr w:rsidR="00C9687E" w:rsidRPr="009755B1" w14:paraId="3A22A1EE" w14:textId="77777777" w:rsidTr="00A617AA">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1245" w:type="dxa"/>
          </w:tcPr>
          <w:p w14:paraId="2284EA9D" w14:textId="77777777" w:rsidR="009F20E5" w:rsidRPr="009755B1" w:rsidRDefault="009F20E5" w:rsidP="009F20E5">
            <w:pPr>
              <w:bidi w:val="0"/>
              <w:spacing w:before="100" w:beforeAutospacing="1" w:after="100" w:afterAutospacing="1" w:line="240" w:lineRule="auto"/>
              <w:rPr>
                <w:rFonts w:ascii="Times New Roman" w:eastAsia="Times New Roman" w:hAnsi="Times New Roman" w:cs="Times New Roman"/>
                <w:sz w:val="24"/>
                <w:szCs w:val="24"/>
                <w:lang w:val="en"/>
              </w:rPr>
            </w:pPr>
          </w:p>
        </w:tc>
        <w:tc>
          <w:tcPr>
            <w:tcW w:w="1391" w:type="dxa"/>
          </w:tcPr>
          <w:p w14:paraId="60294D25" w14:textId="291441BF"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55B1">
              <w:t>Control (n=40)</w:t>
            </w:r>
          </w:p>
        </w:tc>
        <w:tc>
          <w:tcPr>
            <w:tcW w:w="1510" w:type="dxa"/>
          </w:tcPr>
          <w:p w14:paraId="2B81628E" w14:textId="03C42373"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38.35±7.49</w:t>
            </w:r>
          </w:p>
        </w:tc>
        <w:tc>
          <w:tcPr>
            <w:tcW w:w="1666" w:type="dxa"/>
          </w:tcPr>
          <w:p w14:paraId="1DAE9A75" w14:textId="6E0D9C80"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t xml:space="preserve">38.68±7.37 </w:t>
            </w:r>
          </w:p>
        </w:tc>
        <w:tc>
          <w:tcPr>
            <w:tcW w:w="1469" w:type="dxa"/>
          </w:tcPr>
          <w:p w14:paraId="4E684F2C" w14:textId="3F847332"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t xml:space="preserve">38.23±6.25 </w:t>
            </w:r>
          </w:p>
        </w:tc>
        <w:tc>
          <w:tcPr>
            <w:tcW w:w="1867" w:type="dxa"/>
          </w:tcPr>
          <w:p w14:paraId="12B22E91" w14:textId="00C887A8" w:rsidR="009F20E5" w:rsidRPr="009755B1" w:rsidRDefault="00A229CF"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(1.526,119.031)</w:t>
            </w:r>
          </w:p>
        </w:tc>
        <w:tc>
          <w:tcPr>
            <w:tcW w:w="2072" w:type="dxa"/>
          </w:tcPr>
          <w:p w14:paraId="58B13383" w14:textId="77777777"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p>
        </w:tc>
        <w:tc>
          <w:tcPr>
            <w:tcW w:w="1867" w:type="dxa"/>
          </w:tcPr>
          <w:p w14:paraId="21120355" w14:textId="27055D71" w:rsidR="009F20E5" w:rsidRPr="009755B1" w:rsidRDefault="00816C98"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(1.526,119.031)</w:t>
            </w:r>
          </w:p>
        </w:tc>
        <w:tc>
          <w:tcPr>
            <w:tcW w:w="2222" w:type="dxa"/>
          </w:tcPr>
          <w:p w14:paraId="4B168615" w14:textId="77777777" w:rsidR="009F20E5" w:rsidRPr="009755B1" w:rsidRDefault="009F20E5" w:rsidP="009F20E5">
            <w:pPr>
              <w:bidi w:val="0"/>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
              </w:rPr>
            </w:pPr>
          </w:p>
        </w:tc>
      </w:tr>
      <w:tr w:rsidR="00A617AA" w:rsidRPr="009755B1" w14:paraId="2B1CAACB" w14:textId="77777777" w:rsidTr="00A617AA">
        <w:trPr>
          <w:trHeight w:val="505"/>
        </w:trPr>
        <w:tc>
          <w:tcPr>
            <w:cnfStyle w:val="001000000000" w:firstRow="0" w:lastRow="0" w:firstColumn="1" w:lastColumn="0" w:oddVBand="0" w:evenVBand="0" w:oddHBand="0" w:evenHBand="0" w:firstRowFirstColumn="0" w:firstRowLastColumn="0" w:lastRowFirstColumn="0" w:lastRowLastColumn="0"/>
            <w:tcW w:w="1245" w:type="dxa"/>
          </w:tcPr>
          <w:p w14:paraId="5DAAFA2E" w14:textId="77777777" w:rsidR="009F20E5" w:rsidRPr="009755B1" w:rsidRDefault="009F20E5" w:rsidP="009F20E5">
            <w:pPr>
              <w:bidi w:val="0"/>
              <w:spacing w:before="100" w:beforeAutospacing="1" w:after="100" w:afterAutospacing="1" w:line="240" w:lineRule="auto"/>
              <w:rPr>
                <w:rFonts w:ascii="Times New Roman" w:eastAsia="Times New Roman" w:hAnsi="Times New Roman" w:cs="Times New Roman"/>
                <w:sz w:val="24"/>
                <w:szCs w:val="24"/>
                <w:lang w:val="en"/>
              </w:rPr>
            </w:pPr>
          </w:p>
        </w:tc>
        <w:tc>
          <w:tcPr>
            <w:tcW w:w="1391" w:type="dxa"/>
          </w:tcPr>
          <w:p w14:paraId="034CA4EF" w14:textId="092AFDCE"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55B1">
              <w:t>Total Cohort (N=80)</w:t>
            </w:r>
          </w:p>
        </w:tc>
        <w:tc>
          <w:tcPr>
            <w:tcW w:w="1510" w:type="dxa"/>
          </w:tcPr>
          <w:p w14:paraId="2E601FB8" w14:textId="0CE2BA7A"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t>36.49±8.67</w:t>
            </w:r>
          </w:p>
        </w:tc>
        <w:tc>
          <w:tcPr>
            <w:tcW w:w="1666" w:type="dxa"/>
          </w:tcPr>
          <w:p w14:paraId="38ADA6D8" w14:textId="1B39D89B"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t xml:space="preserve">35.90±8.12 </w:t>
            </w:r>
          </w:p>
        </w:tc>
        <w:tc>
          <w:tcPr>
            <w:tcW w:w="1469" w:type="dxa"/>
          </w:tcPr>
          <w:p w14:paraId="78E68482" w14:textId="57442CB7"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r w:rsidRPr="009755B1">
              <w:t xml:space="preserve">35.33±7.31 </w:t>
            </w:r>
          </w:p>
        </w:tc>
        <w:tc>
          <w:tcPr>
            <w:tcW w:w="1867" w:type="dxa"/>
          </w:tcPr>
          <w:p w14:paraId="3E76597A" w14:textId="77777777"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p>
        </w:tc>
        <w:tc>
          <w:tcPr>
            <w:tcW w:w="2072" w:type="dxa"/>
          </w:tcPr>
          <w:p w14:paraId="5D5366AC" w14:textId="77777777"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p>
        </w:tc>
        <w:tc>
          <w:tcPr>
            <w:tcW w:w="1867" w:type="dxa"/>
          </w:tcPr>
          <w:p w14:paraId="6396CE04" w14:textId="77777777"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p>
        </w:tc>
        <w:tc>
          <w:tcPr>
            <w:tcW w:w="2222" w:type="dxa"/>
          </w:tcPr>
          <w:p w14:paraId="2B6A611F" w14:textId="77777777" w:rsidR="009F20E5" w:rsidRPr="009755B1" w:rsidRDefault="009F20E5" w:rsidP="009F20E5">
            <w:pPr>
              <w:bidi w:val="0"/>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
              </w:rPr>
            </w:pPr>
          </w:p>
        </w:tc>
      </w:tr>
    </w:tbl>
    <w:p w14:paraId="15545680" w14:textId="4E74142E" w:rsidR="00840AF7" w:rsidRPr="009755B1" w:rsidRDefault="00840AF7" w:rsidP="009024E7">
      <w:pPr>
        <w:pStyle w:val="NormalWeb"/>
        <w:rPr>
          <w:sz w:val="16"/>
          <w:szCs w:val="16"/>
          <w:lang w:val="en"/>
        </w:rPr>
      </w:pPr>
      <w:r w:rsidRPr="009755B1">
        <w:rPr>
          <w:rStyle w:val="Emphasis"/>
          <w:sz w:val="16"/>
          <w:szCs w:val="16"/>
          <w:lang w:val="en"/>
        </w:rPr>
        <w:t>Note.</w:t>
      </w:r>
      <w:r w:rsidRPr="009755B1">
        <w:rPr>
          <w:sz w:val="16"/>
          <w:szCs w:val="16"/>
          <w:lang w:val="en"/>
        </w:rPr>
        <w:t xml:space="preserve"> PSQI = Pittsburgh Sleep Quality Index; CD-RISC = Connor–Davidson Resilience Scale; GHQ-28 = General Health Questionnaire (28-item); </w:t>
      </w:r>
      <w:r w:rsidRPr="009755B1">
        <w:rPr>
          <w:rStyle w:val="katex-mathml"/>
          <w:sz w:val="16"/>
          <w:szCs w:val="16"/>
          <w:lang w:val="en"/>
        </w:rPr>
        <w:t>MM</w:t>
      </w:r>
      <w:r w:rsidRPr="009755B1">
        <w:rPr>
          <w:rStyle w:val="mord"/>
          <w:rFonts w:eastAsiaTheme="majorEastAsia"/>
          <w:sz w:val="16"/>
          <w:szCs w:val="16"/>
          <w:lang w:val="en"/>
        </w:rPr>
        <w:t>M</w:t>
      </w:r>
      <w:r w:rsidRPr="009755B1">
        <w:rPr>
          <w:sz w:val="16"/>
          <w:szCs w:val="16"/>
          <w:lang w:val="en"/>
        </w:rPr>
        <w:t xml:space="preserve"> = Mean; </w:t>
      </w:r>
      <w:r w:rsidRPr="009755B1">
        <w:rPr>
          <w:rStyle w:val="mord"/>
          <w:rFonts w:eastAsiaTheme="majorEastAsia"/>
          <w:sz w:val="16"/>
          <w:szCs w:val="16"/>
          <w:lang w:val="en"/>
        </w:rPr>
        <w:t>SD</w:t>
      </w:r>
      <w:r w:rsidRPr="009755B1">
        <w:rPr>
          <w:sz w:val="16"/>
          <w:szCs w:val="16"/>
          <w:lang w:val="en"/>
        </w:rPr>
        <w:t xml:space="preserve"> = Standard Deviation; </w:t>
      </w:r>
      <w:r w:rsidRPr="009755B1">
        <w:rPr>
          <w:rStyle w:val="mord"/>
          <w:rFonts w:eastAsiaTheme="majorEastAsia"/>
          <w:sz w:val="16"/>
          <w:szCs w:val="16"/>
          <w:lang w:val="en"/>
        </w:rPr>
        <w:t>ηp2</w:t>
      </w:r>
      <w:r w:rsidRPr="009755B1">
        <w:rPr>
          <w:rStyle w:val="vlist-s"/>
          <w:sz w:val="16"/>
          <w:szCs w:val="16"/>
          <w:lang w:val="en"/>
        </w:rPr>
        <w:t>​</w:t>
      </w:r>
      <w:r w:rsidRPr="009755B1">
        <w:rPr>
          <w:sz w:val="16"/>
          <w:szCs w:val="16"/>
          <w:lang w:val="en"/>
        </w:rPr>
        <w:t xml:space="preserve"> = Partial Eta Squared.</w:t>
      </w:r>
    </w:p>
    <w:p w14:paraId="60F907ED" w14:textId="5C0637EB" w:rsidR="00840AF7" w:rsidRPr="009755B1" w:rsidRDefault="00840AF7" w:rsidP="00E53F1A">
      <w:pPr>
        <w:pStyle w:val="NormalWeb"/>
        <w:rPr>
          <w:sz w:val="16"/>
          <w:szCs w:val="16"/>
        </w:rPr>
      </w:pPr>
      <w:r w:rsidRPr="009755B1">
        <w:rPr>
          <w:sz w:val="16"/>
          <w:szCs w:val="16"/>
          <w:lang w:val="en"/>
        </w:rPr>
        <w:t xml:space="preserve">† Lower scores reflect symptom reduction / clinical </w:t>
      </w:r>
      <w:r w:rsidR="004F2DEA" w:rsidRPr="009755B1">
        <w:rPr>
          <w:sz w:val="16"/>
          <w:szCs w:val="16"/>
          <w:lang w:val="en"/>
        </w:rPr>
        <w:t>improvement. ‡</w:t>
      </w:r>
      <w:r w:rsidRPr="009755B1">
        <w:rPr>
          <w:sz w:val="16"/>
          <w:szCs w:val="16"/>
          <w:lang w:val="en"/>
        </w:rPr>
        <w:t xml:space="preserve"> Higher scores reflect score gains / enhanced resilience.</w:t>
      </w:r>
    </w:p>
    <w:p w14:paraId="4CB1FA18" w14:textId="5D3FDB18" w:rsidR="00840AF7" w:rsidRPr="009755B1" w:rsidRDefault="00840AF7" w:rsidP="00840AF7">
      <w:pPr>
        <w:pStyle w:val="NormalWeb"/>
        <w:rPr>
          <w:sz w:val="16"/>
          <w:szCs w:val="16"/>
          <w:lang w:val="en"/>
        </w:rPr>
      </w:pPr>
      <w:r w:rsidRPr="009755B1">
        <w:rPr>
          <w:sz w:val="16"/>
          <w:szCs w:val="16"/>
          <w:lang w:val="en"/>
        </w:rPr>
        <w:t>Degrees of freedom (</w:t>
      </w:r>
      <w:r w:rsidRPr="009755B1">
        <w:rPr>
          <w:rStyle w:val="mord"/>
          <w:rFonts w:eastAsiaTheme="majorEastAsia"/>
          <w:sz w:val="16"/>
          <w:szCs w:val="16"/>
          <w:lang w:val="en"/>
        </w:rPr>
        <w:t>df</w:t>
      </w:r>
      <w:r w:rsidRPr="009755B1">
        <w:rPr>
          <w:sz w:val="16"/>
          <w:szCs w:val="16"/>
          <w:lang w:val="en"/>
        </w:rPr>
        <w:t xml:space="preserve">) were adjusted using the Greenhouse–Geisser correction due to violation of the sphericity assumption (Mauchly’s </w:t>
      </w:r>
      <w:r w:rsidRPr="009755B1">
        <w:rPr>
          <w:rStyle w:val="katex-mathml"/>
          <w:sz w:val="16"/>
          <w:szCs w:val="16"/>
          <w:lang w:val="en"/>
        </w:rPr>
        <w:t>W,p&lt;.05</w:t>
      </w:r>
      <w:r w:rsidRPr="009755B1">
        <w:rPr>
          <w:sz w:val="16"/>
          <w:szCs w:val="16"/>
          <w:lang w:val="en"/>
        </w:rPr>
        <w:t>).</w:t>
      </w:r>
    </w:p>
    <w:p w14:paraId="62D4533E" w14:textId="45774721" w:rsidR="00840AF7" w:rsidRPr="009755B1" w:rsidRDefault="00840AF7" w:rsidP="00840AF7">
      <w:pPr>
        <w:pStyle w:val="NormalWeb"/>
        <w:rPr>
          <w:sz w:val="16"/>
          <w:szCs w:val="16"/>
          <w:lang w:val="en"/>
        </w:rPr>
      </w:pPr>
      <w:r w:rsidRPr="009755B1">
        <w:rPr>
          <w:sz w:val="16"/>
          <w:szCs w:val="16"/>
          <w:lang w:val="en"/>
        </w:rPr>
        <w:t xml:space="preserve">* Statistically significant at </w:t>
      </w:r>
      <w:r w:rsidRPr="009755B1">
        <w:rPr>
          <w:rStyle w:val="katex-mathml"/>
          <w:sz w:val="16"/>
          <w:szCs w:val="16"/>
          <w:lang w:val="en"/>
        </w:rPr>
        <w:t>p&lt;.05</w:t>
      </w:r>
    </w:p>
    <w:p w14:paraId="5CDBD7AC" w14:textId="577941CD" w:rsidR="002F471E" w:rsidRPr="009755B1" w:rsidRDefault="002F471E" w:rsidP="0040296D">
      <w:pPr>
        <w:bidi w:val="0"/>
        <w:spacing w:before="100" w:beforeAutospacing="1" w:after="100" w:afterAutospacing="1" w:line="240" w:lineRule="auto"/>
        <w:jc w:val="both"/>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 xml:space="preserve">As shown in Table </w:t>
      </w:r>
      <w:r w:rsidR="00DD5F34" w:rsidRPr="009755B1">
        <w:rPr>
          <w:rFonts w:ascii="Times New Roman" w:eastAsia="Times New Roman" w:hAnsi="Times New Roman" w:cs="Times New Roman"/>
          <w:sz w:val="24"/>
          <w:szCs w:val="24"/>
          <w:lang w:val="en"/>
        </w:rPr>
        <w:t>3</w:t>
      </w:r>
      <w:r w:rsidRPr="009755B1">
        <w:rPr>
          <w:rFonts w:ascii="Times New Roman" w:eastAsia="Times New Roman" w:hAnsi="Times New Roman" w:cs="Times New Roman"/>
          <w:sz w:val="24"/>
          <w:szCs w:val="24"/>
          <w:lang w:val="en"/>
        </w:rPr>
        <w:t>, statistically significant Time × Group interaction effects were identified across all primary clinical parameters:</w:t>
      </w:r>
    </w:p>
    <w:p w14:paraId="78EDCD14" w14:textId="022A05C9" w:rsidR="002F471E" w:rsidRPr="009755B1" w:rsidRDefault="002F471E" w:rsidP="0040296D">
      <w:pPr>
        <w:bidi w:val="0"/>
        <w:spacing w:before="100" w:beforeAutospacing="1" w:after="100" w:afterAutospacing="1" w:line="240" w:lineRule="auto"/>
        <w:ind w:left="360"/>
        <w:jc w:val="both"/>
        <w:rPr>
          <w:rFonts w:ascii="Times New Roman" w:eastAsia="Times New Roman" w:hAnsi="Times New Roman" w:cs="Times New Roman"/>
          <w:sz w:val="24"/>
          <w:szCs w:val="24"/>
          <w:lang w:val="en"/>
        </w:rPr>
      </w:pPr>
      <w:bookmarkStart w:id="1" w:name="_Hlk239086156"/>
      <w:r w:rsidRPr="009755B1">
        <w:rPr>
          <w:rFonts w:ascii="Times New Roman" w:eastAsia="Times New Roman" w:hAnsi="Times New Roman" w:cs="Times New Roman"/>
          <w:sz w:val="24"/>
          <w:szCs w:val="24"/>
          <w:lang w:val="en"/>
        </w:rPr>
        <w:t xml:space="preserve">Sleep Quality (PSQI): </w:t>
      </w:r>
      <w:bookmarkEnd w:id="1"/>
      <w:r w:rsidRPr="009755B1">
        <w:rPr>
          <w:rFonts w:ascii="Times New Roman" w:eastAsia="Times New Roman" w:hAnsi="Times New Roman" w:cs="Times New Roman"/>
          <w:sz w:val="24"/>
          <w:szCs w:val="24"/>
          <w:lang w:val="en"/>
        </w:rPr>
        <w:t>A significant interaction was observed (F(1.768,137.</w:t>
      </w:r>
      <w:r w:rsidR="000E1BDB" w:rsidRPr="009755B1">
        <w:rPr>
          <w:rFonts w:ascii="Times New Roman" w:eastAsia="Times New Roman" w:hAnsi="Times New Roman" w:cs="Times New Roman"/>
          <w:sz w:val="24"/>
          <w:szCs w:val="24"/>
          <w:lang w:val="en"/>
        </w:rPr>
        <w:t>906) =</w:t>
      </w:r>
      <w:r w:rsidRPr="009755B1">
        <w:rPr>
          <w:rFonts w:ascii="Times New Roman" w:eastAsia="Times New Roman" w:hAnsi="Times New Roman" w:cs="Times New Roman"/>
          <w:sz w:val="24"/>
          <w:szCs w:val="24"/>
          <w:lang w:val="en"/>
        </w:rPr>
        <w:t>17.736,p&lt;.001,ηp2=.185</w:t>
      </w:r>
      <w:r w:rsidR="000C2243" w:rsidRPr="009755B1">
        <w:rPr>
          <w:rFonts w:ascii="Times New Roman" w:eastAsia="Times New Roman" w:hAnsi="Times New Roman" w:cs="Times New Roman"/>
          <w:sz w:val="24"/>
          <w:szCs w:val="24"/>
          <w:lang w:val="en"/>
        </w:rPr>
        <w:t>)</w:t>
      </w:r>
      <w:r w:rsidRPr="009755B1">
        <w:rPr>
          <w:rFonts w:ascii="Times New Roman" w:eastAsia="Times New Roman" w:hAnsi="Times New Roman" w:cs="Times New Roman"/>
          <w:sz w:val="24"/>
          <w:szCs w:val="24"/>
          <w:lang w:val="en"/>
        </w:rPr>
        <w:t>. The linear contrast for this interaction was highly significant (F (1,78) =24.964, p&lt;.001, ηp2=.242), demonstrating a sustained, progressive reduction in sleep disturbances exclusively in the intervention group.</w:t>
      </w:r>
    </w:p>
    <w:p w14:paraId="55E1722C" w14:textId="6AD5B4EA" w:rsidR="002F471E" w:rsidRPr="009755B1" w:rsidRDefault="002F471E" w:rsidP="0040296D">
      <w:pPr>
        <w:bidi w:val="0"/>
        <w:spacing w:before="100" w:beforeAutospacing="1" w:after="100" w:afterAutospacing="1" w:line="240" w:lineRule="auto"/>
        <w:ind w:left="360"/>
        <w:jc w:val="both"/>
        <w:rPr>
          <w:rFonts w:ascii="Times New Roman" w:eastAsia="Times New Roman" w:hAnsi="Times New Roman" w:cs="Times New Roman"/>
          <w:sz w:val="24"/>
          <w:szCs w:val="24"/>
          <w:lang w:val="en"/>
        </w:rPr>
      </w:pPr>
      <w:bookmarkStart w:id="2" w:name="_Hlk239086179"/>
      <w:r w:rsidRPr="009755B1">
        <w:rPr>
          <w:rFonts w:ascii="Times New Roman" w:eastAsia="Times New Roman" w:hAnsi="Times New Roman" w:cs="Times New Roman"/>
          <w:sz w:val="24"/>
          <w:szCs w:val="24"/>
          <w:lang w:val="en"/>
        </w:rPr>
        <w:t>Resilience (CD-RISC)</w:t>
      </w:r>
      <w:bookmarkEnd w:id="2"/>
      <w:r w:rsidRPr="009755B1">
        <w:rPr>
          <w:rFonts w:ascii="Times New Roman" w:eastAsia="Times New Roman" w:hAnsi="Times New Roman" w:cs="Times New Roman"/>
          <w:sz w:val="24"/>
          <w:szCs w:val="24"/>
          <w:lang w:val="en"/>
        </w:rPr>
        <w:t>: The interaction effect was statistically significant with a large effect size (</w:t>
      </w:r>
      <w:r w:rsidR="000E1BDB" w:rsidRPr="009755B1">
        <w:rPr>
          <w:rFonts w:ascii="Times New Roman" w:eastAsia="Times New Roman" w:hAnsi="Times New Roman" w:cs="Times New Roman"/>
          <w:sz w:val="24"/>
          <w:szCs w:val="24"/>
          <w:lang w:val="en"/>
        </w:rPr>
        <w:t>F (</w:t>
      </w:r>
      <w:r w:rsidRPr="009755B1">
        <w:rPr>
          <w:rFonts w:ascii="Times New Roman" w:eastAsia="Times New Roman" w:hAnsi="Times New Roman" w:cs="Times New Roman"/>
          <w:sz w:val="24"/>
          <w:szCs w:val="24"/>
          <w:lang w:val="en"/>
        </w:rPr>
        <w:t>1</w:t>
      </w:r>
      <w:r w:rsidR="005473C5" w:rsidRPr="009755B1">
        <w:rPr>
          <w:rFonts w:ascii="Times New Roman" w:eastAsia="Times New Roman" w:hAnsi="Times New Roman" w:cs="Times New Roman"/>
          <w:sz w:val="24"/>
          <w:szCs w:val="24"/>
          <w:lang w:val="en"/>
        </w:rPr>
        <w:t>.</w:t>
      </w:r>
      <w:r w:rsidRPr="009755B1">
        <w:rPr>
          <w:rFonts w:ascii="Times New Roman" w:eastAsia="Times New Roman" w:hAnsi="Times New Roman" w:cs="Times New Roman"/>
          <w:sz w:val="24"/>
          <w:szCs w:val="24"/>
          <w:lang w:val="en"/>
        </w:rPr>
        <w:t>442,112.</w:t>
      </w:r>
      <w:r w:rsidR="000E1BDB" w:rsidRPr="009755B1">
        <w:rPr>
          <w:rFonts w:ascii="Times New Roman" w:eastAsia="Times New Roman" w:hAnsi="Times New Roman" w:cs="Times New Roman"/>
          <w:sz w:val="24"/>
          <w:szCs w:val="24"/>
          <w:lang w:val="en"/>
        </w:rPr>
        <w:t>453) =</w:t>
      </w:r>
      <w:r w:rsidRPr="009755B1">
        <w:rPr>
          <w:rFonts w:ascii="Times New Roman" w:eastAsia="Times New Roman" w:hAnsi="Times New Roman" w:cs="Times New Roman"/>
          <w:sz w:val="24"/>
          <w:szCs w:val="24"/>
          <w:lang w:val="en"/>
        </w:rPr>
        <w:t>14.</w:t>
      </w:r>
      <w:r w:rsidR="000E1BDB" w:rsidRPr="009755B1">
        <w:rPr>
          <w:rFonts w:ascii="Times New Roman" w:eastAsia="Times New Roman" w:hAnsi="Times New Roman" w:cs="Times New Roman"/>
          <w:sz w:val="24"/>
          <w:szCs w:val="24"/>
          <w:lang w:val="en"/>
        </w:rPr>
        <w:t>360, p</w:t>
      </w:r>
      <w:r w:rsidRPr="009755B1">
        <w:rPr>
          <w:rFonts w:ascii="Times New Roman" w:eastAsia="Times New Roman" w:hAnsi="Times New Roman" w:cs="Times New Roman"/>
          <w:sz w:val="24"/>
          <w:szCs w:val="24"/>
          <w:lang w:val="en"/>
        </w:rPr>
        <w:t>&lt;.</w:t>
      </w:r>
      <w:r w:rsidR="000E1BDB" w:rsidRPr="009755B1">
        <w:rPr>
          <w:rFonts w:ascii="Times New Roman" w:eastAsia="Times New Roman" w:hAnsi="Times New Roman" w:cs="Times New Roman"/>
          <w:sz w:val="24"/>
          <w:szCs w:val="24"/>
          <w:lang w:val="en"/>
        </w:rPr>
        <w:t>001, η</w:t>
      </w:r>
      <w:r w:rsidRPr="009755B1">
        <w:rPr>
          <w:rFonts w:ascii="Times New Roman" w:eastAsia="Times New Roman" w:hAnsi="Times New Roman" w:cs="Times New Roman"/>
          <w:sz w:val="24"/>
          <w:szCs w:val="24"/>
          <w:lang w:val="en"/>
        </w:rPr>
        <w:t>p2=.155), indicating substantial psychological resilience gains among mothers receiving telehealth psychoeducation.</w:t>
      </w:r>
    </w:p>
    <w:p w14:paraId="44E5F034" w14:textId="3436A05E" w:rsidR="002F471E" w:rsidRPr="009755B1" w:rsidRDefault="002F471E" w:rsidP="0040296D">
      <w:pPr>
        <w:bidi w:val="0"/>
        <w:spacing w:before="100" w:beforeAutospacing="1" w:after="100" w:afterAutospacing="1" w:line="240" w:lineRule="auto"/>
        <w:ind w:left="360"/>
        <w:jc w:val="both"/>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General Health (GHQ-28): A significant interaction effect emerged (</w:t>
      </w:r>
      <w:r w:rsidR="005473C5" w:rsidRPr="009755B1">
        <w:rPr>
          <w:rFonts w:ascii="Times New Roman" w:eastAsia="Times New Roman" w:hAnsi="Times New Roman" w:cs="Times New Roman"/>
          <w:sz w:val="24"/>
          <w:szCs w:val="24"/>
          <w:lang w:val="en"/>
        </w:rPr>
        <w:t>F (</w:t>
      </w:r>
      <w:r w:rsidRPr="009755B1">
        <w:rPr>
          <w:rFonts w:ascii="Times New Roman" w:eastAsia="Times New Roman" w:hAnsi="Times New Roman" w:cs="Times New Roman"/>
          <w:sz w:val="24"/>
          <w:szCs w:val="24"/>
          <w:lang w:val="en"/>
        </w:rPr>
        <w:t>1.526,119.</w:t>
      </w:r>
      <w:r w:rsidR="005473C5" w:rsidRPr="009755B1">
        <w:rPr>
          <w:rFonts w:ascii="Times New Roman" w:eastAsia="Times New Roman" w:hAnsi="Times New Roman" w:cs="Times New Roman"/>
          <w:sz w:val="24"/>
          <w:szCs w:val="24"/>
          <w:lang w:val="en"/>
        </w:rPr>
        <w:t>031) =</w:t>
      </w:r>
      <w:r w:rsidRPr="009755B1">
        <w:rPr>
          <w:rFonts w:ascii="Times New Roman" w:eastAsia="Times New Roman" w:hAnsi="Times New Roman" w:cs="Times New Roman"/>
          <w:sz w:val="24"/>
          <w:szCs w:val="24"/>
          <w:lang w:val="en"/>
        </w:rPr>
        <w:t>8.</w:t>
      </w:r>
      <w:r w:rsidR="005473C5" w:rsidRPr="009755B1">
        <w:rPr>
          <w:rFonts w:ascii="Times New Roman" w:eastAsia="Times New Roman" w:hAnsi="Times New Roman" w:cs="Times New Roman"/>
          <w:sz w:val="24"/>
          <w:szCs w:val="24"/>
          <w:lang w:val="en"/>
        </w:rPr>
        <w:t>435, p</w:t>
      </w:r>
      <w:r w:rsidRPr="009755B1">
        <w:rPr>
          <w:rFonts w:ascii="Times New Roman" w:eastAsia="Times New Roman" w:hAnsi="Times New Roman" w:cs="Times New Roman"/>
          <w:sz w:val="24"/>
          <w:szCs w:val="24"/>
          <w:lang w:val="en"/>
        </w:rPr>
        <w:t>=.</w:t>
      </w:r>
      <w:r w:rsidR="005473C5" w:rsidRPr="009755B1">
        <w:rPr>
          <w:rFonts w:ascii="Times New Roman" w:eastAsia="Times New Roman" w:hAnsi="Times New Roman" w:cs="Times New Roman"/>
          <w:sz w:val="24"/>
          <w:szCs w:val="24"/>
          <w:lang w:val="en"/>
        </w:rPr>
        <w:t>001, η</w:t>
      </w:r>
      <w:r w:rsidRPr="009755B1">
        <w:rPr>
          <w:rFonts w:ascii="Times New Roman" w:eastAsia="Times New Roman" w:hAnsi="Times New Roman" w:cs="Times New Roman"/>
          <w:sz w:val="24"/>
          <w:szCs w:val="24"/>
          <w:lang w:val="en"/>
        </w:rPr>
        <w:t>p2=.098), reflecting significant reductions in psychological distress scores over time in the intervention group compared with stable distress levels in the control group.</w:t>
      </w:r>
    </w:p>
    <w:p w14:paraId="06DD98B5" w14:textId="77777777" w:rsidR="009367CF" w:rsidRPr="009755B1" w:rsidRDefault="009367CF" w:rsidP="00840AF7">
      <w:pPr>
        <w:pStyle w:val="NormalWeb"/>
        <w:rPr>
          <w:sz w:val="16"/>
          <w:szCs w:val="16"/>
          <w:lang w:val="en"/>
        </w:rPr>
      </w:pPr>
    </w:p>
    <w:p w14:paraId="3B1D55ED" w14:textId="177F8087" w:rsidR="00961D1F" w:rsidRPr="009755B1" w:rsidRDefault="00AE5ECB" w:rsidP="00D4569E">
      <w:pPr>
        <w:pStyle w:val="NormalWeb"/>
      </w:pPr>
      <w:r w:rsidRPr="009755B1">
        <w:t>To further delineate the specific trajectory of therapeutic change across assessment phases, pairwise contrasts were conducted separately within each study group. The results of these longitudinal comparisons are displayed in Table 4</w:t>
      </w:r>
      <w:r w:rsidR="00D4569E" w:rsidRPr="009755B1">
        <w:t>.</w:t>
      </w:r>
    </w:p>
    <w:p w14:paraId="00DE84D2" w14:textId="3968CAB8" w:rsidR="008C5E6F" w:rsidRPr="009755B1" w:rsidRDefault="008C5E6F" w:rsidP="008C5E6F">
      <w:pPr>
        <w:pStyle w:val="NormalWeb"/>
      </w:pPr>
      <w:r w:rsidRPr="009755B1">
        <w:t xml:space="preserve">Table </w:t>
      </w:r>
      <w:r w:rsidR="009367CF" w:rsidRPr="009755B1">
        <w:t>4: Longitudinal</w:t>
      </w:r>
      <w:r w:rsidRPr="009755B1">
        <w:t xml:space="preserve"> Within-Group Pairwise Comparisons of Primary Outcomes Across Assessment Phases</w:t>
      </w:r>
    </w:p>
    <w:tbl>
      <w:tblPr>
        <w:tblStyle w:val="GridTable21"/>
        <w:tblW w:w="0" w:type="auto"/>
        <w:tblLook w:val="04A0" w:firstRow="1" w:lastRow="0" w:firstColumn="1" w:lastColumn="0" w:noHBand="0" w:noVBand="1"/>
      </w:tblPr>
      <w:tblGrid>
        <w:gridCol w:w="1133"/>
        <w:gridCol w:w="1395"/>
        <w:gridCol w:w="975"/>
        <w:gridCol w:w="912"/>
        <w:gridCol w:w="965"/>
        <w:gridCol w:w="907"/>
        <w:gridCol w:w="900"/>
        <w:gridCol w:w="750"/>
      </w:tblGrid>
      <w:tr w:rsidR="009C696F" w:rsidRPr="009755B1" w14:paraId="298EA848" w14:textId="77777777" w:rsidTr="008C5E6F">
        <w:trPr>
          <w:cnfStyle w:val="100000000000" w:firstRow="1" w:lastRow="0" w:firstColumn="0" w:lastColumn="0" w:oddVBand="0" w:evenVBand="0" w:oddHBand="0"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2835" w:type="dxa"/>
          </w:tcPr>
          <w:p w14:paraId="42FF00B7" w14:textId="1C73285A" w:rsidR="00B902FA" w:rsidRPr="009755B1" w:rsidRDefault="00B902FA" w:rsidP="00B902FA">
            <w:pPr>
              <w:pStyle w:val="NormalWeb"/>
              <w:rPr>
                <w:sz w:val="20"/>
                <w:szCs w:val="20"/>
              </w:rPr>
            </w:pPr>
            <w:r w:rsidRPr="009755B1">
              <w:rPr>
                <w:sz w:val="20"/>
                <w:szCs w:val="20"/>
              </w:rPr>
              <w:t>Outcome Variable</w:t>
            </w:r>
          </w:p>
        </w:tc>
        <w:tc>
          <w:tcPr>
            <w:tcW w:w="1560" w:type="dxa"/>
          </w:tcPr>
          <w:p w14:paraId="4BCB3B9B" w14:textId="1FC41ED0" w:rsidR="00B902FA" w:rsidRPr="009755B1" w:rsidRDefault="00B902FA" w:rsidP="00B902FA">
            <w:pPr>
              <w:pStyle w:val="NormalWeb"/>
              <w:cnfStyle w:val="100000000000" w:firstRow="1" w:lastRow="0" w:firstColumn="0" w:lastColumn="0" w:oddVBand="0" w:evenVBand="0" w:oddHBand="0" w:evenHBand="0" w:firstRowFirstColumn="0" w:firstRowLastColumn="0" w:lastRowFirstColumn="0" w:lastRowLastColumn="0"/>
              <w:rPr>
                <w:sz w:val="20"/>
                <w:szCs w:val="20"/>
              </w:rPr>
            </w:pPr>
            <w:r w:rsidRPr="009755B1">
              <w:rPr>
                <w:sz w:val="20"/>
                <w:szCs w:val="20"/>
              </w:rPr>
              <w:t>Study Group</w:t>
            </w:r>
          </w:p>
        </w:tc>
        <w:tc>
          <w:tcPr>
            <w:tcW w:w="2268" w:type="dxa"/>
          </w:tcPr>
          <w:p w14:paraId="4EBA7BF4" w14:textId="4659A8BD" w:rsidR="00B902FA" w:rsidRPr="009755B1" w:rsidRDefault="00B902FA" w:rsidP="00B902FA">
            <w:pPr>
              <w:pStyle w:val="NormalWeb"/>
              <w:cnfStyle w:val="100000000000" w:firstRow="1" w:lastRow="0" w:firstColumn="0" w:lastColumn="0" w:oddVBand="0" w:evenVBand="0" w:oddHBand="0" w:evenHBand="0" w:firstRowFirstColumn="0" w:firstRowLastColumn="0" w:lastRowFirstColumn="0" w:lastRowLastColumn="0"/>
              <w:rPr>
                <w:sz w:val="20"/>
                <w:szCs w:val="20"/>
              </w:rPr>
            </w:pPr>
            <w:r w:rsidRPr="009755B1">
              <w:rPr>
                <w:sz w:val="20"/>
                <w:szCs w:val="20"/>
              </w:rPr>
              <w:t>Baseline (T1) vs. Post-Test (T2)</w:t>
            </w:r>
          </w:p>
        </w:tc>
        <w:tc>
          <w:tcPr>
            <w:tcW w:w="1559" w:type="dxa"/>
          </w:tcPr>
          <w:p w14:paraId="633226E4" w14:textId="77777777" w:rsidR="00B902FA" w:rsidRPr="009755B1" w:rsidRDefault="00B902FA" w:rsidP="00B902FA">
            <w:pPr>
              <w:pStyle w:val="NormalWeb"/>
              <w:cnfStyle w:val="100000000000" w:firstRow="1" w:lastRow="0" w:firstColumn="0" w:lastColumn="0" w:oddVBand="0" w:evenVBand="0" w:oddHBand="0" w:evenHBand="0" w:firstRowFirstColumn="0" w:firstRowLastColumn="0" w:lastRowFirstColumn="0" w:lastRowLastColumn="0"/>
              <w:rPr>
                <w:sz w:val="20"/>
                <w:szCs w:val="20"/>
              </w:rPr>
            </w:pPr>
          </w:p>
        </w:tc>
        <w:tc>
          <w:tcPr>
            <w:tcW w:w="1984" w:type="dxa"/>
            <w:vAlign w:val="center"/>
          </w:tcPr>
          <w:p w14:paraId="160ADE36" w14:textId="0F453CD1" w:rsidR="00B902FA" w:rsidRPr="009755B1" w:rsidRDefault="00B902FA" w:rsidP="00B902FA">
            <w:pPr>
              <w:pStyle w:val="NormalWeb"/>
              <w:cnfStyle w:val="100000000000" w:firstRow="1" w:lastRow="0" w:firstColumn="0" w:lastColumn="0" w:oddVBand="0" w:evenVBand="0" w:oddHBand="0" w:evenHBand="0" w:firstRowFirstColumn="0" w:firstRowLastColumn="0" w:lastRowFirstColumn="0" w:lastRowLastColumn="0"/>
              <w:rPr>
                <w:sz w:val="20"/>
                <w:szCs w:val="20"/>
              </w:rPr>
            </w:pPr>
            <w:r w:rsidRPr="009755B1">
              <w:rPr>
                <w:sz w:val="20"/>
                <w:szCs w:val="20"/>
                <w:lang w:val="en"/>
              </w:rPr>
              <w:t>Baseline (T1​) vs. Follow-Up (T3​)</w:t>
            </w:r>
          </w:p>
        </w:tc>
        <w:tc>
          <w:tcPr>
            <w:tcW w:w="1418" w:type="dxa"/>
            <w:vAlign w:val="center"/>
          </w:tcPr>
          <w:p w14:paraId="39FB67E1" w14:textId="77777777" w:rsidR="00B902FA" w:rsidRPr="009755B1" w:rsidRDefault="00B902FA" w:rsidP="00B902FA">
            <w:pPr>
              <w:pStyle w:val="NormalWeb"/>
              <w:cnfStyle w:val="100000000000" w:firstRow="1" w:lastRow="0" w:firstColumn="0" w:lastColumn="0" w:oddVBand="0" w:evenVBand="0" w:oddHBand="0" w:evenHBand="0" w:firstRowFirstColumn="0" w:firstRowLastColumn="0" w:lastRowFirstColumn="0" w:lastRowLastColumn="0"/>
              <w:rPr>
                <w:sz w:val="20"/>
                <w:szCs w:val="20"/>
              </w:rPr>
            </w:pPr>
          </w:p>
        </w:tc>
        <w:tc>
          <w:tcPr>
            <w:tcW w:w="1984" w:type="dxa"/>
            <w:vAlign w:val="center"/>
          </w:tcPr>
          <w:p w14:paraId="7CCCE74B" w14:textId="72A69802" w:rsidR="00B902FA" w:rsidRPr="009755B1" w:rsidRDefault="00B902FA" w:rsidP="00B902FA">
            <w:pPr>
              <w:pStyle w:val="NormalWeb"/>
              <w:cnfStyle w:val="100000000000" w:firstRow="1" w:lastRow="0" w:firstColumn="0" w:lastColumn="0" w:oddVBand="0" w:evenVBand="0" w:oddHBand="0" w:evenHBand="0" w:firstRowFirstColumn="0" w:firstRowLastColumn="0" w:lastRowFirstColumn="0" w:lastRowLastColumn="0"/>
              <w:rPr>
                <w:sz w:val="20"/>
                <w:szCs w:val="20"/>
              </w:rPr>
            </w:pPr>
            <w:r w:rsidRPr="009755B1">
              <w:rPr>
                <w:sz w:val="20"/>
                <w:szCs w:val="20"/>
                <w:lang w:val="en"/>
              </w:rPr>
              <w:t>Post-Test (T2​) vs. Follow-Up (T3​)</w:t>
            </w:r>
          </w:p>
        </w:tc>
        <w:tc>
          <w:tcPr>
            <w:tcW w:w="1134" w:type="dxa"/>
            <w:vAlign w:val="center"/>
          </w:tcPr>
          <w:p w14:paraId="5BD2302A" w14:textId="77777777" w:rsidR="00B902FA" w:rsidRPr="009755B1" w:rsidRDefault="00B902FA" w:rsidP="00B902FA">
            <w:pPr>
              <w:pStyle w:val="NormalWeb"/>
              <w:cnfStyle w:val="100000000000" w:firstRow="1" w:lastRow="0" w:firstColumn="0" w:lastColumn="0" w:oddVBand="0" w:evenVBand="0" w:oddHBand="0" w:evenHBand="0" w:firstRowFirstColumn="0" w:firstRowLastColumn="0" w:lastRowFirstColumn="0" w:lastRowLastColumn="0"/>
              <w:rPr>
                <w:sz w:val="16"/>
                <w:szCs w:val="16"/>
              </w:rPr>
            </w:pPr>
          </w:p>
        </w:tc>
      </w:tr>
      <w:tr w:rsidR="009C696F" w:rsidRPr="009755B1" w14:paraId="48E37396" w14:textId="77777777" w:rsidTr="008C5E6F">
        <w:trPr>
          <w:cnfStyle w:val="000000100000" w:firstRow="0" w:lastRow="0" w:firstColumn="0" w:lastColumn="0" w:oddVBand="0" w:evenVBand="0" w:oddHBand="1"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60DA90A5" w14:textId="6F76455D" w:rsidR="003F0960" w:rsidRPr="009755B1" w:rsidRDefault="003F0960" w:rsidP="003F0960">
            <w:pPr>
              <w:pStyle w:val="NormalWeb"/>
              <w:rPr>
                <w:sz w:val="20"/>
                <w:szCs w:val="20"/>
              </w:rPr>
            </w:pPr>
          </w:p>
        </w:tc>
        <w:tc>
          <w:tcPr>
            <w:tcW w:w="1560" w:type="dxa"/>
            <w:vAlign w:val="center"/>
          </w:tcPr>
          <w:p w14:paraId="3BEBF683" w14:textId="0D076339" w:rsidR="003F0960" w:rsidRPr="009755B1" w:rsidRDefault="003F0960" w:rsidP="003F0960">
            <w:pPr>
              <w:pStyle w:val="NormalWeb"/>
              <w:cnfStyle w:val="000000100000" w:firstRow="0" w:lastRow="0" w:firstColumn="0" w:lastColumn="0" w:oddVBand="0" w:evenVBand="0" w:oddHBand="1" w:evenHBand="0" w:firstRowFirstColumn="0" w:firstRowLastColumn="0" w:lastRowFirstColumn="0" w:lastRowLastColumn="0"/>
              <w:rPr>
                <w:sz w:val="16"/>
                <w:szCs w:val="16"/>
              </w:rPr>
            </w:pPr>
          </w:p>
        </w:tc>
        <w:tc>
          <w:tcPr>
            <w:tcW w:w="2268" w:type="dxa"/>
          </w:tcPr>
          <w:p w14:paraId="665CE0FF" w14:textId="61091270" w:rsidR="003F0960" w:rsidRPr="009755B1" w:rsidRDefault="003F0960" w:rsidP="00336231">
            <w:pPr>
              <w:pStyle w:val="NormalWeb"/>
              <w:jc w:val="center"/>
              <w:cnfStyle w:val="000000100000" w:firstRow="0" w:lastRow="0" w:firstColumn="0" w:lastColumn="0" w:oddVBand="0" w:evenVBand="0" w:oddHBand="1" w:evenHBand="0" w:firstRowFirstColumn="0" w:firstRowLastColumn="0" w:lastRowFirstColumn="0" w:lastRowLastColumn="0"/>
              <w:rPr>
                <w:sz w:val="16"/>
                <w:szCs w:val="16"/>
              </w:rPr>
            </w:pPr>
            <w:r w:rsidRPr="009755B1">
              <w:t>Mean Diff. (SD)</w:t>
            </w:r>
          </w:p>
        </w:tc>
        <w:tc>
          <w:tcPr>
            <w:tcW w:w="1559" w:type="dxa"/>
          </w:tcPr>
          <w:p w14:paraId="14307593" w14:textId="34153D76" w:rsidR="003F0960" w:rsidRPr="009755B1" w:rsidRDefault="003F0960" w:rsidP="00336231">
            <w:pPr>
              <w:pStyle w:val="NormalWeb"/>
              <w:jc w:val="center"/>
              <w:cnfStyle w:val="000000100000" w:firstRow="0" w:lastRow="0" w:firstColumn="0" w:lastColumn="0" w:oddVBand="0" w:evenVBand="0" w:oddHBand="1" w:evenHBand="0" w:firstRowFirstColumn="0" w:firstRowLastColumn="0" w:lastRowFirstColumn="0" w:lastRowLastColumn="0"/>
              <w:rPr>
                <w:sz w:val="16"/>
                <w:szCs w:val="16"/>
              </w:rPr>
            </w:pPr>
            <w:r w:rsidRPr="009755B1">
              <w:t>p-value</w:t>
            </w:r>
          </w:p>
        </w:tc>
        <w:tc>
          <w:tcPr>
            <w:tcW w:w="1984" w:type="dxa"/>
            <w:vAlign w:val="center"/>
          </w:tcPr>
          <w:p w14:paraId="221B4133" w14:textId="2DE3AB7D" w:rsidR="003F0960" w:rsidRPr="009755B1" w:rsidRDefault="003F0960" w:rsidP="00336231">
            <w:pPr>
              <w:pStyle w:val="NormalWeb"/>
              <w:jc w:val="center"/>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Mean Diff. (SD)</w:t>
            </w:r>
          </w:p>
        </w:tc>
        <w:tc>
          <w:tcPr>
            <w:tcW w:w="1418" w:type="dxa"/>
            <w:vAlign w:val="center"/>
          </w:tcPr>
          <w:p w14:paraId="0AA10F3B" w14:textId="1236A92A" w:rsidR="003F0960" w:rsidRPr="009755B1" w:rsidRDefault="003F0960" w:rsidP="00336231">
            <w:pPr>
              <w:pStyle w:val="NormalWeb"/>
              <w:jc w:val="center"/>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p-value</w:t>
            </w:r>
          </w:p>
        </w:tc>
        <w:tc>
          <w:tcPr>
            <w:tcW w:w="1984" w:type="dxa"/>
            <w:vAlign w:val="center"/>
          </w:tcPr>
          <w:p w14:paraId="5FD20BC5" w14:textId="56046010" w:rsidR="003F0960" w:rsidRPr="009755B1" w:rsidRDefault="003F0960" w:rsidP="00336231">
            <w:pPr>
              <w:pStyle w:val="NormalWeb"/>
              <w:jc w:val="center"/>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Mean Diff. (SD)</w:t>
            </w:r>
          </w:p>
        </w:tc>
        <w:tc>
          <w:tcPr>
            <w:tcW w:w="1134" w:type="dxa"/>
            <w:vAlign w:val="center"/>
          </w:tcPr>
          <w:p w14:paraId="181A6D65" w14:textId="00E61B4F" w:rsidR="003F0960" w:rsidRPr="009755B1" w:rsidRDefault="003F0960" w:rsidP="00336231">
            <w:pPr>
              <w:pStyle w:val="NormalWeb"/>
              <w:jc w:val="center"/>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p-value</w:t>
            </w:r>
          </w:p>
        </w:tc>
      </w:tr>
      <w:tr w:rsidR="008C5E6F" w:rsidRPr="009755B1" w14:paraId="343B8D51" w14:textId="77777777" w:rsidTr="008C5E6F">
        <w:trPr>
          <w:trHeight w:val="780"/>
        </w:trPr>
        <w:tc>
          <w:tcPr>
            <w:cnfStyle w:val="001000000000" w:firstRow="0" w:lastRow="0" w:firstColumn="1" w:lastColumn="0" w:oddVBand="0" w:evenVBand="0" w:oddHBand="0" w:evenHBand="0" w:firstRowFirstColumn="0" w:firstRowLastColumn="0" w:lastRowFirstColumn="0" w:lastRowLastColumn="0"/>
            <w:tcW w:w="2835" w:type="dxa"/>
          </w:tcPr>
          <w:p w14:paraId="4543153C" w14:textId="4C55D90F" w:rsidR="009C696F" w:rsidRPr="009755B1" w:rsidRDefault="009C696F" w:rsidP="009C696F">
            <w:pPr>
              <w:pStyle w:val="NormalWeb"/>
              <w:rPr>
                <w:sz w:val="20"/>
                <w:szCs w:val="20"/>
              </w:rPr>
            </w:pPr>
            <w:r w:rsidRPr="009755B1">
              <w:rPr>
                <w:sz w:val="20"/>
                <w:szCs w:val="20"/>
              </w:rPr>
              <w:t>Sleep Quality (PSQI)†</w:t>
            </w:r>
          </w:p>
        </w:tc>
        <w:tc>
          <w:tcPr>
            <w:tcW w:w="1560" w:type="dxa"/>
          </w:tcPr>
          <w:p w14:paraId="39927CFC" w14:textId="1474E4C6"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lang w:val="en"/>
              </w:rPr>
            </w:pPr>
            <w:r w:rsidRPr="009755B1">
              <w:t>Intervention</w:t>
            </w:r>
          </w:p>
        </w:tc>
        <w:tc>
          <w:tcPr>
            <w:tcW w:w="2268" w:type="dxa"/>
            <w:vAlign w:val="center"/>
          </w:tcPr>
          <w:p w14:paraId="43D18F63" w14:textId="1FB7BB27"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0.68 (1.05)</w:t>
            </w:r>
          </w:p>
        </w:tc>
        <w:tc>
          <w:tcPr>
            <w:tcW w:w="1559" w:type="dxa"/>
            <w:vAlign w:val="center"/>
          </w:tcPr>
          <w:p w14:paraId="59769983" w14:textId="2C8E4175"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&lt;.001</w:t>
            </w:r>
          </w:p>
        </w:tc>
        <w:tc>
          <w:tcPr>
            <w:tcW w:w="1984" w:type="dxa"/>
            <w:vAlign w:val="center"/>
          </w:tcPr>
          <w:p w14:paraId="35EC1A8C" w14:textId="74329BE0"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1.13 (1.20)</w:t>
            </w:r>
          </w:p>
        </w:tc>
        <w:tc>
          <w:tcPr>
            <w:tcW w:w="1418" w:type="dxa"/>
            <w:vAlign w:val="center"/>
          </w:tcPr>
          <w:p w14:paraId="3DC32C2D" w14:textId="51A02FD5"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&lt;.001</w:t>
            </w:r>
            <w:r w:rsidRPr="009755B1">
              <w:rPr>
                <w:rFonts w:ascii="Cambria Math" w:hAnsi="Cambria Math" w:cs="Cambria Math"/>
                <w:lang w:val="en"/>
              </w:rPr>
              <w:t>∗</w:t>
            </w:r>
          </w:p>
        </w:tc>
        <w:tc>
          <w:tcPr>
            <w:tcW w:w="1984" w:type="dxa"/>
            <w:vAlign w:val="center"/>
          </w:tcPr>
          <w:p w14:paraId="0382807C" w14:textId="54E4DA24"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0.45 (.85)</w:t>
            </w:r>
          </w:p>
        </w:tc>
        <w:tc>
          <w:tcPr>
            <w:tcW w:w="1134" w:type="dxa"/>
            <w:vAlign w:val="center"/>
          </w:tcPr>
          <w:p w14:paraId="4087C91F" w14:textId="52F5BBEE"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.002</w:t>
            </w:r>
          </w:p>
        </w:tc>
      </w:tr>
      <w:tr w:rsidR="009C696F" w:rsidRPr="009755B1" w14:paraId="4CF12497" w14:textId="77777777" w:rsidTr="008C5E6F">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58D62EA9" w14:textId="77777777" w:rsidR="009C696F" w:rsidRPr="009755B1" w:rsidRDefault="009C696F" w:rsidP="009C696F">
            <w:pPr>
              <w:pStyle w:val="NormalWeb"/>
              <w:rPr>
                <w:sz w:val="20"/>
                <w:szCs w:val="20"/>
              </w:rPr>
            </w:pPr>
          </w:p>
        </w:tc>
        <w:tc>
          <w:tcPr>
            <w:tcW w:w="1560" w:type="dxa"/>
            <w:vAlign w:val="center"/>
          </w:tcPr>
          <w:p w14:paraId="2BC8FC30" w14:textId="77F8D2E1"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Control</w:t>
            </w:r>
          </w:p>
        </w:tc>
        <w:tc>
          <w:tcPr>
            <w:tcW w:w="2268" w:type="dxa"/>
            <w:vAlign w:val="center"/>
          </w:tcPr>
          <w:p w14:paraId="587F7B67" w14:textId="66938C40"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−0.13 (0. 91)</w:t>
            </w:r>
          </w:p>
        </w:tc>
        <w:tc>
          <w:tcPr>
            <w:tcW w:w="1559" w:type="dxa"/>
            <w:vAlign w:val="center"/>
          </w:tcPr>
          <w:p w14:paraId="2DAE0093" w14:textId="68720170"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.394</w:t>
            </w:r>
          </w:p>
        </w:tc>
        <w:tc>
          <w:tcPr>
            <w:tcW w:w="1984" w:type="dxa"/>
            <w:vAlign w:val="center"/>
          </w:tcPr>
          <w:p w14:paraId="0758DF4C" w14:textId="5492DDA7"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−0.05 (1. 06)</w:t>
            </w:r>
          </w:p>
        </w:tc>
        <w:tc>
          <w:tcPr>
            <w:tcW w:w="1418" w:type="dxa"/>
            <w:vAlign w:val="center"/>
          </w:tcPr>
          <w:p w14:paraId="777B1C8E" w14:textId="0957F25F"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.767</w:t>
            </w:r>
          </w:p>
        </w:tc>
        <w:tc>
          <w:tcPr>
            <w:tcW w:w="1984" w:type="dxa"/>
            <w:vAlign w:val="center"/>
          </w:tcPr>
          <w:p w14:paraId="49036B65" w14:textId="6A916D78"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0.080 (.83)</w:t>
            </w:r>
          </w:p>
        </w:tc>
        <w:tc>
          <w:tcPr>
            <w:tcW w:w="1134" w:type="dxa"/>
            <w:vAlign w:val="center"/>
          </w:tcPr>
          <w:p w14:paraId="233BEC9E" w14:textId="38378E5A"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.561</w:t>
            </w:r>
          </w:p>
        </w:tc>
      </w:tr>
      <w:tr w:rsidR="009C696F" w:rsidRPr="009755B1" w14:paraId="1C0DB305" w14:textId="77777777" w:rsidTr="008C5E6F">
        <w:trPr>
          <w:trHeight w:val="780"/>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5A15A1BA" w14:textId="6360AB67" w:rsidR="009C696F" w:rsidRPr="009755B1" w:rsidRDefault="009C696F" w:rsidP="009C696F">
            <w:pPr>
              <w:pStyle w:val="NormalWeb"/>
              <w:rPr>
                <w:sz w:val="20"/>
                <w:szCs w:val="20"/>
              </w:rPr>
            </w:pPr>
            <w:r w:rsidRPr="009755B1">
              <w:rPr>
                <w:sz w:val="20"/>
                <w:szCs w:val="20"/>
                <w:lang w:val="en"/>
              </w:rPr>
              <w:t>Resilience (CD-</w:t>
            </w:r>
            <w:r w:rsidR="004F2DEA" w:rsidRPr="009755B1">
              <w:rPr>
                <w:sz w:val="20"/>
                <w:szCs w:val="20"/>
                <w:lang w:val="en"/>
              </w:rPr>
              <w:t>RISC) ‡</w:t>
            </w:r>
          </w:p>
        </w:tc>
        <w:tc>
          <w:tcPr>
            <w:tcW w:w="1560" w:type="dxa"/>
            <w:vAlign w:val="center"/>
          </w:tcPr>
          <w:p w14:paraId="0AEA337E" w14:textId="1FBEEF5C"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Intervention</w:t>
            </w:r>
          </w:p>
        </w:tc>
        <w:tc>
          <w:tcPr>
            <w:tcW w:w="2268" w:type="dxa"/>
            <w:vAlign w:val="center"/>
          </w:tcPr>
          <w:p w14:paraId="55C610DC" w14:textId="45785F39"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−6.25 (6. 12)</w:t>
            </w:r>
          </w:p>
        </w:tc>
        <w:tc>
          <w:tcPr>
            <w:tcW w:w="1559" w:type="dxa"/>
            <w:vAlign w:val="center"/>
          </w:tcPr>
          <w:p w14:paraId="2A81A895" w14:textId="78AE2104"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&lt;.001</w:t>
            </w:r>
            <w:r w:rsidRPr="009755B1">
              <w:rPr>
                <w:rFonts w:ascii="Cambria Math" w:hAnsi="Cambria Math" w:cs="Cambria Math"/>
                <w:lang w:val="en"/>
              </w:rPr>
              <w:t>∗</w:t>
            </w:r>
          </w:p>
        </w:tc>
        <w:tc>
          <w:tcPr>
            <w:tcW w:w="1984" w:type="dxa"/>
            <w:vAlign w:val="center"/>
          </w:tcPr>
          <w:p w14:paraId="4B2D1BBE" w14:textId="214E447C"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−7.35 (6. 28)</w:t>
            </w:r>
          </w:p>
        </w:tc>
        <w:tc>
          <w:tcPr>
            <w:tcW w:w="1418" w:type="dxa"/>
            <w:vAlign w:val="center"/>
          </w:tcPr>
          <w:p w14:paraId="1C8E2A08" w14:textId="0DF9E0E2"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&lt;.001</w:t>
            </w:r>
            <w:r w:rsidRPr="009755B1">
              <w:rPr>
                <w:rFonts w:ascii="Cambria Math" w:hAnsi="Cambria Math" w:cs="Cambria Math"/>
                <w:lang w:val="en"/>
              </w:rPr>
              <w:t>∗</w:t>
            </w:r>
          </w:p>
        </w:tc>
        <w:tc>
          <w:tcPr>
            <w:tcW w:w="1984" w:type="dxa"/>
            <w:vAlign w:val="center"/>
          </w:tcPr>
          <w:p w14:paraId="14EF3EDD" w14:textId="68217EFD"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−1.10 (3. 59)</w:t>
            </w:r>
          </w:p>
        </w:tc>
        <w:tc>
          <w:tcPr>
            <w:tcW w:w="1134" w:type="dxa"/>
            <w:vAlign w:val="center"/>
          </w:tcPr>
          <w:p w14:paraId="394B627A" w14:textId="465CD3F5"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.060</w:t>
            </w:r>
          </w:p>
        </w:tc>
      </w:tr>
      <w:tr w:rsidR="009C696F" w:rsidRPr="009755B1" w14:paraId="474F1AB2" w14:textId="77777777" w:rsidTr="008C5E6F">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54999258" w14:textId="77777777" w:rsidR="009C696F" w:rsidRPr="009755B1" w:rsidRDefault="009C696F" w:rsidP="009C696F">
            <w:pPr>
              <w:pStyle w:val="NormalWeb"/>
              <w:rPr>
                <w:sz w:val="20"/>
                <w:szCs w:val="20"/>
              </w:rPr>
            </w:pPr>
          </w:p>
        </w:tc>
        <w:tc>
          <w:tcPr>
            <w:tcW w:w="1560" w:type="dxa"/>
            <w:vAlign w:val="center"/>
          </w:tcPr>
          <w:p w14:paraId="22901768" w14:textId="7AF16C5E"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Control</w:t>
            </w:r>
          </w:p>
        </w:tc>
        <w:tc>
          <w:tcPr>
            <w:tcW w:w="2268" w:type="dxa"/>
            <w:vAlign w:val="center"/>
          </w:tcPr>
          <w:p w14:paraId="0CDEB7AB" w14:textId="35E9DDBB"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0.10 (3. 30)</w:t>
            </w:r>
          </w:p>
        </w:tc>
        <w:tc>
          <w:tcPr>
            <w:tcW w:w="1559" w:type="dxa"/>
            <w:vAlign w:val="center"/>
          </w:tcPr>
          <w:p w14:paraId="5738C827" w14:textId="4B3595E8"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.850</w:t>
            </w:r>
          </w:p>
        </w:tc>
        <w:tc>
          <w:tcPr>
            <w:tcW w:w="1984" w:type="dxa"/>
            <w:vAlign w:val="center"/>
          </w:tcPr>
          <w:p w14:paraId="38636060" w14:textId="52A60357"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0.23 (3. 79)</w:t>
            </w:r>
          </w:p>
        </w:tc>
        <w:tc>
          <w:tcPr>
            <w:tcW w:w="1418" w:type="dxa"/>
            <w:vAlign w:val="center"/>
          </w:tcPr>
          <w:p w14:paraId="57752568" w14:textId="463504AF"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.710</w:t>
            </w:r>
          </w:p>
        </w:tc>
        <w:tc>
          <w:tcPr>
            <w:tcW w:w="1984" w:type="dxa"/>
            <w:vAlign w:val="center"/>
          </w:tcPr>
          <w:p w14:paraId="4428DB27" w14:textId="6811AD6A"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.13 (3. 63)</w:t>
            </w:r>
          </w:p>
        </w:tc>
        <w:tc>
          <w:tcPr>
            <w:tcW w:w="1134" w:type="dxa"/>
            <w:vAlign w:val="center"/>
          </w:tcPr>
          <w:p w14:paraId="6E6C2EDF" w14:textId="723C3FDC"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.830</w:t>
            </w:r>
          </w:p>
        </w:tc>
      </w:tr>
      <w:tr w:rsidR="009C696F" w:rsidRPr="009755B1" w14:paraId="335D2C50" w14:textId="77777777" w:rsidTr="008C5E6F">
        <w:trPr>
          <w:trHeight w:val="780"/>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4A92CC1B" w14:textId="01BCBFB9" w:rsidR="009C696F" w:rsidRPr="009755B1" w:rsidRDefault="009C696F" w:rsidP="009C696F">
            <w:pPr>
              <w:pStyle w:val="NormalWeb"/>
              <w:rPr>
                <w:sz w:val="20"/>
                <w:szCs w:val="20"/>
              </w:rPr>
            </w:pPr>
            <w:r w:rsidRPr="009755B1">
              <w:rPr>
                <w:sz w:val="20"/>
                <w:szCs w:val="20"/>
                <w:lang w:val="en"/>
              </w:rPr>
              <w:t>General Health (GHQ-</w:t>
            </w:r>
            <w:r w:rsidR="004F2DEA" w:rsidRPr="009755B1">
              <w:rPr>
                <w:sz w:val="20"/>
                <w:szCs w:val="20"/>
                <w:lang w:val="en"/>
              </w:rPr>
              <w:t>28) †</w:t>
            </w:r>
          </w:p>
        </w:tc>
        <w:tc>
          <w:tcPr>
            <w:tcW w:w="1560" w:type="dxa"/>
            <w:vAlign w:val="center"/>
          </w:tcPr>
          <w:p w14:paraId="7CACF97A" w14:textId="1AD74B16"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Intervention</w:t>
            </w:r>
          </w:p>
        </w:tc>
        <w:tc>
          <w:tcPr>
            <w:tcW w:w="2268" w:type="dxa"/>
            <w:vAlign w:val="center"/>
          </w:tcPr>
          <w:p w14:paraId="12EBBD13" w14:textId="67EC2879"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1.50 (2. 95)</w:t>
            </w:r>
          </w:p>
        </w:tc>
        <w:tc>
          <w:tcPr>
            <w:tcW w:w="1559" w:type="dxa"/>
            <w:vAlign w:val="center"/>
          </w:tcPr>
          <w:p w14:paraId="78C15033" w14:textId="61C4BE12"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 002</w:t>
            </w:r>
            <w:r w:rsidRPr="009755B1">
              <w:rPr>
                <w:rFonts w:ascii="Cambria Math" w:hAnsi="Cambria Math" w:cs="Cambria Math"/>
                <w:lang w:val="en"/>
              </w:rPr>
              <w:t>∗</w:t>
            </w:r>
          </w:p>
        </w:tc>
        <w:tc>
          <w:tcPr>
            <w:tcW w:w="1984" w:type="dxa"/>
            <w:vAlign w:val="center"/>
          </w:tcPr>
          <w:p w14:paraId="2B2EAD9D" w14:textId="45DB0695"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2. 20 (3.11)</w:t>
            </w:r>
          </w:p>
        </w:tc>
        <w:tc>
          <w:tcPr>
            <w:tcW w:w="1418" w:type="dxa"/>
            <w:vAlign w:val="center"/>
          </w:tcPr>
          <w:p w14:paraId="38C727E4" w14:textId="7B018B75"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&lt;.001</w:t>
            </w:r>
            <w:r w:rsidRPr="009755B1">
              <w:rPr>
                <w:rFonts w:ascii="Cambria Math" w:hAnsi="Cambria Math" w:cs="Cambria Math"/>
                <w:lang w:val="en"/>
              </w:rPr>
              <w:t>∗</w:t>
            </w:r>
          </w:p>
        </w:tc>
        <w:tc>
          <w:tcPr>
            <w:tcW w:w="1984" w:type="dxa"/>
            <w:vAlign w:val="center"/>
          </w:tcPr>
          <w:p w14:paraId="4B523716" w14:textId="09369EDE"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0.70 (2.03)</w:t>
            </w:r>
          </w:p>
        </w:tc>
        <w:tc>
          <w:tcPr>
            <w:tcW w:w="1134" w:type="dxa"/>
            <w:vAlign w:val="center"/>
          </w:tcPr>
          <w:p w14:paraId="2C1817FE" w14:textId="0C6ABD4E" w:rsidR="009C696F" w:rsidRPr="009755B1" w:rsidRDefault="009C696F" w:rsidP="009C696F">
            <w:pPr>
              <w:pStyle w:val="NormalWeb"/>
              <w:cnfStyle w:val="000000000000" w:firstRow="0" w:lastRow="0" w:firstColumn="0" w:lastColumn="0" w:oddVBand="0" w:evenVBand="0" w:oddHBand="0" w:evenHBand="0" w:firstRowFirstColumn="0" w:firstRowLastColumn="0" w:lastRowFirstColumn="0" w:lastRowLastColumn="0"/>
              <w:rPr>
                <w:sz w:val="16"/>
                <w:szCs w:val="16"/>
              </w:rPr>
            </w:pPr>
            <w:r w:rsidRPr="009755B1">
              <w:rPr>
                <w:lang w:val="en"/>
              </w:rPr>
              <w:t>. 034</w:t>
            </w:r>
            <w:r w:rsidRPr="009755B1">
              <w:rPr>
                <w:rFonts w:ascii="Cambria Math" w:hAnsi="Cambria Math" w:cs="Cambria Math"/>
                <w:lang w:val="en"/>
              </w:rPr>
              <w:t>∗</w:t>
            </w:r>
          </w:p>
        </w:tc>
      </w:tr>
      <w:tr w:rsidR="009C696F" w:rsidRPr="009755B1" w14:paraId="0CCC3AC2" w14:textId="77777777" w:rsidTr="008C5E6F">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1879C604" w14:textId="77777777" w:rsidR="009C696F" w:rsidRPr="009755B1" w:rsidRDefault="009C696F" w:rsidP="009C696F">
            <w:pPr>
              <w:pStyle w:val="NormalWeb"/>
              <w:rPr>
                <w:sz w:val="16"/>
                <w:szCs w:val="16"/>
              </w:rPr>
            </w:pPr>
          </w:p>
        </w:tc>
        <w:tc>
          <w:tcPr>
            <w:tcW w:w="1560" w:type="dxa"/>
            <w:vAlign w:val="center"/>
          </w:tcPr>
          <w:p w14:paraId="12AE4FD6" w14:textId="50684510"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Control</w:t>
            </w:r>
          </w:p>
        </w:tc>
        <w:tc>
          <w:tcPr>
            <w:tcW w:w="2268" w:type="dxa"/>
            <w:vAlign w:val="center"/>
          </w:tcPr>
          <w:p w14:paraId="44398A0D" w14:textId="69D9861E"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−0.33 (1. 95)</w:t>
            </w:r>
          </w:p>
        </w:tc>
        <w:tc>
          <w:tcPr>
            <w:tcW w:w="1559" w:type="dxa"/>
            <w:vAlign w:val="center"/>
          </w:tcPr>
          <w:p w14:paraId="6E71EF3C" w14:textId="53BC9BBE"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.301</w:t>
            </w:r>
          </w:p>
        </w:tc>
        <w:tc>
          <w:tcPr>
            <w:tcW w:w="1984" w:type="dxa"/>
            <w:vAlign w:val="center"/>
          </w:tcPr>
          <w:p w14:paraId="23F3BAD3" w14:textId="7E986422"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0.13 (2.08)</w:t>
            </w:r>
          </w:p>
        </w:tc>
        <w:tc>
          <w:tcPr>
            <w:tcW w:w="1418" w:type="dxa"/>
            <w:vAlign w:val="center"/>
          </w:tcPr>
          <w:p w14:paraId="5852E507" w14:textId="054FF833"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.705</w:t>
            </w:r>
          </w:p>
        </w:tc>
        <w:tc>
          <w:tcPr>
            <w:tcW w:w="1984" w:type="dxa"/>
            <w:vAlign w:val="center"/>
          </w:tcPr>
          <w:p w14:paraId="7F29161B" w14:textId="0F795895"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.45 (2. 09)</w:t>
            </w:r>
          </w:p>
        </w:tc>
        <w:tc>
          <w:tcPr>
            <w:tcW w:w="1134" w:type="dxa"/>
            <w:vAlign w:val="center"/>
          </w:tcPr>
          <w:p w14:paraId="6641FE78" w14:textId="75ED1FD7" w:rsidR="009C696F" w:rsidRPr="009755B1" w:rsidRDefault="009C696F" w:rsidP="009C696F">
            <w:pPr>
              <w:pStyle w:val="NormalWeb"/>
              <w:cnfStyle w:val="000000100000" w:firstRow="0" w:lastRow="0" w:firstColumn="0" w:lastColumn="0" w:oddVBand="0" w:evenVBand="0" w:oddHBand="1" w:evenHBand="0" w:firstRowFirstColumn="0" w:firstRowLastColumn="0" w:lastRowFirstColumn="0" w:lastRowLastColumn="0"/>
              <w:rPr>
                <w:sz w:val="16"/>
                <w:szCs w:val="16"/>
              </w:rPr>
            </w:pPr>
            <w:r w:rsidRPr="009755B1">
              <w:rPr>
                <w:lang w:val="en"/>
              </w:rPr>
              <w:t>.179</w:t>
            </w:r>
          </w:p>
        </w:tc>
      </w:tr>
    </w:tbl>
    <w:p w14:paraId="38681F65" w14:textId="0C97EAF4" w:rsidR="00473837" w:rsidRPr="009755B1" w:rsidRDefault="00AE5ECB" w:rsidP="00AE5ECB">
      <w:pPr>
        <w:pStyle w:val="NormalWeb"/>
        <w:rPr>
          <w:sz w:val="16"/>
          <w:szCs w:val="16"/>
        </w:rPr>
      </w:pPr>
      <w:r w:rsidRPr="009755B1">
        <w:rPr>
          <w:sz w:val="16"/>
          <w:szCs w:val="16"/>
        </w:rPr>
        <w:t>.</w:t>
      </w:r>
    </w:p>
    <w:p w14:paraId="40559FB8" w14:textId="6EFF9B17" w:rsidR="009C696F" w:rsidRPr="009755B1" w:rsidRDefault="009C696F" w:rsidP="009C696F">
      <w:pPr>
        <w:pStyle w:val="NormalWeb"/>
        <w:rPr>
          <w:sz w:val="16"/>
          <w:szCs w:val="16"/>
          <w:lang w:val="en"/>
        </w:rPr>
      </w:pPr>
      <w:r w:rsidRPr="009755B1">
        <w:rPr>
          <w:rStyle w:val="Emphasis"/>
          <w:sz w:val="16"/>
          <w:szCs w:val="16"/>
          <w:lang w:val="en"/>
        </w:rPr>
        <w:t>Note.</w:t>
      </w:r>
      <w:r w:rsidRPr="009755B1">
        <w:rPr>
          <w:sz w:val="16"/>
          <w:szCs w:val="16"/>
          <w:lang w:val="en"/>
        </w:rPr>
        <w:t xml:space="preserve"> PSQI = Pittsburgh Sleep Quality Index; CD-RISC = Connor–Davidson Resilience Scale; GHQ-28 = General Health Questionnaire (28-item); Mean Diff. </w:t>
      </w:r>
      <w:bookmarkStart w:id="3" w:name="_Hlk239086775"/>
      <w:r w:rsidRPr="009755B1">
        <w:rPr>
          <w:sz w:val="16"/>
          <w:szCs w:val="16"/>
          <w:lang w:val="en"/>
        </w:rPr>
        <w:t>= Mean Difference</w:t>
      </w:r>
      <w:r w:rsidR="001C2084" w:rsidRPr="009755B1">
        <w:rPr>
          <w:sz w:val="16"/>
          <w:szCs w:val="16"/>
          <w:lang w:val="en"/>
        </w:rPr>
        <w:t>;</w:t>
      </w:r>
      <w:r w:rsidR="001C2084" w:rsidRPr="009755B1">
        <w:rPr>
          <w:rStyle w:val="mord"/>
          <w:rFonts w:eastAsiaTheme="majorEastAsia"/>
          <w:sz w:val="16"/>
          <w:szCs w:val="16"/>
          <w:lang w:val="en"/>
        </w:rPr>
        <w:t xml:space="preserve"> </w:t>
      </w:r>
      <w:r w:rsidR="00EF576A" w:rsidRPr="009755B1">
        <w:rPr>
          <w:rStyle w:val="mord"/>
          <w:rFonts w:eastAsiaTheme="majorEastAsia"/>
          <w:sz w:val="16"/>
          <w:szCs w:val="16"/>
          <w:lang w:val="en"/>
        </w:rPr>
        <w:t>(</w:t>
      </w:r>
      <w:r w:rsidRPr="009755B1">
        <w:rPr>
          <w:rStyle w:val="mord"/>
          <w:rFonts w:eastAsiaTheme="majorEastAsia"/>
          <w:sz w:val="16"/>
          <w:szCs w:val="16"/>
          <w:lang w:val="en"/>
        </w:rPr>
        <w:t>SD</w:t>
      </w:r>
      <w:r w:rsidR="00EF576A" w:rsidRPr="009755B1">
        <w:rPr>
          <w:rStyle w:val="mord"/>
          <w:rFonts w:eastAsiaTheme="majorEastAsia"/>
          <w:sz w:val="16"/>
          <w:szCs w:val="16"/>
          <w:lang w:val="en"/>
        </w:rPr>
        <w:t>)</w:t>
      </w:r>
      <w:r w:rsidRPr="009755B1">
        <w:rPr>
          <w:sz w:val="16"/>
          <w:szCs w:val="16"/>
          <w:lang w:val="en"/>
        </w:rPr>
        <w:t xml:space="preserve"> </w:t>
      </w:r>
      <w:bookmarkEnd w:id="3"/>
      <w:r w:rsidRPr="009755B1">
        <w:rPr>
          <w:sz w:val="16"/>
          <w:szCs w:val="16"/>
          <w:lang w:val="en"/>
        </w:rPr>
        <w:t>= Standard deviation of the difference.</w:t>
      </w:r>
    </w:p>
    <w:p w14:paraId="2FDD2FFC" w14:textId="64FB3FA0" w:rsidR="009C696F" w:rsidRPr="009755B1" w:rsidRDefault="009C696F" w:rsidP="009C696F">
      <w:pPr>
        <w:pStyle w:val="NormalWeb"/>
        <w:rPr>
          <w:sz w:val="16"/>
          <w:szCs w:val="16"/>
          <w:lang w:val="en"/>
        </w:rPr>
      </w:pPr>
      <w:r w:rsidRPr="009755B1">
        <w:rPr>
          <w:sz w:val="16"/>
          <w:szCs w:val="16"/>
          <w:lang w:val="en"/>
        </w:rPr>
        <w:t xml:space="preserve">Calculations were performed using paired-samples </w:t>
      </w:r>
      <w:r w:rsidRPr="009755B1">
        <w:rPr>
          <w:rStyle w:val="mord"/>
          <w:rFonts w:eastAsiaTheme="majorEastAsia"/>
          <w:sz w:val="16"/>
          <w:szCs w:val="16"/>
          <w:lang w:val="en"/>
        </w:rPr>
        <w:t>t</w:t>
      </w:r>
      <w:r w:rsidRPr="009755B1">
        <w:rPr>
          <w:sz w:val="16"/>
          <w:szCs w:val="16"/>
          <w:lang w:val="en"/>
        </w:rPr>
        <w:t>-tests with Bonferroni adjustment for multiple comparisons.</w:t>
      </w:r>
    </w:p>
    <w:p w14:paraId="53869DBA" w14:textId="77777777" w:rsidR="009C696F" w:rsidRPr="009755B1" w:rsidRDefault="009C696F" w:rsidP="009C696F">
      <w:pPr>
        <w:pStyle w:val="NormalWeb"/>
        <w:rPr>
          <w:sz w:val="16"/>
          <w:szCs w:val="16"/>
          <w:lang w:val="en"/>
        </w:rPr>
      </w:pPr>
      <w:r w:rsidRPr="009755B1">
        <w:rPr>
          <w:sz w:val="16"/>
          <w:szCs w:val="16"/>
          <w:lang w:val="en"/>
        </w:rPr>
        <w:t>† Positive mean differences reflect symptom reduction (clinical improvement).</w:t>
      </w:r>
    </w:p>
    <w:p w14:paraId="6E5DD7D6" w14:textId="77777777" w:rsidR="009C696F" w:rsidRPr="009755B1" w:rsidRDefault="009C696F" w:rsidP="009C696F">
      <w:pPr>
        <w:pStyle w:val="NormalWeb"/>
        <w:rPr>
          <w:sz w:val="16"/>
          <w:szCs w:val="16"/>
          <w:lang w:val="en"/>
        </w:rPr>
      </w:pPr>
      <w:r w:rsidRPr="009755B1">
        <w:rPr>
          <w:sz w:val="16"/>
          <w:szCs w:val="16"/>
          <w:lang w:val="en"/>
        </w:rPr>
        <w:t>‡ Negative mean differences reflect score increase (clinical improvement).</w:t>
      </w:r>
    </w:p>
    <w:p w14:paraId="212E22D5" w14:textId="4B6CC51E" w:rsidR="009C696F" w:rsidRPr="009755B1" w:rsidRDefault="009C696F" w:rsidP="009C696F">
      <w:pPr>
        <w:pStyle w:val="NormalWeb"/>
        <w:rPr>
          <w:sz w:val="16"/>
          <w:szCs w:val="16"/>
          <w:lang w:val="en"/>
        </w:rPr>
      </w:pPr>
      <w:r w:rsidRPr="009755B1">
        <w:rPr>
          <w:sz w:val="16"/>
          <w:szCs w:val="16"/>
          <w:lang w:val="en"/>
        </w:rPr>
        <w:t xml:space="preserve">* Statistically significant at </w:t>
      </w:r>
      <w:r w:rsidRPr="009755B1">
        <w:rPr>
          <w:rStyle w:val="katex-mathml"/>
          <w:sz w:val="16"/>
          <w:szCs w:val="16"/>
          <w:lang w:val="en"/>
        </w:rPr>
        <w:t xml:space="preserve">p&lt;.05. </w:t>
      </w:r>
    </w:p>
    <w:p w14:paraId="75331298" w14:textId="5B57336C" w:rsidR="005473C5" w:rsidRPr="009755B1" w:rsidRDefault="005473C5" w:rsidP="005473C5">
      <w:pPr>
        <w:bidi w:val="0"/>
        <w:spacing w:before="100" w:beforeAutospacing="1" w:after="100" w:afterAutospacing="1" w:line="240" w:lineRule="auto"/>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 xml:space="preserve">As detailed in Table </w:t>
      </w:r>
      <w:r w:rsidR="001F550D" w:rsidRPr="009755B1">
        <w:rPr>
          <w:rFonts w:ascii="Times New Roman" w:eastAsia="Times New Roman" w:hAnsi="Times New Roman" w:cs="Times New Roman"/>
          <w:sz w:val="24"/>
          <w:szCs w:val="24"/>
          <w:lang w:val="en"/>
        </w:rPr>
        <w:t>4</w:t>
      </w:r>
      <w:r w:rsidRPr="009755B1">
        <w:rPr>
          <w:rFonts w:ascii="Times New Roman" w:eastAsia="Times New Roman" w:hAnsi="Times New Roman" w:cs="Times New Roman"/>
          <w:sz w:val="24"/>
          <w:szCs w:val="24"/>
          <w:lang w:val="en"/>
        </w:rPr>
        <w:t>, within-group pairwise analyses revealed marked and durable clinical gains for participants in the telehealth psychoeducation group:</w:t>
      </w:r>
    </w:p>
    <w:p w14:paraId="435D5312" w14:textId="25B80DCA" w:rsidR="005473C5" w:rsidRPr="009755B1" w:rsidRDefault="003F12B5" w:rsidP="0040296D">
      <w:pPr>
        <w:bidi w:val="0"/>
        <w:spacing w:before="100" w:beforeAutospacing="1" w:after="100" w:afterAutospacing="1" w:line="240" w:lineRule="auto"/>
        <w:ind w:left="36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 xml:space="preserve">Sleep Quality (PSQI): </w:t>
      </w:r>
      <w:r w:rsidR="005473C5" w:rsidRPr="009755B1">
        <w:rPr>
          <w:rFonts w:ascii="Times New Roman" w:eastAsia="Times New Roman" w:hAnsi="Times New Roman" w:cs="Times New Roman"/>
          <w:sz w:val="24"/>
          <w:szCs w:val="24"/>
          <w:lang w:val="en"/>
        </w:rPr>
        <w:t>decreased significantly from baseline to immediate post-test (Mean Diff. =0.68, p&lt;.001), with further cumulative improvement observed between post-test and the 2-month follow-up (Mean Diff. =0.</w:t>
      </w:r>
      <w:r w:rsidR="00ED74B7" w:rsidRPr="009755B1">
        <w:rPr>
          <w:rFonts w:ascii="Times New Roman" w:eastAsia="Times New Roman" w:hAnsi="Times New Roman" w:cs="Times New Roman"/>
          <w:sz w:val="24"/>
          <w:szCs w:val="24"/>
          <w:lang w:val="en"/>
        </w:rPr>
        <w:t>45, p</w:t>
      </w:r>
      <w:r w:rsidR="005473C5" w:rsidRPr="009755B1">
        <w:rPr>
          <w:rFonts w:ascii="Times New Roman" w:eastAsia="Times New Roman" w:hAnsi="Times New Roman" w:cs="Times New Roman"/>
          <w:sz w:val="24"/>
          <w:szCs w:val="24"/>
          <w:lang w:val="en"/>
        </w:rPr>
        <w:t>=.002). Overall change from baseline to follow-up was highly significant (Mean Diff. =1.</w:t>
      </w:r>
      <w:r w:rsidR="00E50589" w:rsidRPr="009755B1">
        <w:rPr>
          <w:rFonts w:ascii="Times New Roman" w:eastAsia="Times New Roman" w:hAnsi="Times New Roman" w:cs="Times New Roman"/>
          <w:sz w:val="24"/>
          <w:szCs w:val="24"/>
          <w:lang w:val="en"/>
        </w:rPr>
        <w:t>13, p</w:t>
      </w:r>
      <w:r w:rsidR="005473C5" w:rsidRPr="009755B1">
        <w:rPr>
          <w:rFonts w:ascii="Times New Roman" w:eastAsia="Times New Roman" w:hAnsi="Times New Roman" w:cs="Times New Roman"/>
          <w:sz w:val="24"/>
          <w:szCs w:val="24"/>
          <w:lang w:val="en"/>
        </w:rPr>
        <w:t>&lt;.001).</w:t>
      </w:r>
    </w:p>
    <w:p w14:paraId="6E48AB22" w14:textId="00834705" w:rsidR="005473C5" w:rsidRPr="009755B1" w:rsidRDefault="00A75730" w:rsidP="0040296D">
      <w:pPr>
        <w:bidi w:val="0"/>
        <w:spacing w:before="100" w:beforeAutospacing="1" w:after="100" w:afterAutospacing="1" w:line="240" w:lineRule="auto"/>
        <w:ind w:left="36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Resilience (CD-RISC):</w:t>
      </w:r>
      <w:r w:rsidR="005473C5" w:rsidRPr="009755B1">
        <w:rPr>
          <w:rFonts w:ascii="Times New Roman" w:eastAsia="Times New Roman" w:hAnsi="Times New Roman" w:cs="Times New Roman"/>
          <w:sz w:val="24"/>
          <w:szCs w:val="24"/>
          <w:lang w:val="en"/>
        </w:rPr>
        <w:t>demonstrated a pronounced immediate increase from baseline to post-test (Mean Diff. =−6.</w:t>
      </w:r>
      <w:r w:rsidR="0089775A" w:rsidRPr="009755B1">
        <w:rPr>
          <w:rFonts w:ascii="Times New Roman" w:eastAsia="Times New Roman" w:hAnsi="Times New Roman" w:cs="Times New Roman"/>
          <w:sz w:val="24"/>
          <w:szCs w:val="24"/>
          <w:lang w:val="en"/>
        </w:rPr>
        <w:t>25, p</w:t>
      </w:r>
      <w:r w:rsidR="005473C5" w:rsidRPr="009755B1">
        <w:rPr>
          <w:rFonts w:ascii="Times New Roman" w:eastAsia="Times New Roman" w:hAnsi="Times New Roman" w:cs="Times New Roman"/>
          <w:sz w:val="24"/>
          <w:szCs w:val="24"/>
          <w:lang w:val="en"/>
        </w:rPr>
        <w:t>&lt;.001). These therapeutic gains were successfully sustained through the 2-month follow-up window (post-test vs. follow-up: p=.060; baseline vs. follow-up: Mean Diff. =−7.</w:t>
      </w:r>
      <w:r w:rsidR="0089775A" w:rsidRPr="009755B1">
        <w:rPr>
          <w:rFonts w:ascii="Times New Roman" w:eastAsia="Times New Roman" w:hAnsi="Times New Roman" w:cs="Times New Roman"/>
          <w:sz w:val="24"/>
          <w:szCs w:val="24"/>
          <w:lang w:val="en"/>
        </w:rPr>
        <w:t>35, p</w:t>
      </w:r>
      <w:r w:rsidR="005473C5" w:rsidRPr="009755B1">
        <w:rPr>
          <w:rFonts w:ascii="Times New Roman" w:eastAsia="Times New Roman" w:hAnsi="Times New Roman" w:cs="Times New Roman"/>
          <w:sz w:val="24"/>
          <w:szCs w:val="24"/>
          <w:lang w:val="en"/>
        </w:rPr>
        <w:t>&lt;.001).</w:t>
      </w:r>
    </w:p>
    <w:p w14:paraId="74DA3022" w14:textId="6CC8E3FA" w:rsidR="005473C5" w:rsidRPr="009755B1" w:rsidRDefault="00A75730" w:rsidP="0040296D">
      <w:pPr>
        <w:bidi w:val="0"/>
        <w:spacing w:before="100" w:beforeAutospacing="1" w:after="100" w:afterAutospacing="1" w:line="240" w:lineRule="auto"/>
        <w:ind w:left="360"/>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 xml:space="preserve">General Health (GHQ-28): </w:t>
      </w:r>
      <w:r w:rsidR="005473C5" w:rsidRPr="009755B1">
        <w:rPr>
          <w:rFonts w:ascii="Times New Roman" w:eastAsia="Times New Roman" w:hAnsi="Times New Roman" w:cs="Times New Roman"/>
          <w:sz w:val="24"/>
          <w:szCs w:val="24"/>
          <w:lang w:val="en"/>
        </w:rPr>
        <w:t>significantly declined from baseline to post-test (Mean Diff. =1.</w:t>
      </w:r>
      <w:r w:rsidR="0089775A" w:rsidRPr="009755B1">
        <w:rPr>
          <w:rFonts w:ascii="Times New Roman" w:eastAsia="Times New Roman" w:hAnsi="Times New Roman" w:cs="Times New Roman"/>
          <w:sz w:val="24"/>
          <w:szCs w:val="24"/>
          <w:lang w:val="en"/>
        </w:rPr>
        <w:t>50, p</w:t>
      </w:r>
      <w:r w:rsidR="005473C5" w:rsidRPr="009755B1">
        <w:rPr>
          <w:rFonts w:ascii="Times New Roman" w:eastAsia="Times New Roman" w:hAnsi="Times New Roman" w:cs="Times New Roman"/>
          <w:sz w:val="24"/>
          <w:szCs w:val="24"/>
          <w:lang w:val="en"/>
        </w:rPr>
        <w:t>=.002) and continued to show sustained reduction at follow-up (Mean Diff. =2.</w:t>
      </w:r>
      <w:r w:rsidR="00ED74B7" w:rsidRPr="009755B1">
        <w:rPr>
          <w:rFonts w:ascii="Times New Roman" w:eastAsia="Times New Roman" w:hAnsi="Times New Roman" w:cs="Times New Roman"/>
          <w:sz w:val="24"/>
          <w:szCs w:val="24"/>
          <w:lang w:val="en"/>
        </w:rPr>
        <w:t>20, p</w:t>
      </w:r>
      <w:r w:rsidR="005473C5" w:rsidRPr="009755B1">
        <w:rPr>
          <w:rFonts w:ascii="Times New Roman" w:eastAsia="Times New Roman" w:hAnsi="Times New Roman" w:cs="Times New Roman"/>
          <w:sz w:val="24"/>
          <w:szCs w:val="24"/>
          <w:lang w:val="en"/>
        </w:rPr>
        <w:t>&lt;.001), along with a significant ongoing post-intervention decrease (Mean Diff. =0.</w:t>
      </w:r>
      <w:r w:rsidR="00ED74B7" w:rsidRPr="009755B1">
        <w:rPr>
          <w:rFonts w:ascii="Times New Roman" w:eastAsia="Times New Roman" w:hAnsi="Times New Roman" w:cs="Times New Roman"/>
          <w:sz w:val="24"/>
          <w:szCs w:val="24"/>
          <w:lang w:val="en"/>
        </w:rPr>
        <w:t>70, p</w:t>
      </w:r>
      <w:r w:rsidR="005473C5" w:rsidRPr="009755B1">
        <w:rPr>
          <w:rFonts w:ascii="Times New Roman" w:eastAsia="Times New Roman" w:hAnsi="Times New Roman" w:cs="Times New Roman"/>
          <w:sz w:val="24"/>
          <w:szCs w:val="24"/>
          <w:lang w:val="en"/>
        </w:rPr>
        <w:t>=.034).</w:t>
      </w:r>
    </w:p>
    <w:p w14:paraId="7175810F" w14:textId="2836960D" w:rsidR="005473C5" w:rsidRPr="009755B1" w:rsidRDefault="005473C5" w:rsidP="005473C5">
      <w:pPr>
        <w:bidi w:val="0"/>
        <w:spacing w:before="100" w:beforeAutospacing="1" w:after="100" w:afterAutospacing="1" w:line="240" w:lineRule="auto"/>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Conversely, mothers in the waitlist control group demonstrated no statistically significant alterations across any of the assessment phases for all three primary outcomes (p&gt;.05 for all comparisons), establishing that the clinical improvements observed were specifically attributable to the telehealth psychoeducation intervention.</w:t>
      </w:r>
    </w:p>
    <w:p w14:paraId="0D925E44" w14:textId="3151D0E3" w:rsidR="0062694C" w:rsidRPr="009755B1" w:rsidRDefault="0062694C" w:rsidP="00C77330">
      <w:pPr>
        <w:bidi w:val="0"/>
        <w:spacing w:line="360" w:lineRule="auto"/>
        <w:ind w:left="720"/>
        <w:jc w:val="both"/>
        <w:rPr>
          <w:rFonts w:asciiTheme="majorBidi" w:eastAsia="Times New Roman" w:hAnsiTheme="majorBidi" w:cstheme="majorBidi"/>
          <w:b/>
          <w:bCs/>
          <w:sz w:val="24"/>
          <w:szCs w:val="24"/>
        </w:rPr>
      </w:pPr>
      <w:r w:rsidRPr="009755B1">
        <w:rPr>
          <w:rFonts w:asciiTheme="majorBidi" w:eastAsia="Times New Roman" w:hAnsiTheme="majorBidi" w:cstheme="majorBidi"/>
          <w:b/>
          <w:bCs/>
          <w:sz w:val="24"/>
          <w:szCs w:val="24"/>
        </w:rPr>
        <w:t>Discussion</w:t>
      </w:r>
    </w:p>
    <w:p w14:paraId="3AFF0E84" w14:textId="186B8E66" w:rsidR="00E06BC6" w:rsidRPr="009755B1" w:rsidRDefault="00E06BC6" w:rsidP="00961BD7">
      <w:pPr>
        <w:bidi w:val="0"/>
        <w:spacing w:beforeAutospacing="1" w:after="100" w:afterAutospacing="1" w:line="360" w:lineRule="auto"/>
        <w:jc w:val="both"/>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 xml:space="preserve">Caring for a child diagnosed with </w:t>
      </w:r>
      <w:bookmarkStart w:id="4" w:name="_Hlk239086817"/>
      <w:r w:rsidRPr="009755B1">
        <w:rPr>
          <w:rFonts w:ascii="Times New Roman" w:eastAsia="Times New Roman" w:hAnsi="Times New Roman" w:cs="Times New Roman"/>
          <w:sz w:val="24"/>
          <w:szCs w:val="24"/>
          <w:lang w:val="en"/>
        </w:rPr>
        <w:t xml:space="preserve">autism spectrum </w:t>
      </w:r>
      <w:bookmarkStart w:id="5" w:name="_Hlk239074121"/>
      <w:r w:rsidRPr="009755B1">
        <w:rPr>
          <w:rFonts w:ascii="Times New Roman" w:eastAsia="Times New Roman" w:hAnsi="Times New Roman" w:cs="Times New Roman"/>
          <w:sz w:val="24"/>
          <w:szCs w:val="24"/>
          <w:lang w:val="en"/>
        </w:rPr>
        <w:t xml:space="preserve">disorder </w:t>
      </w:r>
      <w:bookmarkEnd w:id="4"/>
      <w:r w:rsidRPr="009755B1">
        <w:rPr>
          <w:rFonts w:ascii="Times New Roman" w:eastAsia="Times New Roman" w:hAnsi="Times New Roman" w:cs="Times New Roman"/>
          <w:sz w:val="24"/>
          <w:szCs w:val="24"/>
          <w:lang w:val="en"/>
        </w:rPr>
        <w:t>(ASD</w:t>
      </w:r>
      <w:bookmarkEnd w:id="5"/>
      <w:r w:rsidRPr="009755B1">
        <w:rPr>
          <w:rFonts w:ascii="Times New Roman" w:eastAsia="Times New Roman" w:hAnsi="Times New Roman" w:cs="Times New Roman"/>
          <w:sz w:val="24"/>
          <w:szCs w:val="24"/>
          <w:lang w:val="en"/>
        </w:rPr>
        <w:t>) is a chronic, multidimensional stressor that frequently compromises maternal psychological equilibrium, somatic well-being, and sleep architecture. The present randomized controlled trial evaluated the efficacy of an 11-session interactive telehealth psychoeducational intervention delivered to mothers of children with ASD, with a 2-month post-intervention follow-up. Our findings demonstrate that structured remote psychoeducation produced statistically significant and clinically meaningful improvements across all three primary outcomes: psychological distress (GHQ-28), sleep disturbance (PSQI), and psychological resilience (CD-RISC). Crucially, the intervention revealed distinct, component-specific temporal trajectories of change that elucidate the cognitive, behavioral, and neurovegetative mechanisms underlying digital family interventions.</w:t>
      </w:r>
    </w:p>
    <w:p w14:paraId="5E8F6369" w14:textId="0154B40F" w:rsidR="00E06BC6" w:rsidRPr="009755B1" w:rsidRDefault="00E06BC6" w:rsidP="00961BD7">
      <w:pPr>
        <w:bidi w:val="0"/>
        <w:spacing w:before="100" w:beforeAutospacing="1" w:after="100" w:afterAutospacing="1" w:line="360" w:lineRule="auto"/>
        <w:jc w:val="both"/>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A pivotal finding of this trial is the rapid and robust enhancement in maternal psychological resilience, which increased sharply immediately post-intervention (p&lt;.001) and remained stably elevated through the 2-month follow-up window. This rapid trajectory can be directly attributed to the core cognitive and social mechanisms embedded within Sessions 4 through 6, which targeted cognitive restructuring, dismantling catastrophic attributional styles, and fostering coping self-efficacy. By transforming rigid, disempowering interpretations of caregiving burdens into actionable problem-solving schemas (reinforced in Sessions 9–10), mothers rapidly regained a sense of perceived internal control. Furthermore, the synchronous virtual group format provided a safe, non-stigmatizing peer ecosystem that mitigated the pervasive social isolation and affiliate stigma typical of Iranian mothers of children with ASD. This peer validation fostered mutual emotional empowerment, accelerating resilience gains within weeks.</w:t>
      </w:r>
    </w:p>
    <w:p w14:paraId="3DE5918E" w14:textId="298C4B3D" w:rsidR="00E06BC6" w:rsidRPr="009755B1" w:rsidRDefault="00E06BC6" w:rsidP="00961BD7">
      <w:pPr>
        <w:bidi w:val="0"/>
        <w:spacing w:before="100" w:beforeAutospacing="1" w:after="100" w:afterAutospacing="1" w:line="360" w:lineRule="auto"/>
        <w:jc w:val="both"/>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Parallel to resilience, maternal psychological distress (GHQ-28) exhibited substantial immediate reductions (p=.002), with continuing declines observed at the 2-month follow-up (p&lt;.001). Chronic caregiver strain is sustained by autonomic hyperarousal, self-blame, and allostatic overload. The combined delivery of stress-inoculation techniques, emotion-regulation skills, and assertiveness training (Sessions 7–8) interrupted these maladaptive cognitive-emotional feedback loops. The additional gains observed during the maintenance phase indicate that mothers successfully integrated somatic relaxation and boundary-setting strategies into their daily caregiving routines, mitigating long-term burnout.</w:t>
      </w:r>
    </w:p>
    <w:p w14:paraId="2B0DC955" w14:textId="3389EAAA" w:rsidR="00E06BC6" w:rsidRPr="009755B1" w:rsidRDefault="00E06BC6" w:rsidP="00961BD7">
      <w:pPr>
        <w:bidi w:val="0"/>
        <w:spacing w:before="100" w:beforeAutospacing="1" w:after="100" w:afterAutospacing="1" w:line="360" w:lineRule="auto"/>
        <w:jc w:val="both"/>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In marked contrast to the rapid shifts in resilience and distress, the improvement in sleep quality followed a distinctly delayed, cumulative trajectory. Maternal sleep disturbance exhibited a modest reduction immediately post-intervention (p&lt;.001), but achieved its maximal therapeutic consolidation between the post-test and the 2-month follow-up (p=.002; cumulative linear contrast ηp2=.24</w:t>
      </w:r>
      <w:r w:rsidR="000C1779" w:rsidRPr="009755B1">
        <w:rPr>
          <w:rFonts w:ascii="Times New Roman" w:eastAsia="Times New Roman" w:hAnsi="Times New Roman" w:cs="Times New Roman"/>
          <w:sz w:val="24"/>
          <w:szCs w:val="24"/>
          <w:lang w:val="en"/>
        </w:rPr>
        <w:t>2</w:t>
      </w:r>
      <w:r w:rsidRPr="009755B1">
        <w:rPr>
          <w:rFonts w:ascii="Times New Roman" w:eastAsia="Times New Roman" w:hAnsi="Times New Roman" w:cs="Times New Roman"/>
          <w:sz w:val="24"/>
          <w:szCs w:val="24"/>
          <w:lang w:val="en"/>
        </w:rPr>
        <w:t>). This divergence is clinically and physiologically informative. Maternal sleep disturbances in ASD are multifaceted, driven by both objective disruptions (the child’s irregular nocturnal awakenings) and subjective hyperarousal (conditioned bedtime worry, rumination, and autonomic activation). Session 3 introduced targeted behavioral sleep hygiene, autogenic relaxation, and stimulus control. While cognitive restructuring can produce rapid cognitive-affective reappraisals, the biological recalibration of the circadian sleep–wake rhythm and the extinction of conditioned bedtime hyperarousal require prolonged behavioral repetition, neurovegetative deconditioning, and environmental habituation. Over the 2-month follow-up, sustained nocturnal relaxation practice gradually lowered pre-sleep cognitive arousal and somatic tension, facilitating deeper sleep architecture and consolidated sleep efficiency over time.</w:t>
      </w:r>
    </w:p>
    <w:p w14:paraId="2EB0F8E4" w14:textId="176EB62B" w:rsidR="00E06BC6" w:rsidRPr="009755B1" w:rsidRDefault="00E06BC6" w:rsidP="00961BD7">
      <w:pPr>
        <w:bidi w:val="0"/>
        <w:spacing w:before="100" w:beforeAutospacing="1" w:after="100" w:afterAutospacing="1" w:line="360" w:lineRule="auto"/>
        <w:jc w:val="both"/>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These findings expand both national and international evidence on family-centered ASD interventions. Within the international literature, our findings align with Johnson et al. (2023), who demonstrated that a manualized telehealth behavioral sleep parent-training program achieved large sleep improvements (d=0.83) without sacrificing fidelity</w:t>
      </w:r>
      <w:r w:rsidR="00A75730" w:rsidRPr="009755B1">
        <w:rPr>
          <w:rFonts w:ascii="Times New Roman" w:eastAsia="Times New Roman" w:hAnsi="Times New Roman" w:cs="Times New Roman"/>
          <w:sz w:val="24"/>
          <w:szCs w:val="24"/>
          <w:lang w:val="en"/>
        </w:rPr>
        <w:t>(40)</w:t>
      </w:r>
      <w:r w:rsidRPr="009755B1">
        <w:rPr>
          <w:rFonts w:ascii="Times New Roman" w:eastAsia="Times New Roman" w:hAnsi="Times New Roman" w:cs="Times New Roman"/>
          <w:sz w:val="24"/>
          <w:szCs w:val="24"/>
          <w:lang w:val="en"/>
        </w:rPr>
        <w:t>. However, while Johnson et al. observed that child-focused sleep training did not directly lower parental stress, our mother-focused psychoeducational model directly alleviated maternal psychological distress and enhanced resilience simultaneously</w:t>
      </w:r>
      <w:r w:rsidR="00675426" w:rsidRPr="009755B1">
        <w:rPr>
          <w:rFonts w:ascii="Times New Roman" w:eastAsia="Times New Roman" w:hAnsi="Times New Roman" w:cs="Times New Roman"/>
          <w:sz w:val="24"/>
          <w:szCs w:val="24"/>
          <w:lang w:val="en"/>
        </w:rPr>
        <w:t>(40)</w:t>
      </w:r>
      <w:r w:rsidRPr="009755B1">
        <w:rPr>
          <w:rFonts w:ascii="Times New Roman" w:eastAsia="Times New Roman" w:hAnsi="Times New Roman" w:cs="Times New Roman"/>
          <w:sz w:val="24"/>
          <w:szCs w:val="24"/>
          <w:lang w:val="en"/>
        </w:rPr>
        <w:t xml:space="preserve">. Our results also corroborate broader international trials, such as Robledillo et al. (2015), confirming the power of cognitive-behavioral techniques in reducing caregiver somatic symptoms, and Stuttard et al. (2015), supporting group-based sleep interventions for developmental disability </w:t>
      </w:r>
      <w:r w:rsidR="008A3581" w:rsidRPr="009755B1">
        <w:rPr>
          <w:rFonts w:ascii="Times New Roman" w:eastAsia="Times New Roman" w:hAnsi="Times New Roman" w:cs="Times New Roman"/>
          <w:sz w:val="24"/>
          <w:szCs w:val="24"/>
          <w:lang w:val="en"/>
        </w:rPr>
        <w:t>caregivers (</w:t>
      </w:r>
      <w:r w:rsidR="00C170E3" w:rsidRPr="009755B1">
        <w:rPr>
          <w:rFonts w:ascii="Times New Roman" w:eastAsia="Times New Roman" w:hAnsi="Times New Roman" w:cs="Times New Roman"/>
          <w:sz w:val="24"/>
          <w:szCs w:val="24"/>
          <w:lang w:val="en"/>
        </w:rPr>
        <w:t>18</w:t>
      </w:r>
      <w:r w:rsidR="00580E38" w:rsidRPr="009755B1">
        <w:rPr>
          <w:rFonts w:ascii="Times New Roman" w:eastAsia="Times New Roman" w:hAnsi="Times New Roman" w:cs="Times New Roman"/>
          <w:sz w:val="24"/>
          <w:szCs w:val="24"/>
          <w:lang w:val="en"/>
        </w:rPr>
        <w:t>,</w:t>
      </w:r>
      <w:r w:rsidR="00225D54" w:rsidRPr="009755B1">
        <w:rPr>
          <w:rFonts w:ascii="Times New Roman" w:eastAsia="Times New Roman" w:hAnsi="Times New Roman" w:cs="Times New Roman"/>
          <w:sz w:val="24"/>
          <w:szCs w:val="24"/>
          <w:lang w:val="en"/>
        </w:rPr>
        <w:t xml:space="preserve"> 31</w:t>
      </w:r>
      <w:r w:rsidR="00C170E3" w:rsidRPr="009755B1">
        <w:rPr>
          <w:rFonts w:ascii="Times New Roman" w:eastAsia="Times New Roman" w:hAnsi="Times New Roman" w:cs="Times New Roman"/>
          <w:sz w:val="24"/>
          <w:szCs w:val="24"/>
          <w:lang w:val="en"/>
        </w:rPr>
        <w:t>)</w:t>
      </w:r>
      <w:r w:rsidRPr="009755B1">
        <w:rPr>
          <w:rFonts w:ascii="Times New Roman" w:eastAsia="Times New Roman" w:hAnsi="Times New Roman" w:cs="Times New Roman"/>
          <w:sz w:val="24"/>
          <w:szCs w:val="24"/>
          <w:lang w:val="en"/>
        </w:rPr>
        <w:t>.</w:t>
      </w:r>
    </w:p>
    <w:p w14:paraId="56491DF1" w14:textId="7420E3E6" w:rsidR="00E06BC6" w:rsidRPr="009755B1" w:rsidRDefault="00E06BC6" w:rsidP="00961BD7">
      <w:pPr>
        <w:bidi w:val="0"/>
        <w:spacing w:before="100" w:beforeAutospacing="1" w:after="100" w:afterAutospacing="1" w:line="360" w:lineRule="auto"/>
        <w:jc w:val="both"/>
        <w:rPr>
          <w:rFonts w:ascii="Times New Roman" w:eastAsia="Times New Roman" w:hAnsi="Times New Roman" w:cs="Times New Roman"/>
          <w:sz w:val="24"/>
          <w:szCs w:val="24"/>
          <w:lang w:val="en"/>
        </w:rPr>
      </w:pPr>
      <w:r w:rsidRPr="009755B1">
        <w:rPr>
          <w:rFonts w:ascii="Times New Roman" w:eastAsia="Times New Roman" w:hAnsi="Times New Roman" w:cs="Times New Roman"/>
          <w:sz w:val="24"/>
          <w:szCs w:val="24"/>
          <w:lang w:val="en"/>
        </w:rPr>
        <w:t xml:space="preserve">In the context of Iranian literature, the present results build upon and extend previous in-person and digital studies. For example, Seyedfatemi et al. (2020) demonstrated the feasibility of virtual social network psychoeducation in enhancing family caregiver resilience in severe mental </w:t>
      </w:r>
      <w:r w:rsidR="008A3581" w:rsidRPr="009755B1">
        <w:rPr>
          <w:rFonts w:ascii="Times New Roman" w:eastAsia="Times New Roman" w:hAnsi="Times New Roman" w:cs="Times New Roman"/>
          <w:sz w:val="24"/>
          <w:szCs w:val="24"/>
          <w:lang w:val="en"/>
        </w:rPr>
        <w:t>disorders (</w:t>
      </w:r>
      <w:r w:rsidR="006A1440" w:rsidRPr="009755B1">
        <w:rPr>
          <w:rFonts w:ascii="Times New Roman" w:eastAsia="Times New Roman" w:hAnsi="Times New Roman" w:cs="Times New Roman"/>
          <w:sz w:val="24"/>
          <w:szCs w:val="24"/>
          <w:lang w:val="en"/>
        </w:rPr>
        <w:t>35)</w:t>
      </w:r>
      <w:r w:rsidRPr="009755B1">
        <w:rPr>
          <w:rFonts w:ascii="Times New Roman" w:eastAsia="Times New Roman" w:hAnsi="Times New Roman" w:cs="Times New Roman"/>
          <w:sz w:val="24"/>
          <w:szCs w:val="24"/>
          <w:lang w:val="en"/>
        </w:rPr>
        <w:t xml:space="preserve">. Similarly, Bernamah et al. (2021) and Haylı et al. (2023) documented the utility of assertiveness and health-promotion-based sleep hygiene among Iranian and regional mothers of children with intellectual </w:t>
      </w:r>
      <w:r w:rsidR="0083104B" w:rsidRPr="009755B1">
        <w:rPr>
          <w:rFonts w:ascii="Times New Roman" w:eastAsia="Times New Roman" w:hAnsi="Times New Roman" w:cs="Times New Roman"/>
          <w:sz w:val="24"/>
          <w:szCs w:val="24"/>
          <w:lang w:val="en"/>
        </w:rPr>
        <w:t>disabilities (</w:t>
      </w:r>
      <w:r w:rsidR="00C170E3" w:rsidRPr="009755B1">
        <w:rPr>
          <w:rFonts w:ascii="Times New Roman" w:eastAsia="Times New Roman" w:hAnsi="Times New Roman" w:cs="Times New Roman"/>
          <w:sz w:val="24"/>
          <w:szCs w:val="24"/>
          <w:lang w:val="en"/>
        </w:rPr>
        <w:t>32,33)</w:t>
      </w:r>
      <w:r w:rsidRPr="009755B1">
        <w:rPr>
          <w:rFonts w:ascii="Times New Roman" w:eastAsia="Times New Roman" w:hAnsi="Times New Roman" w:cs="Times New Roman"/>
          <w:sz w:val="24"/>
          <w:szCs w:val="24"/>
          <w:lang w:val="en"/>
        </w:rPr>
        <w:t>. However, prior domestic studies predominantly relied on brief, single-component interventions without extended follow-up or mechanistic evaluations of temporal trajectories. The present study addresses this gap by offering a comprehensive, multi-component curriculum that simultaneously addresses emotional regulation, sleep hygiene, and cognitive coping within a unified virtual platform</w:t>
      </w:r>
      <w:r w:rsidR="00430679" w:rsidRPr="009755B1">
        <w:rPr>
          <w:rFonts w:ascii="Times New Roman" w:eastAsia="Times New Roman" w:hAnsi="Times New Roman" w:cs="Times New Roman"/>
          <w:sz w:val="24"/>
          <w:szCs w:val="24"/>
          <w:lang w:val="en"/>
        </w:rPr>
        <w:t>(</w:t>
      </w:r>
      <w:r w:rsidR="008C7023" w:rsidRPr="009755B1">
        <w:rPr>
          <w:rFonts w:ascii="Times New Roman" w:eastAsia="Times New Roman" w:hAnsi="Times New Roman" w:cs="Times New Roman"/>
          <w:sz w:val="24"/>
          <w:szCs w:val="24"/>
          <w:lang w:val="en"/>
        </w:rPr>
        <w:t xml:space="preserve">18 </w:t>
      </w:r>
      <w:r w:rsidR="007C2929" w:rsidRPr="009755B1">
        <w:rPr>
          <w:rFonts w:ascii="Times New Roman" w:eastAsia="Times New Roman" w:hAnsi="Times New Roman" w:cs="Times New Roman"/>
          <w:sz w:val="24"/>
          <w:szCs w:val="24"/>
          <w:lang w:val="en"/>
        </w:rPr>
        <w:t>,26</w:t>
      </w:r>
      <w:r w:rsidR="00430679" w:rsidRPr="009755B1">
        <w:rPr>
          <w:rFonts w:ascii="Times New Roman" w:eastAsia="Times New Roman" w:hAnsi="Times New Roman" w:cs="Times New Roman"/>
          <w:sz w:val="24"/>
          <w:szCs w:val="24"/>
          <w:lang w:val="en"/>
        </w:rPr>
        <w:t>)</w:t>
      </w:r>
      <w:r w:rsidRPr="009755B1">
        <w:rPr>
          <w:rFonts w:ascii="Times New Roman" w:eastAsia="Times New Roman" w:hAnsi="Times New Roman" w:cs="Times New Roman"/>
          <w:sz w:val="24"/>
          <w:szCs w:val="24"/>
          <w:lang w:val="en"/>
        </w:rPr>
        <w:t>.</w:t>
      </w:r>
    </w:p>
    <w:p w14:paraId="6CD799B7" w14:textId="6BBD4B8E" w:rsidR="00100026" w:rsidRPr="009755B1" w:rsidRDefault="00E06BC6" w:rsidP="00961BD7">
      <w:pPr>
        <w:bidi w:val="0"/>
        <w:spacing w:before="100" w:beforeAutospacing="1" w:after="100" w:afterAutospacing="1" w:line="360" w:lineRule="auto"/>
        <w:jc w:val="both"/>
        <w:rPr>
          <w:rFonts w:asciiTheme="majorBidi" w:eastAsia="Times New Roman" w:hAnsiTheme="majorBidi" w:cstheme="majorBidi"/>
          <w:sz w:val="24"/>
          <w:szCs w:val="24"/>
        </w:rPr>
      </w:pPr>
      <w:r w:rsidRPr="009755B1">
        <w:rPr>
          <w:rFonts w:ascii="Times New Roman" w:eastAsia="Times New Roman" w:hAnsi="Times New Roman" w:cs="Times New Roman"/>
          <w:sz w:val="24"/>
          <w:szCs w:val="24"/>
          <w:lang w:val="en"/>
        </w:rPr>
        <w:t>From a healthcare delivery perspective, the virtual format itself was an active therapeutic ingredient rather than merely a logistical convenience. Conventional clinic-based caregiver interventions in Iran face steep structural barriers, including severe geographic disparities, heavy urban traffic, high transportation costs, and the acute lack of specialized respite childcare. These logistical hurdles often result in high attrition rates and selective non-adherence. By embedding structured psychoeducation directly into the home via accessible mobile video-conferencing, the intervention eliminated commute burdens and allowed mothers to practice skills in the exact ecological setting where caregiving stressors occur. The asynchronous messaging channel further enabled between-session homework adherence and peer support. When embedded within stepped-care primary mental health models, remote psychoeducation provides a scalable, cost-effective</w:t>
      </w:r>
      <w:bookmarkStart w:id="6" w:name="_Hlk239075191"/>
      <w:r w:rsidRPr="009755B1">
        <w:rPr>
          <w:rFonts w:ascii="Times New Roman" w:eastAsia="Times New Roman" w:hAnsi="Times New Roman" w:cs="Times New Roman"/>
          <w:sz w:val="24"/>
          <w:szCs w:val="24"/>
          <w:lang w:val="en"/>
        </w:rPr>
        <w:t>,</w:t>
      </w:r>
      <w:bookmarkEnd w:id="6"/>
      <w:r w:rsidRPr="009755B1">
        <w:rPr>
          <w:rFonts w:ascii="Times New Roman" w:eastAsia="Times New Roman" w:hAnsi="Times New Roman" w:cs="Times New Roman"/>
          <w:sz w:val="24"/>
          <w:szCs w:val="24"/>
          <w:lang w:val="en"/>
        </w:rPr>
        <w:t xml:space="preserve"> and equitable framework to prevent caregiver burnout and support neurodevelopmental health systems </w:t>
      </w:r>
      <w:r w:rsidR="00961BD7" w:rsidRPr="009755B1">
        <w:rPr>
          <w:rFonts w:ascii="Times New Roman" w:eastAsia="Times New Roman" w:hAnsi="Times New Roman" w:cs="Times New Roman"/>
          <w:sz w:val="24"/>
          <w:szCs w:val="24"/>
          <w:lang w:val="en"/>
        </w:rPr>
        <w:t>globally.</w:t>
      </w:r>
      <w:r w:rsidR="00961BD7" w:rsidRPr="009755B1">
        <w:rPr>
          <w:rFonts w:asciiTheme="majorBidi" w:eastAsia="Times New Roman" w:hAnsiTheme="majorBidi" w:cstheme="majorBidi"/>
          <w:sz w:val="24"/>
          <w:szCs w:val="24"/>
        </w:rPr>
        <w:t xml:space="preserve"> The</w:t>
      </w:r>
      <w:r w:rsidR="00100026" w:rsidRPr="009755B1">
        <w:rPr>
          <w:rFonts w:asciiTheme="majorBidi" w:eastAsia="Times New Roman" w:hAnsiTheme="majorBidi" w:cstheme="majorBidi"/>
          <w:sz w:val="24"/>
          <w:szCs w:val="24"/>
        </w:rPr>
        <w:t xml:space="preserve"> findings of the present study suggest that remote health education is an effective approach for educating parents of children with autism. In particular, the intervention was associated with improvements in mothers' general health, sleep quality, and resilience. Telehealth has emerged as an effective strategy for overcoming barriers related to physical access to healthcare, treatment, and educational services. Although it cannot independently address all structural challenges within healthcare systems, it has the potential to enhance service capacity, improve the quality of care, and expand access to health services. Furthermore, telehealth can reduce the time and costs associated with in-person visits, decrease the need for work absences, and minimize travel-related burdens for families (39</w:t>
      </w:r>
      <w:r w:rsidR="00961BD7" w:rsidRPr="009755B1">
        <w:rPr>
          <w:rFonts w:asciiTheme="majorBidi" w:eastAsia="Times New Roman" w:hAnsiTheme="majorBidi" w:cstheme="majorBidi"/>
          <w:sz w:val="24"/>
          <w:szCs w:val="24"/>
        </w:rPr>
        <w:t>). Therefore</w:t>
      </w:r>
      <w:r w:rsidR="00100026" w:rsidRPr="009755B1">
        <w:rPr>
          <w:rFonts w:asciiTheme="majorBidi" w:eastAsia="Times New Roman" w:hAnsiTheme="majorBidi" w:cstheme="majorBidi"/>
          <w:sz w:val="24"/>
          <w:szCs w:val="24"/>
        </w:rPr>
        <w:t>, telehealth may serve as a sustainable approach for delivering mental and physical health interventions to families of children with autism within healthcare systems. Despite its potential, relatively few studies have investigated the effects of telehealth on the health and well-being of parents of children with autism. Further research is needed to address this gap by evaluating the effectiveness of telehealth-based interventions in improving parental health outcomes across diverse settings and populations.</w:t>
      </w:r>
    </w:p>
    <w:p w14:paraId="1AECAEF0" w14:textId="2FA87685" w:rsidR="00AE2476" w:rsidRPr="009755B1" w:rsidRDefault="00AE2476" w:rsidP="00100026">
      <w:pPr>
        <w:bidi w:val="0"/>
        <w:spacing w:line="360" w:lineRule="auto"/>
        <w:ind w:left="720"/>
        <w:jc w:val="both"/>
        <w:rPr>
          <w:rFonts w:asciiTheme="majorBidi" w:eastAsia="Times New Roman" w:hAnsiTheme="majorBidi" w:cstheme="majorBidi"/>
          <w:b/>
          <w:bCs/>
          <w:sz w:val="24"/>
          <w:szCs w:val="24"/>
        </w:rPr>
      </w:pPr>
      <w:r w:rsidRPr="009755B1">
        <w:rPr>
          <w:rFonts w:asciiTheme="majorBidi" w:eastAsia="Times New Roman" w:hAnsiTheme="majorBidi" w:cstheme="majorBidi"/>
          <w:b/>
          <w:bCs/>
          <w:sz w:val="24"/>
          <w:szCs w:val="24"/>
        </w:rPr>
        <w:t>Limitations</w:t>
      </w:r>
    </w:p>
    <w:p w14:paraId="598A2D75" w14:textId="57C71993" w:rsidR="00F75CFF" w:rsidRPr="009755B1" w:rsidRDefault="00F75CFF" w:rsidP="0083104B">
      <w:pPr>
        <w:spacing w:line="360" w:lineRule="auto"/>
        <w:ind w:left="720"/>
        <w:jc w:val="right"/>
        <w:rPr>
          <w:rFonts w:asciiTheme="majorBidi" w:eastAsia="Times New Roman" w:hAnsiTheme="majorBidi" w:cstheme="majorBidi"/>
          <w:sz w:val="24"/>
          <w:szCs w:val="24"/>
          <w:rtl/>
        </w:rPr>
      </w:pPr>
      <w:r w:rsidRPr="009755B1">
        <w:rPr>
          <w:rFonts w:asciiTheme="majorBidi" w:eastAsia="Times New Roman" w:hAnsiTheme="majorBidi" w:cstheme="majorBidi"/>
          <w:sz w:val="24"/>
          <w:szCs w:val="24"/>
        </w:rPr>
        <w:t>Several methodological limitations of the present study warrant consideration</w:t>
      </w:r>
      <w:r w:rsidR="00F73BE1" w:rsidRPr="009755B1">
        <w:rPr>
          <w:rFonts w:asciiTheme="majorBidi" w:eastAsia="Times New Roman" w:hAnsiTheme="majorBidi" w:cstheme="majorBidi"/>
          <w:sz w:val="24"/>
          <w:szCs w:val="24"/>
        </w:rPr>
        <w:t>:</w:t>
      </w:r>
    </w:p>
    <w:p w14:paraId="24FED904" w14:textId="77777777" w:rsidR="00F75CFF" w:rsidRPr="009755B1" w:rsidRDefault="00F75CFF" w:rsidP="0083104B">
      <w:pPr>
        <w:bidi w:val="0"/>
        <w:spacing w:line="360" w:lineRule="auto"/>
        <w:ind w:left="720"/>
        <w:jc w:val="both"/>
        <w:rPr>
          <w:rFonts w:asciiTheme="majorBidi" w:eastAsia="Times New Roman" w:hAnsiTheme="majorBidi" w:cstheme="majorBidi"/>
          <w:sz w:val="24"/>
          <w:szCs w:val="24"/>
        </w:rPr>
      </w:pPr>
      <w:r w:rsidRPr="009755B1">
        <w:rPr>
          <w:rFonts w:asciiTheme="majorBidi" w:eastAsia="Times New Roman" w:hAnsiTheme="majorBidi" w:cstheme="majorBidi"/>
          <w:sz w:val="24"/>
          <w:szCs w:val="24"/>
        </w:rPr>
        <w:t>First, clinical outcomes were assessed via self-report instruments (GHQ-28, PSQI, CD-RISC). Although single-blinding was maintained for outcome assessors and biostatisticians, participant blinding was inherently unfeasible due to the educational nature of the intervention; consequently, the potential influence of social desirability bias or expectancy effects cannot be completely ruled out. Incorporating objective biometric measures (e.g., actigraphy for sleep efficiency or salivary cortisol for physiological stress) is recommended in future research</w:t>
      </w:r>
      <w:r w:rsidRPr="009755B1">
        <w:rPr>
          <w:rFonts w:asciiTheme="majorBidi" w:eastAsia="Times New Roman" w:hAnsiTheme="majorBidi" w:cs="Times New Roman"/>
          <w:sz w:val="24"/>
          <w:szCs w:val="24"/>
          <w:rtl/>
        </w:rPr>
        <w:t>.</w:t>
      </w:r>
    </w:p>
    <w:p w14:paraId="5FD83D6D" w14:textId="3F144845" w:rsidR="00F75CFF" w:rsidRPr="009755B1" w:rsidRDefault="00F75CFF" w:rsidP="006A1440">
      <w:pPr>
        <w:bidi w:val="0"/>
        <w:spacing w:line="360" w:lineRule="auto"/>
        <w:ind w:left="720"/>
        <w:jc w:val="both"/>
        <w:rPr>
          <w:rFonts w:asciiTheme="majorBidi" w:eastAsia="Times New Roman" w:hAnsiTheme="majorBidi" w:cstheme="majorBidi"/>
          <w:sz w:val="24"/>
          <w:szCs w:val="24"/>
        </w:rPr>
      </w:pPr>
      <w:r w:rsidRPr="009755B1">
        <w:rPr>
          <w:rFonts w:asciiTheme="majorBidi" w:eastAsia="Times New Roman" w:hAnsiTheme="majorBidi" w:cstheme="majorBidi"/>
          <w:sz w:val="24"/>
          <w:szCs w:val="24"/>
        </w:rPr>
        <w:t>Second, strict eligibility criteria were applied: mothers with chronic somatic or psychiatric conditions and mothers of children with severe autistic symptomatology—operationalized as a CARS-2 raw score above 36.5, corresponding to the severe autism range of the scale (scores of 30–36.5 indicate mild-to-moderate autism; 37 and above indicate severe autism)—were excluded to maintain clinical homogeneity and eliminate major confounders. However, this may have produced a relatively healthy and stable caregiver cohort, which may circumscribe the generalizability of our findings to families managing multi-morbid health conditions or severe child behavioral crises, given that such parents carry a compounded caregiving and self-management burden. Relatedly, recruitment relied on consecutive eligible attendees at two rehabilitation centers rather than a population-based sampling frame; the non-probabilistic nature of the sample further constrains statistical generalizability</w:t>
      </w:r>
      <w:r w:rsidR="0083104B" w:rsidRPr="009755B1">
        <w:rPr>
          <w:rFonts w:asciiTheme="majorBidi" w:eastAsia="Times New Roman" w:hAnsiTheme="majorBidi" w:cstheme="majorBidi"/>
          <w:sz w:val="24"/>
          <w:szCs w:val="24"/>
        </w:rPr>
        <w:t>.</w:t>
      </w:r>
      <w:r w:rsidRPr="009755B1">
        <w:rPr>
          <w:rFonts w:asciiTheme="majorBidi" w:eastAsia="Times New Roman" w:hAnsiTheme="majorBidi" w:cs="Times New Roman"/>
          <w:sz w:val="24"/>
          <w:szCs w:val="24"/>
          <w:rtl/>
        </w:rPr>
        <w:t>.</w:t>
      </w:r>
    </w:p>
    <w:p w14:paraId="05B969AD" w14:textId="5EF02DA7" w:rsidR="00F75CFF" w:rsidRPr="009755B1" w:rsidRDefault="00F75CFF" w:rsidP="0083104B">
      <w:pPr>
        <w:spacing w:line="360" w:lineRule="auto"/>
        <w:ind w:left="720"/>
        <w:jc w:val="right"/>
        <w:rPr>
          <w:rFonts w:asciiTheme="majorBidi" w:eastAsia="Times New Roman" w:hAnsiTheme="majorBidi" w:cstheme="majorBidi"/>
          <w:sz w:val="24"/>
          <w:szCs w:val="24"/>
        </w:rPr>
      </w:pPr>
      <w:r w:rsidRPr="009755B1">
        <w:rPr>
          <w:rFonts w:asciiTheme="majorBidi" w:eastAsia="Times New Roman" w:hAnsiTheme="majorBidi" w:cstheme="majorBidi"/>
          <w:sz w:val="24"/>
          <w:szCs w:val="24"/>
        </w:rPr>
        <w:t>Third, in accordance with ethical research guidelines, mothers in the waitlist control group received the complete educational package immediately after completing the 2-month follow-up assessments. Consequently, long-term comparative trajectories between groups beyond the 2-month post-intervention interval could not be tracked</w:t>
      </w:r>
      <w:r w:rsidR="0083104B" w:rsidRPr="009755B1">
        <w:rPr>
          <w:rFonts w:asciiTheme="majorBidi" w:eastAsia="Times New Roman" w:hAnsiTheme="majorBidi" w:cstheme="majorBidi"/>
          <w:sz w:val="24"/>
          <w:szCs w:val="24"/>
        </w:rPr>
        <w:t>.</w:t>
      </w:r>
      <w:r w:rsidRPr="009755B1">
        <w:rPr>
          <w:rFonts w:asciiTheme="majorBidi" w:eastAsia="Times New Roman" w:hAnsiTheme="majorBidi" w:cs="Times New Roman"/>
          <w:sz w:val="24"/>
          <w:szCs w:val="24"/>
          <w:rtl/>
        </w:rPr>
        <w:t>.</w:t>
      </w:r>
    </w:p>
    <w:p w14:paraId="2589FF36" w14:textId="3517B49E" w:rsidR="00EC66DF" w:rsidRPr="009755B1" w:rsidRDefault="00F75CFF" w:rsidP="0083104B">
      <w:pPr>
        <w:bidi w:val="0"/>
        <w:spacing w:line="360" w:lineRule="auto"/>
        <w:ind w:left="720"/>
        <w:jc w:val="both"/>
        <w:rPr>
          <w:rFonts w:asciiTheme="majorBidi" w:eastAsia="Times New Roman" w:hAnsiTheme="majorBidi" w:cstheme="majorBidi"/>
          <w:sz w:val="24"/>
          <w:szCs w:val="24"/>
        </w:rPr>
      </w:pPr>
      <w:r w:rsidRPr="009755B1">
        <w:rPr>
          <w:rFonts w:asciiTheme="majorBidi" w:eastAsia="Times New Roman" w:hAnsiTheme="majorBidi" w:cstheme="majorBidi"/>
          <w:sz w:val="24"/>
          <w:szCs w:val="24"/>
        </w:rPr>
        <w:t>Finally, while potential center-level heterogeneity across the two recruitment sites was statistically controlled using RM-ANCOVA with center as a covariate, future trials should employ multi-site cluster-randomized designs involving larger numbers of rehabilitation clusters to enhance structural generalizability.</w:t>
      </w:r>
    </w:p>
    <w:p w14:paraId="5D75B1C1" w14:textId="3F0DE10B" w:rsidR="00051E7C" w:rsidRPr="009755B1" w:rsidRDefault="00051E7C" w:rsidP="00142681">
      <w:pPr>
        <w:bidi w:val="0"/>
        <w:spacing w:line="360" w:lineRule="auto"/>
        <w:ind w:left="720"/>
        <w:jc w:val="both"/>
        <w:rPr>
          <w:rFonts w:asciiTheme="majorBidi" w:eastAsia="Times New Roman" w:hAnsiTheme="majorBidi" w:cstheme="majorBidi"/>
          <w:b/>
          <w:bCs/>
          <w:sz w:val="24"/>
          <w:szCs w:val="24"/>
        </w:rPr>
      </w:pPr>
      <w:r w:rsidRPr="009755B1">
        <w:rPr>
          <w:rFonts w:asciiTheme="majorBidi" w:eastAsia="Times New Roman" w:hAnsiTheme="majorBidi" w:cstheme="majorBidi"/>
          <w:b/>
          <w:bCs/>
          <w:sz w:val="24"/>
          <w:szCs w:val="24"/>
        </w:rPr>
        <w:t>List of abbreviations</w:t>
      </w:r>
    </w:p>
    <w:p w14:paraId="385C069C" w14:textId="77777777" w:rsidR="00FC2DA9" w:rsidRPr="009755B1" w:rsidRDefault="00FC2DA9" w:rsidP="00FC2DA9">
      <w:pPr>
        <w:bidi w:val="0"/>
        <w:spacing w:line="360" w:lineRule="auto"/>
        <w:ind w:left="720"/>
        <w:rPr>
          <w:rFonts w:asciiTheme="majorBidi" w:eastAsia="Times New Roman" w:hAnsiTheme="majorBidi" w:cstheme="majorBidi"/>
          <w:sz w:val="24"/>
          <w:szCs w:val="24"/>
        </w:rPr>
      </w:pPr>
      <w:r w:rsidRPr="009755B1">
        <w:rPr>
          <w:rFonts w:asciiTheme="majorBidi" w:eastAsia="Times New Roman" w:hAnsiTheme="majorBidi" w:cstheme="majorBidi"/>
          <w:b/>
          <w:bCs/>
          <w:sz w:val="24"/>
          <w:szCs w:val="24"/>
        </w:rPr>
        <w:t>1</w:t>
      </w:r>
      <w:r w:rsidRPr="009755B1">
        <w:rPr>
          <w:rFonts w:asciiTheme="majorBidi" w:eastAsia="Times New Roman" w:hAnsiTheme="majorBidi" w:cs="Times New Roman"/>
          <w:b/>
          <w:bCs/>
          <w:sz w:val="24"/>
          <w:szCs w:val="24"/>
          <w:rtl/>
        </w:rPr>
        <w:t xml:space="preserve">. </w:t>
      </w:r>
      <w:r w:rsidRPr="009755B1">
        <w:rPr>
          <w:rFonts w:asciiTheme="majorBidi" w:eastAsia="Times New Roman" w:hAnsiTheme="majorBidi" w:cstheme="majorBidi"/>
          <w:sz w:val="24"/>
          <w:szCs w:val="24"/>
        </w:rPr>
        <w:t>GHQ: General Health Questionnaire</w:t>
      </w:r>
    </w:p>
    <w:p w14:paraId="3D764F56" w14:textId="77777777" w:rsidR="00FC2DA9" w:rsidRPr="009755B1" w:rsidRDefault="00FC2DA9" w:rsidP="00FC2DA9">
      <w:pPr>
        <w:bidi w:val="0"/>
        <w:spacing w:line="360" w:lineRule="auto"/>
        <w:ind w:left="720"/>
        <w:rPr>
          <w:rFonts w:asciiTheme="majorBidi" w:eastAsia="Times New Roman" w:hAnsiTheme="majorBidi" w:cstheme="majorBidi"/>
          <w:sz w:val="24"/>
          <w:szCs w:val="24"/>
        </w:rPr>
      </w:pPr>
      <w:r w:rsidRPr="009755B1">
        <w:rPr>
          <w:rFonts w:asciiTheme="majorBidi" w:eastAsia="Times New Roman" w:hAnsiTheme="majorBidi" w:cstheme="majorBidi"/>
          <w:sz w:val="24"/>
          <w:szCs w:val="24"/>
        </w:rPr>
        <w:t>2</w:t>
      </w:r>
      <w:r w:rsidRPr="009755B1">
        <w:rPr>
          <w:rFonts w:asciiTheme="majorBidi" w:eastAsia="Times New Roman" w:hAnsiTheme="majorBidi" w:cs="Times New Roman"/>
          <w:sz w:val="24"/>
          <w:szCs w:val="24"/>
          <w:rtl/>
        </w:rPr>
        <w:t xml:space="preserve">. </w:t>
      </w:r>
      <w:r w:rsidRPr="009755B1">
        <w:rPr>
          <w:rFonts w:asciiTheme="majorBidi" w:eastAsia="Times New Roman" w:hAnsiTheme="majorBidi" w:cstheme="majorBidi"/>
          <w:sz w:val="24"/>
          <w:szCs w:val="24"/>
        </w:rPr>
        <w:t>PSQI: Pittsburgh Sleep Quality Index</w:t>
      </w:r>
    </w:p>
    <w:p w14:paraId="7F442722" w14:textId="319E9E4C" w:rsidR="00051E7C" w:rsidRPr="009755B1" w:rsidRDefault="00FC2DA9" w:rsidP="00FC2DA9">
      <w:pPr>
        <w:bidi w:val="0"/>
        <w:spacing w:line="360" w:lineRule="auto"/>
        <w:ind w:left="720"/>
        <w:rPr>
          <w:rFonts w:asciiTheme="majorBidi" w:eastAsia="Times New Roman" w:hAnsiTheme="majorBidi" w:cstheme="majorBidi"/>
          <w:sz w:val="24"/>
          <w:szCs w:val="24"/>
        </w:rPr>
      </w:pPr>
      <w:r w:rsidRPr="009755B1">
        <w:rPr>
          <w:rFonts w:asciiTheme="majorBidi" w:eastAsia="Times New Roman" w:hAnsiTheme="majorBidi" w:cstheme="majorBidi"/>
          <w:sz w:val="24"/>
          <w:szCs w:val="24"/>
        </w:rPr>
        <w:t>3. CD-RISC: Connor-Davidson Resilience Scale</w:t>
      </w:r>
    </w:p>
    <w:p w14:paraId="2D2BA7F2" w14:textId="08AA8336" w:rsidR="00E06BC6" w:rsidRPr="009755B1" w:rsidRDefault="00E06BC6" w:rsidP="00E06BC6">
      <w:pPr>
        <w:bidi w:val="0"/>
        <w:spacing w:line="360" w:lineRule="auto"/>
        <w:ind w:left="720"/>
        <w:rPr>
          <w:rFonts w:asciiTheme="majorBidi" w:eastAsia="Times New Roman" w:hAnsiTheme="majorBidi" w:cstheme="majorBidi"/>
          <w:sz w:val="24"/>
          <w:szCs w:val="24"/>
        </w:rPr>
      </w:pPr>
      <w:r w:rsidRPr="009755B1">
        <w:rPr>
          <w:rFonts w:asciiTheme="majorBidi" w:eastAsia="Times New Roman" w:hAnsiTheme="majorBidi" w:cstheme="majorBidi"/>
          <w:sz w:val="24"/>
          <w:szCs w:val="24"/>
        </w:rPr>
        <w:t>4.</w:t>
      </w:r>
      <w:r w:rsidRPr="009755B1">
        <w:rPr>
          <w:rFonts w:ascii="Times New Roman" w:eastAsia="Times New Roman" w:hAnsi="Times New Roman" w:cs="Times New Roman"/>
          <w:sz w:val="24"/>
          <w:szCs w:val="24"/>
          <w:lang w:val="en"/>
        </w:rPr>
        <w:t xml:space="preserve"> ASD</w:t>
      </w:r>
      <w:r w:rsidRPr="009755B1">
        <w:rPr>
          <w:rFonts w:asciiTheme="majorBidi" w:eastAsia="Times New Roman" w:hAnsiTheme="majorBidi" w:cstheme="majorBidi"/>
          <w:sz w:val="24"/>
          <w:szCs w:val="24"/>
        </w:rPr>
        <w:t>:</w:t>
      </w:r>
      <w:r w:rsidR="006348E5" w:rsidRPr="009755B1">
        <w:t xml:space="preserve"> </w:t>
      </w:r>
      <w:r w:rsidR="006348E5" w:rsidRPr="009755B1">
        <w:rPr>
          <w:rFonts w:asciiTheme="majorBidi" w:eastAsia="Times New Roman" w:hAnsiTheme="majorBidi" w:cstheme="majorBidi"/>
          <w:sz w:val="24"/>
          <w:szCs w:val="24"/>
        </w:rPr>
        <w:t>Autism Spectrum Disorder</w:t>
      </w:r>
    </w:p>
    <w:p w14:paraId="73A711F4" w14:textId="77777777" w:rsidR="00051E7C" w:rsidRPr="009755B1" w:rsidRDefault="00051E7C" w:rsidP="00051E7C">
      <w:pPr>
        <w:bidi w:val="0"/>
        <w:spacing w:line="360" w:lineRule="auto"/>
        <w:ind w:left="720"/>
        <w:rPr>
          <w:rFonts w:asciiTheme="majorBidi" w:eastAsia="Times New Roman" w:hAnsiTheme="majorBidi" w:cstheme="majorBidi"/>
          <w:b/>
          <w:bCs/>
          <w:sz w:val="24"/>
          <w:szCs w:val="24"/>
        </w:rPr>
      </w:pPr>
    </w:p>
    <w:p w14:paraId="36EEA82C" w14:textId="765B451F" w:rsidR="00051E7C" w:rsidRPr="009755B1" w:rsidRDefault="00051E7C" w:rsidP="00051E7C">
      <w:pPr>
        <w:bidi w:val="0"/>
        <w:spacing w:line="360" w:lineRule="auto"/>
        <w:ind w:left="720"/>
        <w:rPr>
          <w:rFonts w:asciiTheme="majorBidi" w:eastAsia="Times New Roman" w:hAnsiTheme="majorBidi" w:cstheme="majorBidi"/>
          <w:b/>
          <w:bCs/>
          <w:sz w:val="24"/>
          <w:szCs w:val="24"/>
        </w:rPr>
      </w:pPr>
      <w:r w:rsidRPr="009755B1">
        <w:rPr>
          <w:rFonts w:asciiTheme="majorBidi" w:eastAsia="Times New Roman" w:hAnsiTheme="majorBidi" w:cstheme="majorBidi"/>
          <w:b/>
          <w:bCs/>
          <w:sz w:val="24"/>
          <w:szCs w:val="24"/>
        </w:rPr>
        <w:t>Declarations</w:t>
      </w:r>
    </w:p>
    <w:p w14:paraId="68CE944E" w14:textId="25F63A1C" w:rsidR="00051E7C" w:rsidRPr="009755B1" w:rsidRDefault="00051E7C" w:rsidP="00FC2DA9">
      <w:pPr>
        <w:bidi w:val="0"/>
        <w:spacing w:after="0" w:line="360" w:lineRule="auto"/>
        <w:rPr>
          <w:rFonts w:asciiTheme="majorBidi" w:eastAsia="Times New Roman" w:hAnsiTheme="majorBidi" w:cstheme="majorBidi"/>
          <w:b/>
          <w:bCs/>
          <w:sz w:val="24"/>
          <w:szCs w:val="24"/>
        </w:rPr>
      </w:pPr>
      <w:r w:rsidRPr="009755B1">
        <w:rPr>
          <w:rFonts w:asciiTheme="majorBidi" w:eastAsia="Times New Roman" w:hAnsiTheme="majorBidi" w:cs="Times New Roman"/>
          <w:sz w:val="24"/>
          <w:szCs w:val="24"/>
          <w:rtl/>
        </w:rPr>
        <w:t xml:space="preserve">   </w:t>
      </w:r>
      <w:r w:rsidRPr="009755B1">
        <w:rPr>
          <w:rFonts w:asciiTheme="majorBidi" w:eastAsia="Times New Roman" w:hAnsiTheme="majorBidi" w:cstheme="majorBidi"/>
          <w:b/>
          <w:bCs/>
          <w:sz w:val="24"/>
          <w:szCs w:val="24"/>
        </w:rPr>
        <w:t>Ethics approval and consent to participate</w:t>
      </w:r>
    </w:p>
    <w:p w14:paraId="1F5B9639" w14:textId="3F00E06E" w:rsidR="00051E7C" w:rsidRPr="009755B1" w:rsidRDefault="00051E7C" w:rsidP="003B134D">
      <w:pPr>
        <w:bidi w:val="0"/>
        <w:spacing w:after="0" w:line="360" w:lineRule="auto"/>
        <w:jc w:val="both"/>
        <w:rPr>
          <w:rFonts w:asciiTheme="majorBidi" w:eastAsia="Times New Roman" w:hAnsiTheme="majorBidi" w:cstheme="majorBidi"/>
          <w:sz w:val="24"/>
          <w:szCs w:val="24"/>
        </w:rPr>
      </w:pPr>
      <w:r w:rsidRPr="009755B1">
        <w:rPr>
          <w:rFonts w:asciiTheme="majorBidi" w:eastAsia="Times New Roman" w:hAnsiTheme="majorBidi" w:cstheme="majorBidi"/>
          <w:sz w:val="24"/>
          <w:szCs w:val="24"/>
        </w:rPr>
        <w:t>All Intervention performed in the current study were approved by the Ethics committee of Shiraz University of Medical Sciences (approv</w:t>
      </w:r>
      <w:r w:rsidR="003B134D" w:rsidRPr="009755B1">
        <w:rPr>
          <w:rFonts w:asciiTheme="majorBidi" w:eastAsia="Times New Roman" w:hAnsiTheme="majorBidi" w:cstheme="majorBidi"/>
          <w:sz w:val="24"/>
          <w:szCs w:val="24"/>
        </w:rPr>
        <w:t>ed</w:t>
      </w:r>
      <w:r w:rsidRPr="009755B1">
        <w:rPr>
          <w:rFonts w:asciiTheme="majorBidi" w:eastAsia="Times New Roman" w:hAnsiTheme="majorBidi" w:cstheme="majorBidi"/>
          <w:sz w:val="24"/>
          <w:szCs w:val="24"/>
        </w:rPr>
        <w:t xml:space="preserve"> number: </w:t>
      </w:r>
      <w:r w:rsidR="00465982" w:rsidRPr="009755B1">
        <w:rPr>
          <w:rFonts w:asciiTheme="majorBidi" w:eastAsia="Times New Roman" w:hAnsiTheme="majorBidi" w:cstheme="majorBidi"/>
          <w:sz w:val="24"/>
          <w:szCs w:val="24"/>
        </w:rPr>
        <w:t>IR.SUMS.NUMIMG.REC.1402.114</w:t>
      </w:r>
      <w:r w:rsidRPr="009755B1">
        <w:rPr>
          <w:rFonts w:asciiTheme="majorBidi" w:eastAsia="Times New Roman" w:hAnsiTheme="majorBidi" w:cstheme="majorBidi"/>
          <w:sz w:val="24"/>
          <w:szCs w:val="24"/>
        </w:rPr>
        <w:t xml:space="preserve">)".The study </w:t>
      </w:r>
      <w:r w:rsidR="003B134D" w:rsidRPr="009755B1">
        <w:rPr>
          <w:rFonts w:asciiTheme="majorBidi" w:eastAsia="Times New Roman" w:hAnsiTheme="majorBidi" w:cstheme="majorBidi"/>
          <w:sz w:val="24"/>
          <w:szCs w:val="24"/>
        </w:rPr>
        <w:t>was done</w:t>
      </w:r>
      <w:r w:rsidRPr="009755B1">
        <w:rPr>
          <w:rFonts w:asciiTheme="majorBidi" w:eastAsia="Times New Roman" w:hAnsiTheme="majorBidi" w:cstheme="majorBidi"/>
          <w:sz w:val="24"/>
          <w:szCs w:val="24"/>
        </w:rPr>
        <w:t xml:space="preserve"> carried out in accordance with the basic principles of the Helsinki Declaration (2013), Investigator comm</w:t>
      </w:r>
      <w:r w:rsidR="00FC2DA9" w:rsidRPr="009755B1">
        <w:rPr>
          <w:rFonts w:asciiTheme="majorBidi" w:eastAsia="Times New Roman" w:hAnsiTheme="majorBidi" w:cstheme="majorBidi"/>
          <w:sz w:val="24"/>
          <w:szCs w:val="24"/>
        </w:rPr>
        <w:t xml:space="preserve">itment </w:t>
      </w:r>
      <w:r w:rsidR="003B134D" w:rsidRPr="009755B1">
        <w:rPr>
          <w:rFonts w:asciiTheme="majorBidi" w:eastAsia="Times New Roman" w:hAnsiTheme="majorBidi" w:cstheme="majorBidi"/>
          <w:sz w:val="24"/>
          <w:szCs w:val="24"/>
        </w:rPr>
        <w:t>was</w:t>
      </w:r>
      <w:r w:rsidR="00FC2DA9" w:rsidRPr="009755B1">
        <w:rPr>
          <w:rFonts w:asciiTheme="majorBidi" w:eastAsia="Times New Roman" w:hAnsiTheme="majorBidi" w:cstheme="majorBidi"/>
          <w:sz w:val="24"/>
          <w:szCs w:val="24"/>
        </w:rPr>
        <w:t xml:space="preserve"> requested of all mothers</w:t>
      </w:r>
      <w:r w:rsidRPr="009755B1">
        <w:rPr>
          <w:rFonts w:asciiTheme="majorBidi" w:eastAsia="Times New Roman" w:hAnsiTheme="majorBidi" w:cstheme="majorBidi"/>
          <w:sz w:val="24"/>
          <w:szCs w:val="24"/>
        </w:rPr>
        <w:t xml:space="preserve">’ that participate in the study. The investigator </w:t>
      </w:r>
      <w:r w:rsidR="003B134D" w:rsidRPr="009755B1">
        <w:rPr>
          <w:rFonts w:asciiTheme="majorBidi" w:eastAsia="Times New Roman" w:hAnsiTheme="majorBidi" w:cstheme="majorBidi"/>
          <w:sz w:val="24"/>
          <w:szCs w:val="24"/>
        </w:rPr>
        <w:t>was</w:t>
      </w:r>
      <w:r w:rsidRPr="009755B1">
        <w:rPr>
          <w:rFonts w:asciiTheme="majorBidi" w:eastAsia="Times New Roman" w:hAnsiTheme="majorBidi" w:cstheme="majorBidi"/>
          <w:sz w:val="24"/>
          <w:szCs w:val="24"/>
        </w:rPr>
        <w:t xml:space="preserve"> duly inform the subjects </w:t>
      </w:r>
      <w:r w:rsidR="00100026" w:rsidRPr="009755B1">
        <w:rPr>
          <w:rFonts w:asciiTheme="majorBidi" w:eastAsia="Times New Roman" w:hAnsiTheme="majorBidi" w:cstheme="majorBidi"/>
          <w:sz w:val="24"/>
          <w:szCs w:val="24"/>
        </w:rPr>
        <w:t>that all</w:t>
      </w:r>
      <w:r w:rsidRPr="009755B1">
        <w:rPr>
          <w:rFonts w:asciiTheme="majorBidi" w:eastAsia="Times New Roman" w:hAnsiTheme="majorBidi" w:cstheme="majorBidi"/>
          <w:sz w:val="24"/>
          <w:szCs w:val="24"/>
        </w:rPr>
        <w:t xml:space="preserve"> participate in the study and </w:t>
      </w:r>
      <w:r w:rsidR="003B134D" w:rsidRPr="009755B1">
        <w:rPr>
          <w:rFonts w:asciiTheme="majorBidi" w:eastAsia="Times New Roman" w:hAnsiTheme="majorBidi" w:cstheme="majorBidi"/>
          <w:sz w:val="24"/>
          <w:szCs w:val="24"/>
        </w:rPr>
        <w:t>was</w:t>
      </w:r>
      <w:r w:rsidRPr="009755B1">
        <w:rPr>
          <w:rFonts w:asciiTheme="majorBidi" w:eastAsia="Times New Roman" w:hAnsiTheme="majorBidi" w:cstheme="majorBidi"/>
          <w:sz w:val="24"/>
          <w:szCs w:val="24"/>
        </w:rPr>
        <w:t xml:space="preserve"> request their informed consent, signed, and dated in writing. Informed consent to participate was obtained from all of the participants in the study. </w:t>
      </w:r>
      <w:r w:rsidR="00FC2DA9" w:rsidRPr="009755B1">
        <w:rPr>
          <w:rFonts w:asciiTheme="majorBidi" w:eastAsia="Times New Roman" w:hAnsiTheme="majorBidi" w:cstheme="majorBidi"/>
          <w:sz w:val="24"/>
          <w:szCs w:val="24"/>
        </w:rPr>
        <w:t>S</w:t>
      </w:r>
      <w:r w:rsidRPr="009755B1">
        <w:rPr>
          <w:rFonts w:asciiTheme="majorBidi" w:eastAsia="Times New Roman" w:hAnsiTheme="majorBidi" w:cstheme="majorBidi"/>
          <w:sz w:val="24"/>
          <w:szCs w:val="24"/>
        </w:rPr>
        <w:t xml:space="preserve">he </w:t>
      </w:r>
      <w:r w:rsidR="003B134D" w:rsidRPr="009755B1">
        <w:rPr>
          <w:rFonts w:asciiTheme="majorBidi" w:eastAsia="Times New Roman" w:hAnsiTheme="majorBidi" w:cstheme="majorBidi"/>
          <w:sz w:val="24"/>
          <w:szCs w:val="24"/>
        </w:rPr>
        <w:t>was</w:t>
      </w:r>
      <w:r w:rsidRPr="009755B1">
        <w:rPr>
          <w:rFonts w:asciiTheme="majorBidi" w:eastAsia="Times New Roman" w:hAnsiTheme="majorBidi" w:cstheme="majorBidi"/>
          <w:sz w:val="24"/>
          <w:szCs w:val="24"/>
        </w:rPr>
        <w:t xml:space="preserve"> provide complete and adequate verbal and written information about the nature, purpose and possible risks and benefits of the study. Any modifications to the protocol which may impact on the conduct of the study, potential benefit of the student’s or may affect safety, including changes of study objectives, study design, patient population, sample sizes, study procedures, or administrative aspects will require a formal amendment to the protocol. Such amendment </w:t>
      </w:r>
      <w:r w:rsidR="003B134D" w:rsidRPr="009755B1">
        <w:rPr>
          <w:rFonts w:asciiTheme="majorBidi" w:eastAsia="Times New Roman" w:hAnsiTheme="majorBidi" w:cstheme="majorBidi"/>
          <w:sz w:val="24"/>
          <w:szCs w:val="24"/>
        </w:rPr>
        <w:t>was</w:t>
      </w:r>
      <w:r w:rsidRPr="009755B1">
        <w:rPr>
          <w:rFonts w:asciiTheme="majorBidi" w:eastAsia="Times New Roman" w:hAnsiTheme="majorBidi" w:cstheme="majorBidi"/>
          <w:sz w:val="24"/>
          <w:szCs w:val="24"/>
        </w:rPr>
        <w:t xml:space="preserve"> be agreed upon by the vice chancellor of research and Ethics committee of Shiraz University of Medical Sciences</w:t>
      </w:r>
    </w:p>
    <w:p w14:paraId="179EC2DB" w14:textId="77777777" w:rsidR="00051E7C" w:rsidRPr="009755B1" w:rsidRDefault="00051E7C" w:rsidP="00465982">
      <w:pPr>
        <w:bidi w:val="0"/>
        <w:spacing w:after="0" w:line="360" w:lineRule="auto"/>
        <w:rPr>
          <w:rFonts w:asciiTheme="majorBidi" w:eastAsia="Times New Roman" w:hAnsiTheme="majorBidi" w:cstheme="majorBidi"/>
          <w:b/>
          <w:bCs/>
          <w:sz w:val="24"/>
          <w:szCs w:val="24"/>
        </w:rPr>
      </w:pPr>
      <w:r w:rsidRPr="009755B1">
        <w:rPr>
          <w:rFonts w:asciiTheme="majorBidi" w:eastAsia="Times New Roman" w:hAnsiTheme="majorBidi" w:cstheme="majorBidi"/>
          <w:b/>
          <w:bCs/>
          <w:sz w:val="24"/>
          <w:szCs w:val="24"/>
        </w:rPr>
        <w:t>Consent for publication</w:t>
      </w:r>
    </w:p>
    <w:p w14:paraId="40A5FD3D" w14:textId="77777777" w:rsidR="00051E7C" w:rsidRPr="009755B1" w:rsidRDefault="00051E7C" w:rsidP="00465982">
      <w:pPr>
        <w:bidi w:val="0"/>
        <w:spacing w:after="0" w:line="360" w:lineRule="auto"/>
        <w:rPr>
          <w:rFonts w:asciiTheme="majorBidi" w:eastAsia="Times New Roman" w:hAnsiTheme="majorBidi" w:cstheme="majorBidi"/>
          <w:sz w:val="24"/>
          <w:szCs w:val="24"/>
        </w:rPr>
      </w:pPr>
      <w:r w:rsidRPr="009755B1">
        <w:rPr>
          <w:rFonts w:asciiTheme="majorBidi" w:eastAsia="Times New Roman" w:hAnsiTheme="majorBidi" w:cstheme="majorBidi"/>
          <w:sz w:val="24"/>
          <w:szCs w:val="24"/>
        </w:rPr>
        <w:t>Not applicable</w:t>
      </w:r>
    </w:p>
    <w:p w14:paraId="3AF0D10C" w14:textId="77777777" w:rsidR="00051E7C" w:rsidRPr="009755B1" w:rsidRDefault="00051E7C" w:rsidP="00465982">
      <w:pPr>
        <w:bidi w:val="0"/>
        <w:spacing w:after="0" w:line="360" w:lineRule="auto"/>
        <w:rPr>
          <w:rFonts w:asciiTheme="majorBidi" w:eastAsia="Times New Roman" w:hAnsiTheme="majorBidi" w:cstheme="majorBidi"/>
          <w:b/>
          <w:bCs/>
          <w:sz w:val="24"/>
          <w:szCs w:val="24"/>
        </w:rPr>
      </w:pPr>
      <w:r w:rsidRPr="009755B1">
        <w:rPr>
          <w:rFonts w:asciiTheme="majorBidi" w:eastAsia="Times New Roman" w:hAnsiTheme="majorBidi" w:cstheme="majorBidi"/>
          <w:b/>
          <w:bCs/>
          <w:sz w:val="24"/>
          <w:szCs w:val="24"/>
        </w:rPr>
        <w:t>Availability of data and material</w:t>
      </w:r>
    </w:p>
    <w:p w14:paraId="43908290" w14:textId="135D43ED" w:rsidR="00051E7C" w:rsidRPr="009755B1" w:rsidRDefault="00051E7C" w:rsidP="00947AB7">
      <w:pPr>
        <w:bidi w:val="0"/>
        <w:spacing w:after="0" w:line="360" w:lineRule="auto"/>
        <w:rPr>
          <w:rFonts w:asciiTheme="majorBidi" w:eastAsia="Times New Roman" w:hAnsiTheme="majorBidi" w:cstheme="majorBidi"/>
          <w:sz w:val="24"/>
          <w:szCs w:val="24"/>
        </w:rPr>
      </w:pPr>
      <w:r w:rsidRPr="009755B1">
        <w:rPr>
          <w:rFonts w:asciiTheme="majorBidi" w:eastAsia="Times New Roman" w:hAnsiTheme="majorBidi" w:cstheme="majorBidi"/>
          <w:sz w:val="24"/>
          <w:szCs w:val="24"/>
        </w:rPr>
        <w:t xml:space="preserve">Upon request from the first </w:t>
      </w:r>
      <w:r w:rsidR="00D14ACD" w:rsidRPr="009755B1">
        <w:rPr>
          <w:rFonts w:asciiTheme="majorBidi" w:eastAsia="Times New Roman" w:hAnsiTheme="majorBidi" w:cstheme="majorBidi"/>
          <w:sz w:val="24"/>
          <w:szCs w:val="24"/>
        </w:rPr>
        <w:t>author,</w:t>
      </w:r>
      <w:r w:rsidRPr="009755B1">
        <w:rPr>
          <w:rFonts w:asciiTheme="majorBidi" w:eastAsia="Times New Roman" w:hAnsiTheme="majorBidi" w:cstheme="majorBidi"/>
          <w:sz w:val="24"/>
          <w:szCs w:val="24"/>
        </w:rPr>
        <w:t xml:space="preserve"> data is available</w:t>
      </w:r>
      <w:r w:rsidR="00947AB7" w:rsidRPr="009755B1">
        <w:rPr>
          <w:rFonts w:asciiTheme="majorBidi" w:eastAsia="Times New Roman" w:hAnsiTheme="majorBidi" w:cstheme="majorBidi"/>
          <w:sz w:val="24"/>
          <w:szCs w:val="24"/>
        </w:rPr>
        <w:t xml:space="preserve"> Bi Bi Leila Mosavi</w:t>
      </w:r>
      <w:r w:rsidRPr="009755B1">
        <w:rPr>
          <w:rFonts w:asciiTheme="majorBidi" w:eastAsia="Times New Roman" w:hAnsiTheme="majorBidi" w:cstheme="majorBidi"/>
          <w:sz w:val="24"/>
          <w:szCs w:val="24"/>
        </w:rPr>
        <w:t xml:space="preserve"> (</w:t>
      </w:r>
      <w:r w:rsidR="008005DE" w:rsidRPr="009755B1">
        <w:rPr>
          <w:rFonts w:asciiTheme="majorBidi" w:eastAsia="Times New Roman" w:hAnsiTheme="majorBidi" w:cstheme="majorBidi"/>
          <w:sz w:val="24"/>
          <w:szCs w:val="24"/>
        </w:rPr>
        <w:t>leilamosavi623@gmail.com</w:t>
      </w:r>
      <w:r w:rsidRPr="009755B1">
        <w:rPr>
          <w:rFonts w:asciiTheme="majorBidi" w:eastAsia="Times New Roman" w:hAnsiTheme="majorBidi" w:cstheme="majorBidi"/>
          <w:sz w:val="24"/>
          <w:szCs w:val="24"/>
        </w:rPr>
        <w:t>)</w:t>
      </w:r>
    </w:p>
    <w:p w14:paraId="19EDB9EA" w14:textId="77777777" w:rsidR="00051E7C" w:rsidRPr="009755B1" w:rsidRDefault="00051E7C" w:rsidP="00465982">
      <w:pPr>
        <w:bidi w:val="0"/>
        <w:spacing w:after="0" w:line="360" w:lineRule="auto"/>
        <w:rPr>
          <w:rFonts w:asciiTheme="majorBidi" w:eastAsia="Times New Roman" w:hAnsiTheme="majorBidi" w:cstheme="majorBidi"/>
          <w:b/>
          <w:bCs/>
          <w:sz w:val="24"/>
          <w:szCs w:val="24"/>
        </w:rPr>
      </w:pPr>
      <w:r w:rsidRPr="009755B1">
        <w:rPr>
          <w:rFonts w:asciiTheme="majorBidi" w:eastAsia="Times New Roman" w:hAnsiTheme="majorBidi" w:cstheme="majorBidi"/>
          <w:b/>
          <w:bCs/>
          <w:sz w:val="24"/>
          <w:szCs w:val="24"/>
        </w:rPr>
        <w:t>Competing interests</w:t>
      </w:r>
    </w:p>
    <w:p w14:paraId="5001F330" w14:textId="77777777" w:rsidR="00051E7C" w:rsidRPr="009755B1" w:rsidRDefault="00051E7C" w:rsidP="00465982">
      <w:pPr>
        <w:bidi w:val="0"/>
        <w:spacing w:after="0" w:line="360" w:lineRule="auto"/>
        <w:rPr>
          <w:rFonts w:asciiTheme="majorBidi" w:eastAsia="Times New Roman" w:hAnsiTheme="majorBidi" w:cstheme="majorBidi"/>
          <w:sz w:val="24"/>
          <w:szCs w:val="24"/>
        </w:rPr>
      </w:pPr>
      <w:r w:rsidRPr="009755B1">
        <w:rPr>
          <w:rFonts w:asciiTheme="majorBidi" w:eastAsia="Times New Roman" w:hAnsiTheme="majorBidi" w:cstheme="majorBidi"/>
          <w:sz w:val="24"/>
          <w:szCs w:val="24"/>
        </w:rPr>
        <w:t>The authors declare no potential conflict of interests with respect to the research, authorship, and/or publication of this article</w:t>
      </w:r>
    </w:p>
    <w:p w14:paraId="75DB6694" w14:textId="77777777" w:rsidR="00051E7C" w:rsidRPr="009755B1" w:rsidRDefault="00051E7C" w:rsidP="00465982">
      <w:pPr>
        <w:bidi w:val="0"/>
        <w:spacing w:after="0" w:line="360" w:lineRule="auto"/>
        <w:rPr>
          <w:rFonts w:asciiTheme="majorBidi" w:eastAsia="Times New Roman" w:hAnsiTheme="majorBidi" w:cstheme="majorBidi"/>
          <w:b/>
          <w:bCs/>
          <w:sz w:val="24"/>
          <w:szCs w:val="24"/>
        </w:rPr>
      </w:pPr>
      <w:r w:rsidRPr="009755B1">
        <w:rPr>
          <w:rFonts w:asciiTheme="majorBidi" w:eastAsia="Times New Roman" w:hAnsiTheme="majorBidi" w:cstheme="majorBidi"/>
          <w:b/>
          <w:bCs/>
          <w:sz w:val="24"/>
          <w:szCs w:val="24"/>
        </w:rPr>
        <w:t>Funding</w:t>
      </w:r>
    </w:p>
    <w:p w14:paraId="7CFB3C6A" w14:textId="1EDAA352" w:rsidR="00051E7C" w:rsidRPr="009755B1" w:rsidRDefault="00051E7C" w:rsidP="008005DE">
      <w:pPr>
        <w:bidi w:val="0"/>
        <w:spacing w:after="0" w:line="360" w:lineRule="auto"/>
        <w:rPr>
          <w:rFonts w:asciiTheme="majorBidi" w:eastAsia="Times New Roman" w:hAnsiTheme="majorBidi" w:cstheme="majorBidi"/>
          <w:sz w:val="24"/>
          <w:szCs w:val="24"/>
        </w:rPr>
      </w:pPr>
      <w:r w:rsidRPr="009755B1">
        <w:rPr>
          <w:rFonts w:asciiTheme="majorBidi" w:eastAsia="Times New Roman" w:hAnsiTheme="majorBidi" w:cstheme="majorBidi"/>
          <w:sz w:val="24"/>
          <w:szCs w:val="24"/>
        </w:rPr>
        <w:t>This study financially supported by the Vice-chancellor of research Shiraz University of Medical Sciences (Grant Number: 2</w:t>
      </w:r>
      <w:r w:rsidR="008005DE" w:rsidRPr="009755B1">
        <w:rPr>
          <w:rFonts w:asciiTheme="majorBidi" w:eastAsia="Times New Roman" w:hAnsiTheme="majorBidi" w:cstheme="majorBidi"/>
          <w:sz w:val="24"/>
          <w:szCs w:val="24"/>
        </w:rPr>
        <w:t>9235</w:t>
      </w:r>
      <w:r w:rsidRPr="009755B1">
        <w:rPr>
          <w:rFonts w:asciiTheme="majorBidi" w:eastAsia="Times New Roman" w:hAnsiTheme="majorBidi" w:cstheme="majorBidi"/>
          <w:sz w:val="24"/>
          <w:szCs w:val="24"/>
        </w:rPr>
        <w:t>). The funder had no role in the design of the study, nor in the collection, analysis, and interpretation of the data and in writing the manuscript</w:t>
      </w:r>
      <w:r w:rsidRPr="009755B1">
        <w:rPr>
          <w:rFonts w:asciiTheme="majorBidi" w:eastAsia="Times New Roman" w:hAnsiTheme="majorBidi" w:cs="Times New Roman"/>
          <w:sz w:val="24"/>
          <w:szCs w:val="24"/>
          <w:rtl/>
        </w:rPr>
        <w:t>.</w:t>
      </w:r>
    </w:p>
    <w:p w14:paraId="4D49AA10" w14:textId="77777777" w:rsidR="00051E7C" w:rsidRPr="009755B1" w:rsidRDefault="00051E7C" w:rsidP="00465982">
      <w:pPr>
        <w:bidi w:val="0"/>
        <w:spacing w:after="0" w:line="360" w:lineRule="auto"/>
        <w:rPr>
          <w:rFonts w:asciiTheme="majorBidi" w:eastAsia="Times New Roman" w:hAnsiTheme="majorBidi" w:cstheme="majorBidi"/>
          <w:b/>
          <w:bCs/>
          <w:sz w:val="24"/>
          <w:szCs w:val="24"/>
        </w:rPr>
      </w:pPr>
      <w:r w:rsidRPr="009755B1">
        <w:rPr>
          <w:rFonts w:asciiTheme="majorBidi" w:eastAsia="Times New Roman" w:hAnsiTheme="majorBidi" w:cstheme="majorBidi"/>
          <w:b/>
          <w:bCs/>
          <w:sz w:val="24"/>
          <w:szCs w:val="24"/>
        </w:rPr>
        <w:t>Authors' contributions</w:t>
      </w:r>
    </w:p>
    <w:p w14:paraId="1E0E15E2" w14:textId="6EB7EA86" w:rsidR="00051E7C" w:rsidRPr="009755B1" w:rsidRDefault="00051E7C" w:rsidP="008005DE">
      <w:pPr>
        <w:bidi w:val="0"/>
        <w:spacing w:after="0" w:line="360" w:lineRule="auto"/>
        <w:rPr>
          <w:rFonts w:asciiTheme="majorBidi" w:eastAsia="Times New Roman" w:hAnsiTheme="majorBidi" w:cstheme="majorBidi"/>
          <w:sz w:val="24"/>
          <w:szCs w:val="24"/>
        </w:rPr>
      </w:pPr>
      <w:r w:rsidRPr="009755B1">
        <w:rPr>
          <w:rFonts w:asciiTheme="majorBidi" w:eastAsia="Times New Roman" w:hAnsiTheme="majorBidi" w:cstheme="majorBidi"/>
          <w:sz w:val="24"/>
          <w:szCs w:val="24"/>
        </w:rPr>
        <w:t xml:space="preserve">F V, </w:t>
      </w:r>
      <w:r w:rsidR="008005DE" w:rsidRPr="009755B1">
        <w:rPr>
          <w:rFonts w:asciiTheme="majorBidi" w:eastAsia="Times New Roman" w:hAnsiTheme="majorBidi" w:cstheme="majorBidi"/>
          <w:sz w:val="24"/>
          <w:szCs w:val="24"/>
        </w:rPr>
        <w:t>L M</w:t>
      </w:r>
      <w:r w:rsidRPr="009755B1">
        <w:rPr>
          <w:rFonts w:asciiTheme="majorBidi" w:eastAsia="Times New Roman" w:hAnsiTheme="majorBidi" w:cstheme="majorBidi"/>
          <w:sz w:val="24"/>
          <w:szCs w:val="24"/>
        </w:rPr>
        <w:t xml:space="preserve">: Conceptualization, Methodology, Software , Data curation, Writing- Original draft preparation, Visualization, Investigation, Supervision, Validation, Writing- Reviewing and Editing. </w:t>
      </w:r>
      <w:r w:rsidR="008005DE" w:rsidRPr="009755B1">
        <w:rPr>
          <w:rFonts w:asciiTheme="majorBidi" w:eastAsia="Times New Roman" w:hAnsiTheme="majorBidi" w:cstheme="majorBidi"/>
          <w:sz w:val="24"/>
          <w:szCs w:val="24"/>
        </w:rPr>
        <w:t>S J</w:t>
      </w:r>
      <w:r w:rsidRPr="009755B1">
        <w:rPr>
          <w:rFonts w:asciiTheme="majorBidi" w:eastAsia="Times New Roman" w:hAnsiTheme="majorBidi" w:cstheme="majorBidi"/>
          <w:sz w:val="24"/>
          <w:szCs w:val="24"/>
        </w:rPr>
        <w:t xml:space="preserve"> : Conceptualization, Methodolo</w:t>
      </w:r>
      <w:r w:rsidR="008005DE" w:rsidRPr="009755B1">
        <w:rPr>
          <w:rFonts w:asciiTheme="majorBidi" w:eastAsia="Times New Roman" w:hAnsiTheme="majorBidi" w:cstheme="majorBidi"/>
          <w:sz w:val="24"/>
          <w:szCs w:val="24"/>
        </w:rPr>
        <w:t>gy, Investigation, Supervision.</w:t>
      </w:r>
    </w:p>
    <w:p w14:paraId="1D6A526D" w14:textId="77777777" w:rsidR="00051E7C" w:rsidRPr="009755B1" w:rsidRDefault="00051E7C" w:rsidP="00465982">
      <w:pPr>
        <w:bidi w:val="0"/>
        <w:spacing w:after="0" w:line="360" w:lineRule="auto"/>
        <w:rPr>
          <w:rFonts w:asciiTheme="majorBidi" w:eastAsia="Times New Roman" w:hAnsiTheme="majorBidi" w:cstheme="majorBidi"/>
          <w:sz w:val="24"/>
          <w:szCs w:val="24"/>
        </w:rPr>
      </w:pPr>
    </w:p>
    <w:p w14:paraId="12E8D27A" w14:textId="77777777" w:rsidR="00051E7C" w:rsidRPr="009755B1" w:rsidRDefault="00051E7C" w:rsidP="00465982">
      <w:pPr>
        <w:bidi w:val="0"/>
        <w:spacing w:after="0" w:line="360" w:lineRule="auto"/>
        <w:rPr>
          <w:rFonts w:asciiTheme="majorBidi" w:eastAsia="Times New Roman" w:hAnsiTheme="majorBidi" w:cstheme="majorBidi"/>
          <w:b/>
          <w:bCs/>
          <w:sz w:val="24"/>
          <w:szCs w:val="24"/>
        </w:rPr>
      </w:pPr>
      <w:r w:rsidRPr="009755B1">
        <w:rPr>
          <w:rFonts w:asciiTheme="majorBidi" w:eastAsia="Times New Roman" w:hAnsiTheme="majorBidi" w:cstheme="majorBidi"/>
          <w:b/>
          <w:bCs/>
          <w:sz w:val="24"/>
          <w:szCs w:val="24"/>
        </w:rPr>
        <w:t>Acknowledgements</w:t>
      </w:r>
    </w:p>
    <w:p w14:paraId="08DF529D" w14:textId="582F87D8" w:rsidR="00051E7C" w:rsidRPr="009755B1" w:rsidRDefault="00051E7C" w:rsidP="008005DE">
      <w:pPr>
        <w:bidi w:val="0"/>
        <w:spacing w:after="0" w:line="360" w:lineRule="auto"/>
        <w:rPr>
          <w:rFonts w:asciiTheme="majorBidi" w:eastAsia="Times New Roman" w:hAnsiTheme="majorBidi" w:cstheme="majorBidi"/>
          <w:sz w:val="24"/>
          <w:szCs w:val="24"/>
        </w:rPr>
      </w:pPr>
      <w:r w:rsidRPr="009755B1">
        <w:rPr>
          <w:rFonts w:asciiTheme="majorBidi" w:eastAsia="Times New Roman" w:hAnsiTheme="majorBidi" w:cstheme="majorBidi"/>
          <w:sz w:val="24"/>
          <w:szCs w:val="24"/>
        </w:rPr>
        <w:t>The authors would like to thank Vice-chancellor of Shiraz University of Medical Sciences (grant No: 2</w:t>
      </w:r>
      <w:r w:rsidR="008005DE" w:rsidRPr="009755B1">
        <w:rPr>
          <w:rFonts w:asciiTheme="majorBidi" w:eastAsia="Times New Roman" w:hAnsiTheme="majorBidi" w:cstheme="majorBidi"/>
          <w:sz w:val="24"/>
          <w:szCs w:val="24"/>
        </w:rPr>
        <w:t>9235</w:t>
      </w:r>
      <w:r w:rsidRPr="009755B1">
        <w:rPr>
          <w:rFonts w:asciiTheme="majorBidi" w:eastAsia="Times New Roman" w:hAnsiTheme="majorBidi" w:cstheme="majorBidi"/>
          <w:sz w:val="24"/>
          <w:szCs w:val="24"/>
        </w:rPr>
        <w:t xml:space="preserve"> ) for financial support. The authors thank all </w:t>
      </w:r>
      <w:r w:rsidR="008005DE" w:rsidRPr="009755B1">
        <w:rPr>
          <w:rFonts w:asciiTheme="majorBidi" w:eastAsia="Times New Roman" w:hAnsiTheme="majorBidi" w:cstheme="majorBidi"/>
          <w:sz w:val="24"/>
          <w:szCs w:val="24"/>
        </w:rPr>
        <w:t>mother</w:t>
      </w:r>
      <w:r w:rsidRPr="009755B1">
        <w:rPr>
          <w:rFonts w:asciiTheme="majorBidi" w:eastAsia="Times New Roman" w:hAnsiTheme="majorBidi" w:cstheme="majorBidi"/>
          <w:sz w:val="24"/>
          <w:szCs w:val="24"/>
        </w:rPr>
        <w:t>s who participated in the current study</w:t>
      </w:r>
      <w:r w:rsidRPr="009755B1">
        <w:rPr>
          <w:rFonts w:asciiTheme="majorBidi" w:eastAsia="Times New Roman" w:hAnsiTheme="majorBidi" w:cs="Times New Roman"/>
          <w:sz w:val="24"/>
          <w:szCs w:val="24"/>
          <w:rtl/>
        </w:rPr>
        <w:t>.</w:t>
      </w:r>
    </w:p>
    <w:p w14:paraId="7A70FEAA" w14:textId="77777777" w:rsidR="00051E7C" w:rsidRPr="009755B1" w:rsidRDefault="00051E7C" w:rsidP="00315F46">
      <w:pPr>
        <w:bidi w:val="0"/>
        <w:spacing w:after="0" w:line="360" w:lineRule="auto"/>
        <w:jc w:val="both"/>
        <w:rPr>
          <w:rFonts w:asciiTheme="majorBidi" w:eastAsia="Times New Roman" w:hAnsiTheme="majorBidi" w:cstheme="majorBidi"/>
          <w:b/>
          <w:bCs/>
          <w:sz w:val="24"/>
          <w:szCs w:val="24"/>
        </w:rPr>
      </w:pPr>
      <w:r w:rsidRPr="009755B1">
        <w:rPr>
          <w:rFonts w:asciiTheme="majorBidi" w:eastAsia="Times New Roman" w:hAnsiTheme="majorBidi" w:cstheme="majorBidi"/>
          <w:b/>
          <w:bCs/>
          <w:sz w:val="24"/>
          <w:szCs w:val="24"/>
        </w:rPr>
        <w:t>Authors' information</w:t>
      </w:r>
    </w:p>
    <w:p w14:paraId="1C17E245" w14:textId="35BA10F3" w:rsidR="00315F46" w:rsidRPr="009755B1" w:rsidRDefault="00315F46" w:rsidP="00315F46">
      <w:pPr>
        <w:bidi w:val="0"/>
        <w:spacing w:after="0" w:line="360" w:lineRule="auto"/>
        <w:jc w:val="both"/>
        <w:rPr>
          <w:rFonts w:asciiTheme="majorBidi" w:eastAsia="Times New Roman" w:hAnsiTheme="majorBidi" w:cstheme="majorBidi"/>
          <w:sz w:val="24"/>
          <w:szCs w:val="24"/>
        </w:rPr>
      </w:pPr>
      <w:r w:rsidRPr="009755B1">
        <w:rPr>
          <w:rFonts w:asciiTheme="majorBidi" w:eastAsia="Times New Roman" w:hAnsiTheme="majorBidi" w:cstheme="majorBidi"/>
          <w:sz w:val="24"/>
          <w:szCs w:val="24"/>
        </w:rPr>
        <w:t>1.</w:t>
      </w:r>
      <w:r w:rsidRPr="009755B1">
        <w:rPr>
          <w:rFonts w:asciiTheme="majorBidi" w:eastAsia="Times New Roman" w:hAnsiTheme="majorBidi" w:cs="Times New Roman"/>
          <w:sz w:val="24"/>
          <w:szCs w:val="24"/>
          <w:rtl/>
        </w:rPr>
        <w:t xml:space="preserve"> </w:t>
      </w:r>
      <w:r w:rsidR="0068447F" w:rsidRPr="009755B1">
        <w:rPr>
          <w:rFonts w:asciiTheme="majorBidi" w:eastAsia="Times New Roman" w:hAnsiTheme="majorBidi" w:cstheme="majorBidi"/>
          <w:sz w:val="24"/>
          <w:szCs w:val="24"/>
        </w:rPr>
        <w:t>Ms.</w:t>
      </w:r>
      <w:r w:rsidRPr="009755B1">
        <w:rPr>
          <w:rFonts w:asciiTheme="majorBidi" w:eastAsia="Times New Roman" w:hAnsiTheme="majorBidi" w:cstheme="majorBidi"/>
          <w:sz w:val="24"/>
          <w:szCs w:val="24"/>
        </w:rPr>
        <w:t xml:space="preserve"> in community health Nursing, Shiraz University of Medical Sciences, Shiraz, Iran</w:t>
      </w:r>
    </w:p>
    <w:p w14:paraId="5B504536" w14:textId="35878A2E" w:rsidR="00315F46" w:rsidRPr="009755B1" w:rsidRDefault="00315F46" w:rsidP="0068447F">
      <w:pPr>
        <w:bidi w:val="0"/>
        <w:spacing w:after="0" w:line="360" w:lineRule="auto"/>
        <w:jc w:val="both"/>
        <w:rPr>
          <w:rFonts w:asciiTheme="majorBidi" w:eastAsia="Times New Roman" w:hAnsiTheme="majorBidi" w:cstheme="majorBidi"/>
          <w:sz w:val="24"/>
          <w:szCs w:val="24"/>
        </w:rPr>
      </w:pPr>
      <w:r w:rsidRPr="009755B1">
        <w:rPr>
          <w:rFonts w:asciiTheme="majorBidi" w:eastAsia="Times New Roman" w:hAnsiTheme="majorBidi" w:cstheme="majorBidi"/>
          <w:sz w:val="24"/>
          <w:szCs w:val="24"/>
        </w:rPr>
        <w:t>2. Associate Professor</w:t>
      </w:r>
      <w:r w:rsidR="0068447F" w:rsidRPr="009755B1">
        <w:rPr>
          <w:rFonts w:asciiTheme="majorBidi" w:eastAsia="Times New Roman" w:hAnsiTheme="majorBidi" w:cstheme="majorBidi"/>
          <w:sz w:val="24"/>
          <w:szCs w:val="24"/>
        </w:rPr>
        <w:t>,</w:t>
      </w:r>
      <w:r w:rsidRPr="009755B1">
        <w:rPr>
          <w:rFonts w:asciiTheme="majorBidi" w:eastAsia="Times New Roman" w:hAnsiTheme="majorBidi" w:cstheme="majorBidi"/>
          <w:sz w:val="24"/>
          <w:szCs w:val="24"/>
        </w:rPr>
        <w:t xml:space="preserve"> Nursing Department, School of Nursing and Midwifery, Shiraz University of Medical Sciences, Shiraz, Iran, </w:t>
      </w:r>
    </w:p>
    <w:p w14:paraId="317C01C8" w14:textId="10B0C1FA" w:rsidR="00315F46" w:rsidRPr="009755B1" w:rsidRDefault="00315F46" w:rsidP="0068447F">
      <w:pPr>
        <w:bidi w:val="0"/>
        <w:spacing w:after="0" w:line="360" w:lineRule="auto"/>
        <w:jc w:val="both"/>
        <w:rPr>
          <w:rFonts w:asciiTheme="majorBidi" w:eastAsia="Times New Roman" w:hAnsiTheme="majorBidi" w:cstheme="majorBidi"/>
          <w:sz w:val="24"/>
          <w:szCs w:val="24"/>
        </w:rPr>
      </w:pPr>
      <w:r w:rsidRPr="009755B1">
        <w:rPr>
          <w:rFonts w:asciiTheme="majorBidi" w:eastAsia="Times New Roman" w:hAnsiTheme="majorBidi" w:cstheme="majorBidi"/>
          <w:sz w:val="24"/>
          <w:szCs w:val="24"/>
        </w:rPr>
        <w:t>3</w:t>
      </w:r>
      <w:r w:rsidRPr="009755B1">
        <w:rPr>
          <w:rFonts w:asciiTheme="majorBidi" w:eastAsia="Times New Roman" w:hAnsiTheme="majorBidi" w:cs="Times New Roman"/>
          <w:sz w:val="24"/>
          <w:szCs w:val="24"/>
          <w:rtl/>
        </w:rPr>
        <w:t xml:space="preserve">. </w:t>
      </w:r>
      <w:r w:rsidR="0068447F" w:rsidRPr="009755B1">
        <w:rPr>
          <w:rFonts w:asciiTheme="majorBidi" w:eastAsia="Times New Roman" w:hAnsiTheme="majorBidi" w:cstheme="majorBidi"/>
          <w:sz w:val="24"/>
          <w:szCs w:val="24"/>
        </w:rPr>
        <w:t>Assistant professor</w:t>
      </w:r>
      <w:r w:rsidRPr="009755B1">
        <w:rPr>
          <w:rFonts w:asciiTheme="majorBidi" w:eastAsia="Times New Roman" w:hAnsiTheme="majorBidi" w:cstheme="majorBidi"/>
          <w:sz w:val="24"/>
          <w:szCs w:val="24"/>
        </w:rPr>
        <w:t xml:space="preserve">, School of Nursing and Midwifery, Shiraz University of Medical Sciences, Shiraz, Iran </w:t>
      </w:r>
    </w:p>
    <w:p w14:paraId="32326A53" w14:textId="77777777" w:rsidR="00A95779" w:rsidRPr="009755B1" w:rsidRDefault="00A95779" w:rsidP="00A95779">
      <w:pPr>
        <w:bidi w:val="0"/>
        <w:spacing w:line="360" w:lineRule="auto"/>
        <w:ind w:left="720"/>
        <w:jc w:val="both"/>
        <w:rPr>
          <w:rFonts w:asciiTheme="majorBidi" w:eastAsia="Times New Roman" w:hAnsiTheme="majorBidi" w:cstheme="majorBidi"/>
          <w:sz w:val="24"/>
          <w:szCs w:val="24"/>
        </w:rPr>
      </w:pPr>
    </w:p>
    <w:p w14:paraId="3532EAF7" w14:textId="77777777" w:rsidR="00A652D0" w:rsidRPr="009755B1" w:rsidRDefault="00A652D0" w:rsidP="00A652D0">
      <w:pPr>
        <w:bidi w:val="0"/>
        <w:spacing w:line="360" w:lineRule="auto"/>
        <w:ind w:left="720"/>
        <w:jc w:val="both"/>
        <w:rPr>
          <w:rFonts w:asciiTheme="majorBidi" w:eastAsia="Times New Roman" w:hAnsiTheme="majorBidi" w:cstheme="majorBidi"/>
          <w:sz w:val="24"/>
          <w:szCs w:val="24"/>
        </w:rPr>
      </w:pPr>
    </w:p>
    <w:p w14:paraId="552389E8" w14:textId="5688A39C" w:rsidR="00142681" w:rsidRPr="009755B1" w:rsidRDefault="0068447F" w:rsidP="004A4775">
      <w:pPr>
        <w:bidi w:val="0"/>
        <w:spacing w:line="360" w:lineRule="auto"/>
        <w:jc w:val="both"/>
        <w:rPr>
          <w:rFonts w:asciiTheme="majorBidi" w:hAnsiTheme="majorBidi" w:cstheme="majorBidi"/>
        </w:rPr>
      </w:pPr>
      <w:r w:rsidRPr="009755B1">
        <w:rPr>
          <w:rFonts w:asciiTheme="majorBidi" w:hAnsiTheme="majorBidi" w:cstheme="majorBidi"/>
          <w:b/>
          <w:bCs/>
        </w:rPr>
        <w:t>References</w:t>
      </w:r>
      <w:r w:rsidR="00142681" w:rsidRPr="009755B1">
        <w:rPr>
          <w:rFonts w:asciiTheme="majorBidi" w:hAnsiTheme="majorBidi" w:cstheme="majorBidi"/>
        </w:rPr>
        <w:t>:</w:t>
      </w:r>
    </w:p>
    <w:p w14:paraId="4F6E794C" w14:textId="77777777" w:rsidR="00142681" w:rsidRPr="009755B1" w:rsidRDefault="00142681" w:rsidP="004A4775">
      <w:pPr>
        <w:bidi w:val="0"/>
        <w:spacing w:line="360" w:lineRule="auto"/>
        <w:jc w:val="both"/>
        <w:rPr>
          <w:rFonts w:asciiTheme="majorBidi" w:hAnsiTheme="majorBidi" w:cstheme="majorBidi"/>
          <w:color w:val="222222"/>
          <w:shd w:val="clear" w:color="auto" w:fill="FFFFFF"/>
        </w:rPr>
      </w:pPr>
      <w:r w:rsidRPr="009755B1">
        <w:rPr>
          <w:rFonts w:asciiTheme="majorBidi" w:hAnsiTheme="majorBidi" w:cstheme="majorBidi"/>
        </w:rPr>
        <w:t>1. Henderson D, Wayland S, White J. Is This Autism?: A Companion Guide for Diagnosing. Taylor &amp; Francis; 2023 Jul 25</w:t>
      </w:r>
      <w:r w:rsidRPr="009755B1">
        <w:rPr>
          <w:rFonts w:asciiTheme="majorBidi" w:hAnsiTheme="majorBidi" w:cstheme="majorBidi"/>
          <w:color w:val="000000"/>
          <w:shd w:val="clear" w:color="auto" w:fill="FFFFFF"/>
        </w:rPr>
        <w:t xml:space="preserve"> </w:t>
      </w:r>
      <w:hyperlink r:id="rId10" w:history="1">
        <w:r w:rsidRPr="009755B1">
          <w:rPr>
            <w:rStyle w:val="Hyperlink"/>
            <w:rFonts w:asciiTheme="majorBidi" w:hAnsiTheme="majorBidi" w:cstheme="majorBidi"/>
            <w:color w:val="00B0F0"/>
            <w:shd w:val="clear" w:color="auto" w:fill="FFFFFF"/>
          </w:rPr>
          <w:t>https://doi.org/10.4324/9781003403838</w:t>
        </w:r>
      </w:hyperlink>
    </w:p>
    <w:p w14:paraId="5C3047A7" w14:textId="77777777" w:rsidR="00142681" w:rsidRPr="009755B1" w:rsidRDefault="00142681" w:rsidP="004A4775">
      <w:pPr>
        <w:bidi w:val="0"/>
        <w:spacing w:line="360" w:lineRule="auto"/>
        <w:jc w:val="both"/>
        <w:rPr>
          <w:rFonts w:asciiTheme="majorBidi" w:hAnsiTheme="majorBidi" w:cstheme="majorBidi"/>
          <w:color w:val="00B0F0"/>
          <w:u w:val="single"/>
          <w:shd w:val="clear" w:color="auto" w:fill="FFFFFF"/>
        </w:rPr>
      </w:pPr>
      <w:r w:rsidRPr="009755B1">
        <w:rPr>
          <w:rFonts w:asciiTheme="majorBidi" w:hAnsiTheme="majorBidi" w:cstheme="majorBidi"/>
          <w:color w:val="222222"/>
          <w:shd w:val="clear" w:color="auto" w:fill="FFFFFF"/>
        </w:rPr>
        <w:t>2.</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 xml:space="preserve">Volgyesi-Molnar M, Gyori M, Eapen V, Borsos Z, Havasi A, Jakab Z, Janoch L, Nemeth V, Oszi T, Szekeres A, Stefanik K. Quality of Life in Hungarian Parents of Autistic Individuals. Journal of Autism and Developmental Disorders. 2024 Jan 27:1-6.. </w:t>
      </w:r>
      <w:r w:rsidRPr="009755B1">
        <w:rPr>
          <w:rFonts w:asciiTheme="majorBidi" w:hAnsiTheme="majorBidi" w:cstheme="majorBidi"/>
          <w:color w:val="00B0F0"/>
          <w:u w:val="single"/>
          <w:shd w:val="clear" w:color="auto" w:fill="FFFFFF"/>
        </w:rPr>
        <w:t>https://doi.org/10.1007/s10803-024-06243-3</w:t>
      </w:r>
    </w:p>
    <w:p w14:paraId="4339B2DA" w14:textId="77777777" w:rsidR="00142681" w:rsidRPr="009755B1" w:rsidRDefault="00142681" w:rsidP="004A4775">
      <w:pPr>
        <w:bidi w:val="0"/>
        <w:spacing w:line="360" w:lineRule="auto"/>
        <w:jc w:val="both"/>
        <w:rPr>
          <w:rFonts w:asciiTheme="majorBidi" w:hAnsiTheme="majorBidi" w:cstheme="majorBidi"/>
          <w:color w:val="00B0F0"/>
          <w:u w:val="single"/>
          <w:shd w:val="clear" w:color="auto" w:fill="FFFFFF"/>
        </w:rPr>
      </w:pPr>
      <w:r w:rsidRPr="009755B1">
        <w:rPr>
          <w:rFonts w:asciiTheme="majorBidi" w:hAnsiTheme="majorBidi" w:cstheme="majorBidi"/>
          <w:color w:val="222222"/>
          <w:shd w:val="clear" w:color="auto" w:fill="FFFFFF"/>
        </w:rPr>
        <w:t>3.</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Lee J, Barger B. Factors Predicting Poor Mental and Physical Health in Parents of Children with Autism Spectrum Disorder: Results from 2016 to 2019 National Survey of Children’s Health. Journal of Autism and Developmental Disorders. 2024 Mar;54(3):915-30..</w:t>
      </w:r>
      <w:r w:rsidRPr="009755B1">
        <w:rPr>
          <w:rFonts w:asciiTheme="majorBidi" w:hAnsiTheme="majorBidi" w:cstheme="majorBidi"/>
        </w:rPr>
        <w:t xml:space="preserve"> </w:t>
      </w:r>
      <w:hyperlink r:id="rId11" w:history="1">
        <w:r w:rsidRPr="009755B1">
          <w:rPr>
            <w:rStyle w:val="Hyperlink"/>
            <w:rFonts w:asciiTheme="majorBidi" w:hAnsiTheme="majorBidi" w:cstheme="majorBidi"/>
            <w:color w:val="00B0F0"/>
            <w:shd w:val="clear" w:color="auto" w:fill="FFFFFF"/>
          </w:rPr>
          <w:t>https://doi.org/10.1007/s10803-022-05870-y</w:t>
        </w:r>
      </w:hyperlink>
    </w:p>
    <w:p w14:paraId="178F1F3A" w14:textId="77777777" w:rsidR="00142681" w:rsidRPr="009755B1" w:rsidRDefault="00142681" w:rsidP="004A4775">
      <w:pPr>
        <w:bidi w:val="0"/>
        <w:spacing w:line="360" w:lineRule="auto"/>
        <w:jc w:val="both"/>
        <w:rPr>
          <w:rFonts w:asciiTheme="majorBidi" w:hAnsiTheme="majorBidi" w:cstheme="majorBidi"/>
          <w:color w:val="00B0F0"/>
          <w:u w:val="single"/>
          <w:shd w:val="clear" w:color="auto" w:fill="FFFFFF"/>
        </w:rPr>
      </w:pPr>
      <w:r w:rsidRPr="009755B1">
        <w:rPr>
          <w:rFonts w:asciiTheme="majorBidi" w:hAnsiTheme="majorBidi" w:cstheme="majorBidi"/>
          <w:color w:val="222222"/>
          <w:shd w:val="clear" w:color="auto" w:fill="FFFFFF"/>
        </w:rPr>
        <w:t>4. Kishimoto T, Liu S, Zhang L, Li S. How do autistic severity and family functioning influence parental stress in caregivers of children with autism spectrum disorder in China? The important role of parental self-efficacy. Frontiers in Psychology. 2023 May 25;14:956637.</w:t>
      </w:r>
      <w:r w:rsidRPr="009755B1">
        <w:rPr>
          <w:rFonts w:asciiTheme="majorBidi" w:hAnsiTheme="majorBidi" w:cstheme="majorBidi"/>
          <w:color w:val="00B0F0"/>
          <w:u w:val="single"/>
          <w:shd w:val="clear" w:color="auto" w:fill="FFFFFF"/>
        </w:rPr>
        <w:t>https://doi.org/10.3389/fpsyg.2023.956637</w:t>
      </w:r>
    </w:p>
    <w:p w14:paraId="68ADB93A" w14:textId="77777777" w:rsidR="00142681" w:rsidRPr="009755B1" w:rsidRDefault="00142681" w:rsidP="004A4775">
      <w:pPr>
        <w:bidi w:val="0"/>
        <w:spacing w:line="360" w:lineRule="auto"/>
        <w:jc w:val="both"/>
        <w:rPr>
          <w:rFonts w:asciiTheme="majorBidi" w:hAnsiTheme="majorBidi" w:cstheme="majorBidi"/>
          <w:color w:val="00B0F0"/>
          <w:u w:val="single"/>
          <w:shd w:val="clear" w:color="auto" w:fill="FFFFFF"/>
        </w:rPr>
      </w:pPr>
      <w:r w:rsidRPr="009755B1">
        <w:rPr>
          <w:rFonts w:asciiTheme="majorBidi" w:hAnsiTheme="majorBidi" w:cstheme="majorBidi"/>
          <w:color w:val="222222"/>
          <w:shd w:val="clear" w:color="auto" w:fill="FFFFFF"/>
        </w:rPr>
        <w:t>5. Pohl AL, Crockford SK, Blakemore M, Allison C, Baron-Cohen S. A comparative study of autistic and non-autistic women’s experience of motherhood. Molecular autism. 2020 Dec;11:1-2.</w:t>
      </w:r>
      <w:r w:rsidRPr="009755B1">
        <w:rPr>
          <w:rFonts w:asciiTheme="majorBidi" w:hAnsiTheme="majorBidi" w:cstheme="majorBidi"/>
          <w:color w:val="00B0F0"/>
          <w:u w:val="single"/>
          <w:shd w:val="clear" w:color="auto" w:fill="FFFFFF"/>
        </w:rPr>
        <w:t>https://doi.org/10.1186/s13229-019-0304-2</w:t>
      </w:r>
    </w:p>
    <w:p w14:paraId="6BA7D902" w14:textId="77777777" w:rsidR="00142681" w:rsidRPr="009755B1" w:rsidRDefault="00142681" w:rsidP="004A4775">
      <w:pPr>
        <w:bidi w:val="0"/>
        <w:spacing w:line="360" w:lineRule="auto"/>
        <w:jc w:val="both"/>
        <w:rPr>
          <w:rFonts w:asciiTheme="majorBidi" w:hAnsiTheme="majorBidi" w:cstheme="majorBidi"/>
          <w:color w:val="00B0F0"/>
          <w:u w:val="single"/>
          <w:shd w:val="clear" w:color="auto" w:fill="FFFFFF"/>
        </w:rPr>
      </w:pPr>
      <w:r w:rsidRPr="009755B1">
        <w:rPr>
          <w:rFonts w:asciiTheme="majorBidi" w:hAnsiTheme="majorBidi" w:cstheme="majorBidi"/>
          <w:color w:val="222222"/>
          <w:shd w:val="clear" w:color="auto" w:fill="FFFFFF"/>
        </w:rPr>
        <w:t>6.</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Marbaniang MA, Saha A. Exploring Coping Strategies of Mothers Navigating Stress in Raising Children with Autism: A Review. Journal of Psychosocial Rehabilitation and Mental Health. 2024 Jul 26:1-5.</w:t>
      </w:r>
      <w:r w:rsidRPr="009755B1">
        <w:rPr>
          <w:rFonts w:asciiTheme="majorBidi" w:hAnsiTheme="majorBidi" w:cstheme="majorBidi"/>
        </w:rPr>
        <w:t xml:space="preserve"> </w:t>
      </w:r>
      <w:r w:rsidRPr="009755B1">
        <w:rPr>
          <w:rFonts w:asciiTheme="majorBidi" w:hAnsiTheme="majorBidi" w:cstheme="majorBidi"/>
          <w:color w:val="00B0F0"/>
          <w:u w:val="single"/>
          <w:shd w:val="clear" w:color="auto" w:fill="FFFFFF"/>
        </w:rPr>
        <w:t>https://doi.org/10.1007/s40737-024-00423-1</w:t>
      </w:r>
    </w:p>
    <w:p w14:paraId="213D13FF" w14:textId="77777777" w:rsidR="00142681" w:rsidRPr="009755B1" w:rsidRDefault="00142681" w:rsidP="004A4775">
      <w:pPr>
        <w:bidi w:val="0"/>
        <w:spacing w:line="360" w:lineRule="auto"/>
        <w:jc w:val="both"/>
        <w:rPr>
          <w:rFonts w:asciiTheme="majorBidi" w:hAnsiTheme="majorBidi" w:cstheme="majorBidi"/>
          <w:color w:val="222222"/>
          <w:shd w:val="clear" w:color="auto" w:fill="FFFFFF"/>
          <w:rtl/>
        </w:rPr>
      </w:pPr>
      <w:r w:rsidRPr="009755B1">
        <w:rPr>
          <w:rFonts w:asciiTheme="majorBidi" w:hAnsiTheme="majorBidi" w:cstheme="majorBidi"/>
          <w:color w:val="222222"/>
          <w:shd w:val="clear" w:color="auto" w:fill="FFFFFF"/>
        </w:rPr>
        <w:t>7.</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Lam KK, Chan CN, Wong LH, He Y, Lin X, Chi P. A qualitative investigation on the resilience of parents of children with autism spectrum disorder in Macau. Research in Autism Spectrum Disorders. 2024 May 1;113:102357.</w:t>
      </w:r>
      <w:r w:rsidRPr="009755B1">
        <w:rPr>
          <w:rFonts w:asciiTheme="majorBidi" w:hAnsiTheme="majorBidi" w:cstheme="majorBidi"/>
          <w:color w:val="00B0F0"/>
          <w:u w:val="single"/>
          <w:shd w:val="clear" w:color="auto" w:fill="FFFFFF"/>
        </w:rPr>
        <w:t>.</w:t>
      </w:r>
      <w:r w:rsidRPr="009755B1">
        <w:rPr>
          <w:rFonts w:asciiTheme="majorBidi" w:hAnsiTheme="majorBidi" w:cstheme="majorBidi"/>
          <w:color w:val="00B0F0"/>
          <w:u w:val="single"/>
        </w:rPr>
        <w:t xml:space="preserve"> </w:t>
      </w:r>
      <w:r w:rsidRPr="009755B1">
        <w:rPr>
          <w:rFonts w:asciiTheme="majorBidi" w:hAnsiTheme="majorBidi" w:cstheme="majorBidi"/>
          <w:color w:val="00B0F0"/>
          <w:u w:val="single"/>
          <w:shd w:val="clear" w:color="auto" w:fill="FFFFFF"/>
        </w:rPr>
        <w:t>https://doi.org/10.1016/j.rasd.2024.102357</w:t>
      </w:r>
    </w:p>
    <w:p w14:paraId="3F34D143" w14:textId="77777777" w:rsidR="00142681" w:rsidRPr="009755B1" w:rsidRDefault="00142681" w:rsidP="004A4775">
      <w:pPr>
        <w:bidi w:val="0"/>
        <w:spacing w:line="360" w:lineRule="auto"/>
        <w:jc w:val="both"/>
        <w:rPr>
          <w:rFonts w:asciiTheme="majorBidi" w:hAnsiTheme="majorBidi" w:cstheme="majorBidi"/>
          <w:color w:val="00B0F0"/>
          <w:shd w:val="clear" w:color="auto" w:fill="FFFFFF"/>
        </w:rPr>
      </w:pPr>
      <w:r w:rsidRPr="009755B1">
        <w:rPr>
          <w:rFonts w:asciiTheme="majorBidi" w:hAnsiTheme="majorBidi" w:cstheme="majorBidi"/>
          <w:color w:val="222222"/>
          <w:shd w:val="clear" w:color="auto" w:fill="FFFFFF"/>
        </w:rPr>
        <w:t xml:space="preserve">8. Ip, </w:t>
      </w:r>
      <w:bookmarkStart w:id="7" w:name="_Hlk239075789"/>
      <w:r w:rsidRPr="009755B1">
        <w:rPr>
          <w:rFonts w:asciiTheme="majorBidi" w:hAnsiTheme="majorBidi" w:cstheme="majorBidi"/>
          <w:color w:val="222222"/>
          <w:shd w:val="clear" w:color="auto" w:fill="FFFFFF"/>
        </w:rPr>
        <w:t>Ip BY</w:t>
      </w:r>
      <w:bookmarkEnd w:id="7"/>
      <w:r w:rsidRPr="009755B1">
        <w:rPr>
          <w:rFonts w:asciiTheme="majorBidi" w:hAnsiTheme="majorBidi" w:cstheme="majorBidi"/>
          <w:color w:val="222222"/>
          <w:shd w:val="clear" w:color="auto" w:fill="FFFFFF"/>
        </w:rPr>
        <w:t>, Lee SL, Li SX. Telehealth-delivered parent-based sleep-focused intervention for insomnia in preschool children with autism spectrum disorder: A randomized controlled study. Autism. 2024 May 9:13623613241246502.</w:t>
      </w:r>
      <w:hyperlink r:id="rId12" w:history="1">
        <w:r w:rsidRPr="009755B1">
          <w:rPr>
            <w:rStyle w:val="Hyperlink"/>
            <w:rFonts w:asciiTheme="majorBidi" w:hAnsiTheme="majorBidi" w:cstheme="majorBidi"/>
            <w:color w:val="00B0F0"/>
            <w:shd w:val="clear" w:color="auto" w:fill="FFFFFF"/>
          </w:rPr>
          <w:t>https://doi.org/10.1177/13623613241246502</w:t>
        </w:r>
      </w:hyperlink>
    </w:p>
    <w:p w14:paraId="684CD6F2" w14:textId="77777777" w:rsidR="00142681" w:rsidRPr="009755B1" w:rsidRDefault="00142681" w:rsidP="004A4775">
      <w:pPr>
        <w:bidi w:val="0"/>
        <w:spacing w:line="360" w:lineRule="auto"/>
        <w:jc w:val="both"/>
        <w:rPr>
          <w:rFonts w:asciiTheme="majorBidi" w:hAnsiTheme="majorBidi" w:cstheme="majorBidi"/>
          <w:color w:val="00B0F0"/>
          <w:shd w:val="clear" w:color="auto" w:fill="FFFFFF"/>
        </w:rPr>
      </w:pPr>
      <w:r w:rsidRPr="009755B1">
        <w:rPr>
          <w:rFonts w:asciiTheme="majorBidi" w:hAnsiTheme="majorBidi" w:cstheme="majorBidi"/>
          <w:color w:val="222222"/>
          <w:shd w:val="clear" w:color="auto" w:fill="FFFFFF"/>
        </w:rPr>
        <w:t>9.</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Guller B, Yaylaci F. Eating and sleep problems, related factors, and effects on the mental health of the parents in children with autism spectrum disorder. International Journal of Developmental Disabilities. 2024 May 3;70(3):406-15.</w:t>
      </w:r>
      <w:r w:rsidRPr="009755B1">
        <w:rPr>
          <w:rFonts w:asciiTheme="majorBidi" w:hAnsiTheme="majorBidi" w:cstheme="majorBidi"/>
          <w:color w:val="00B0F0"/>
          <w:shd w:val="clear" w:color="auto" w:fill="FFFFFF"/>
        </w:rPr>
        <w:t xml:space="preserve">. </w:t>
      </w:r>
      <w:hyperlink r:id="rId13" w:history="1">
        <w:r w:rsidRPr="009755B1">
          <w:rPr>
            <w:rStyle w:val="Hyperlink"/>
            <w:rFonts w:asciiTheme="majorBidi" w:hAnsiTheme="majorBidi" w:cstheme="majorBidi"/>
            <w:color w:val="00B0F0"/>
            <w:shd w:val="clear" w:color="auto" w:fill="FFFFFF"/>
          </w:rPr>
          <w:t>https://doi.org/10.1080/20473869.2022.2095689</w:t>
        </w:r>
      </w:hyperlink>
    </w:p>
    <w:p w14:paraId="66DEF96C" w14:textId="77777777" w:rsidR="00142681" w:rsidRPr="009755B1" w:rsidRDefault="00142681" w:rsidP="004A4775">
      <w:pPr>
        <w:bidi w:val="0"/>
        <w:spacing w:line="360" w:lineRule="auto"/>
        <w:jc w:val="both"/>
        <w:rPr>
          <w:rFonts w:asciiTheme="majorBidi" w:hAnsiTheme="majorBidi" w:cstheme="majorBidi"/>
          <w:color w:val="222222"/>
          <w:shd w:val="clear" w:color="auto" w:fill="FFFFFF"/>
        </w:rPr>
      </w:pPr>
      <w:r w:rsidRPr="009755B1">
        <w:rPr>
          <w:rFonts w:asciiTheme="majorBidi" w:hAnsiTheme="majorBidi" w:cstheme="majorBidi"/>
          <w:color w:val="222222"/>
          <w:shd w:val="clear" w:color="auto" w:fill="FFFFFF"/>
        </w:rPr>
        <w:t>10. Karna B, Sankari A, Tatikonda G. (2023). Sleep Disorder. [Updated 2023 Jan 26]. In: StatPearls [Internet]. Treasure Island (FL): StatPearls Publishing; 2023 Jan-. Available from: https:// www.ncbi.nlm.nih.gov/books/NBK560720/</w:t>
      </w:r>
    </w:p>
    <w:p w14:paraId="13139993" w14:textId="77777777" w:rsidR="00142681" w:rsidRPr="009755B1" w:rsidRDefault="00142681" w:rsidP="004A4775">
      <w:pPr>
        <w:bidi w:val="0"/>
        <w:spacing w:line="360" w:lineRule="auto"/>
        <w:jc w:val="both"/>
        <w:rPr>
          <w:rFonts w:asciiTheme="majorBidi" w:hAnsiTheme="majorBidi" w:cstheme="majorBidi"/>
          <w:color w:val="222222"/>
          <w:shd w:val="clear" w:color="auto" w:fill="FFFFFF"/>
        </w:rPr>
      </w:pPr>
      <w:r w:rsidRPr="009755B1">
        <w:rPr>
          <w:rFonts w:asciiTheme="majorBidi" w:hAnsiTheme="majorBidi" w:cstheme="majorBidi"/>
          <w:color w:val="222222"/>
          <w:shd w:val="clear" w:color="auto" w:fill="FFFFFF"/>
        </w:rPr>
        <w:t>11. San, L.; Arranz, B. The night and day challenge of sleep disorders and insomnia: A narrative review. Actas Esp. Psiquiatr. 2024, 52, 46–56.</w:t>
      </w:r>
    </w:p>
    <w:p w14:paraId="71F7611C" w14:textId="77777777" w:rsidR="00142681" w:rsidRPr="009755B1" w:rsidRDefault="00142681" w:rsidP="004A4775">
      <w:pPr>
        <w:bidi w:val="0"/>
        <w:spacing w:line="360" w:lineRule="auto"/>
        <w:jc w:val="both"/>
        <w:rPr>
          <w:rFonts w:asciiTheme="majorBidi" w:hAnsiTheme="majorBidi" w:cstheme="majorBidi"/>
          <w:color w:val="222222"/>
          <w:shd w:val="clear" w:color="auto" w:fill="FFFFFF"/>
        </w:rPr>
      </w:pPr>
      <w:r w:rsidRPr="009755B1">
        <w:rPr>
          <w:rFonts w:asciiTheme="majorBidi" w:hAnsiTheme="majorBidi" w:cstheme="majorBidi"/>
          <w:color w:val="222222"/>
          <w:shd w:val="clear" w:color="auto" w:fill="FFFFFF"/>
        </w:rPr>
        <w:t>12. Sartorius N. The meanings of health and its promotion. Croatian medical journal. 2006 Aug;47(4):662.</w:t>
      </w:r>
    </w:p>
    <w:p w14:paraId="3A555EAA" w14:textId="77777777" w:rsidR="00142681" w:rsidRPr="009755B1" w:rsidRDefault="00142681" w:rsidP="004A4775">
      <w:pPr>
        <w:bidi w:val="0"/>
        <w:spacing w:line="360" w:lineRule="auto"/>
        <w:jc w:val="both"/>
        <w:rPr>
          <w:rFonts w:asciiTheme="majorBidi" w:hAnsiTheme="majorBidi" w:cstheme="majorBidi"/>
          <w:color w:val="00B0F0"/>
          <w:u w:val="single"/>
          <w:shd w:val="clear" w:color="auto" w:fill="FFFFFF"/>
        </w:rPr>
      </w:pPr>
      <w:r w:rsidRPr="009755B1">
        <w:rPr>
          <w:rFonts w:asciiTheme="majorBidi" w:hAnsiTheme="majorBidi" w:cstheme="majorBidi"/>
          <w:color w:val="222222"/>
          <w:shd w:val="clear" w:color="auto" w:fill="FFFFFF"/>
        </w:rPr>
        <w:t>13. Davy, G., Barbaro, J., Unwin, K., Clark, M., Jellett, R., Date, P., ... &amp; Dissanayake, C. (2024). Leisure, community, workforce participation and quality of life in primary and secondary caregivers of autistic children. </w:t>
      </w:r>
      <w:r w:rsidRPr="009755B1">
        <w:rPr>
          <w:rFonts w:asciiTheme="majorBidi" w:hAnsiTheme="majorBidi" w:cstheme="majorBidi"/>
          <w:i/>
          <w:iCs/>
          <w:color w:val="222222"/>
          <w:shd w:val="clear" w:color="auto" w:fill="FFFFFF"/>
        </w:rPr>
        <w:t>Autism Research</w:t>
      </w:r>
      <w:r w:rsidRPr="009755B1">
        <w:rPr>
          <w:rFonts w:asciiTheme="majorBidi" w:hAnsiTheme="majorBidi" w:cstheme="majorBidi"/>
          <w:color w:val="222222"/>
          <w:shd w:val="clear" w:color="auto" w:fill="FFFFFF"/>
        </w:rPr>
        <w:t>, </w:t>
      </w:r>
      <w:r w:rsidRPr="009755B1">
        <w:rPr>
          <w:rFonts w:asciiTheme="majorBidi" w:hAnsiTheme="majorBidi" w:cstheme="majorBidi"/>
          <w:i/>
          <w:iCs/>
          <w:color w:val="222222"/>
          <w:shd w:val="clear" w:color="auto" w:fill="FFFFFF"/>
        </w:rPr>
        <w:t>17</w:t>
      </w:r>
      <w:r w:rsidRPr="009755B1">
        <w:rPr>
          <w:rFonts w:asciiTheme="majorBidi" w:hAnsiTheme="majorBidi" w:cstheme="majorBidi"/>
          <w:color w:val="222222"/>
          <w:shd w:val="clear" w:color="auto" w:fill="FFFFFF"/>
        </w:rPr>
        <w:t xml:space="preserve">(4), 799-811. </w:t>
      </w:r>
      <w:r w:rsidRPr="009755B1">
        <w:rPr>
          <w:rFonts w:asciiTheme="majorBidi" w:hAnsiTheme="majorBidi" w:cstheme="majorBidi"/>
          <w:color w:val="00B0F0"/>
          <w:u w:val="single"/>
          <w:shd w:val="clear" w:color="auto" w:fill="FFFFFF"/>
        </w:rPr>
        <w:t>https://doi.org/10.1002/aur.3113</w:t>
      </w:r>
    </w:p>
    <w:p w14:paraId="781D8462" w14:textId="77777777" w:rsidR="00142681" w:rsidRPr="009755B1" w:rsidRDefault="00142681" w:rsidP="004A4775">
      <w:pPr>
        <w:bidi w:val="0"/>
        <w:spacing w:line="360" w:lineRule="auto"/>
        <w:jc w:val="both"/>
        <w:rPr>
          <w:rFonts w:asciiTheme="majorBidi" w:hAnsiTheme="majorBidi" w:cstheme="majorBidi"/>
          <w:color w:val="00B0F0"/>
          <w:u w:val="single"/>
          <w:shd w:val="clear" w:color="auto" w:fill="FFFFFF"/>
        </w:rPr>
      </w:pPr>
      <w:r w:rsidRPr="009755B1">
        <w:rPr>
          <w:rFonts w:asciiTheme="majorBidi" w:hAnsiTheme="majorBidi" w:cstheme="majorBidi"/>
          <w:color w:val="222222"/>
          <w:shd w:val="clear" w:color="auto" w:fill="FFFFFF"/>
        </w:rPr>
        <w:t>14.</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 xml:space="preserve">Herrman H, Stewart DE, Diaz-Granados N, Berger EL, Jackson B, Yuen T. What is resilience?. The Canadian Journal of Psychiatry. 2011 May;56(5):258-65. </w:t>
      </w:r>
      <w:r w:rsidRPr="009755B1">
        <w:rPr>
          <w:rFonts w:asciiTheme="majorBidi" w:hAnsiTheme="majorBidi" w:cstheme="majorBidi"/>
          <w:color w:val="00B0F0"/>
          <w:u w:val="single"/>
          <w:shd w:val="clear" w:color="auto" w:fill="FFFFFF"/>
        </w:rPr>
        <w:t>https://doi.org/10.1177/070674371105600504</w:t>
      </w:r>
    </w:p>
    <w:p w14:paraId="1F6CA1A2" w14:textId="77777777" w:rsidR="00142681" w:rsidRPr="009755B1" w:rsidRDefault="00142681" w:rsidP="004A4775">
      <w:pPr>
        <w:bidi w:val="0"/>
        <w:spacing w:line="360" w:lineRule="auto"/>
        <w:jc w:val="both"/>
        <w:rPr>
          <w:rFonts w:asciiTheme="majorBidi" w:hAnsiTheme="majorBidi" w:cstheme="majorBidi"/>
          <w:color w:val="00B0F0"/>
          <w:u w:val="single"/>
          <w:shd w:val="clear" w:color="auto" w:fill="FFFFFF"/>
        </w:rPr>
      </w:pPr>
      <w:r w:rsidRPr="009755B1">
        <w:rPr>
          <w:rFonts w:asciiTheme="majorBidi" w:hAnsiTheme="majorBidi" w:cstheme="majorBidi"/>
          <w:color w:val="222222"/>
          <w:shd w:val="clear" w:color="auto" w:fill="FFFFFF"/>
        </w:rPr>
        <w:t>15.</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Güçlü O, Hürmeydan CE. Being the Mother of a Special Child: Resilience and Marital Adjustment in Mothers of Children with Autism Spectrum Disorder. Psychiatry and Clinical Psychopharmacology. 2024 Mar;34(1):64.</w:t>
      </w:r>
      <w:r w:rsidRPr="009755B1">
        <w:rPr>
          <w:rFonts w:asciiTheme="majorBidi" w:hAnsiTheme="majorBidi" w:cstheme="majorBidi"/>
          <w:color w:val="212121"/>
          <w:shd w:val="clear" w:color="auto" w:fill="FFFFFF"/>
        </w:rPr>
        <w:t xml:space="preserve"> </w:t>
      </w:r>
      <w:r w:rsidRPr="009755B1">
        <w:rPr>
          <w:rFonts w:asciiTheme="majorBidi" w:hAnsiTheme="majorBidi" w:cstheme="majorBidi"/>
          <w:color w:val="00B0F0"/>
          <w:u w:val="single"/>
          <w:shd w:val="clear" w:color="auto" w:fill="FFFFFF"/>
        </w:rPr>
        <w:t>doi: </w:t>
      </w:r>
      <w:hyperlink r:id="rId14" w:tgtFrame="_blank" w:history="1">
        <w:r w:rsidRPr="009755B1">
          <w:rPr>
            <w:rStyle w:val="Hyperlink"/>
            <w:rFonts w:asciiTheme="majorBidi" w:hAnsiTheme="majorBidi" w:cstheme="majorBidi"/>
            <w:color w:val="00B0F0"/>
            <w:shd w:val="clear" w:color="auto" w:fill="FFFFFF"/>
          </w:rPr>
          <w:t>10.5152/pcp.2023.22592</w:t>
        </w:r>
      </w:hyperlink>
    </w:p>
    <w:p w14:paraId="25818B69" w14:textId="77777777" w:rsidR="00142681" w:rsidRPr="009755B1" w:rsidRDefault="00142681" w:rsidP="004A4775">
      <w:pPr>
        <w:bidi w:val="0"/>
        <w:spacing w:line="360" w:lineRule="auto"/>
        <w:jc w:val="both"/>
        <w:rPr>
          <w:rFonts w:asciiTheme="majorBidi" w:hAnsiTheme="majorBidi" w:cstheme="majorBidi"/>
          <w:rtl/>
        </w:rPr>
      </w:pPr>
      <w:r w:rsidRPr="009755B1">
        <w:rPr>
          <w:rFonts w:asciiTheme="majorBidi" w:hAnsiTheme="majorBidi" w:cstheme="majorBidi"/>
          <w:color w:val="222222"/>
          <w:shd w:val="clear" w:color="auto" w:fill="FFFFFF"/>
        </w:rPr>
        <w:t>16.</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Catalyst NE. What is telehealth?.</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Care Delivery journal. NEJM Catalyst. 2018 Feb 1;4(1).</w:t>
      </w:r>
      <w:r w:rsidRPr="009755B1">
        <w:rPr>
          <w:rFonts w:asciiTheme="majorBidi" w:hAnsiTheme="majorBidi" w:cstheme="majorBidi"/>
        </w:rPr>
        <w:t xml:space="preserve"> </w:t>
      </w:r>
      <w:r w:rsidRPr="009755B1">
        <w:rPr>
          <w:rFonts w:asciiTheme="majorBidi" w:hAnsiTheme="majorBidi" w:cstheme="majorBidi"/>
          <w:color w:val="00B0F0"/>
          <w:u w:val="single"/>
        </w:rPr>
        <w:t>https://catalyst.nejm.org/doi/full/10.1056/CAT.18.0268</w:t>
      </w:r>
      <w:r w:rsidRPr="009755B1">
        <w:rPr>
          <w:rFonts w:asciiTheme="majorBidi" w:hAnsiTheme="majorBidi" w:cstheme="majorBidi"/>
          <w:color w:val="00B0F0"/>
          <w:rtl/>
        </w:rPr>
        <w:t xml:space="preserve"> </w:t>
      </w:r>
    </w:p>
    <w:p w14:paraId="75CE0086" w14:textId="77777777" w:rsidR="00142681" w:rsidRPr="009755B1" w:rsidRDefault="00142681" w:rsidP="004A4775">
      <w:pPr>
        <w:bidi w:val="0"/>
        <w:spacing w:line="360" w:lineRule="auto"/>
        <w:jc w:val="both"/>
        <w:rPr>
          <w:rFonts w:asciiTheme="majorBidi" w:hAnsiTheme="majorBidi" w:cstheme="majorBidi"/>
          <w:color w:val="00B0F0"/>
          <w:u w:val="single"/>
          <w:shd w:val="clear" w:color="auto" w:fill="FFFFFF"/>
        </w:rPr>
      </w:pPr>
      <w:r w:rsidRPr="009755B1">
        <w:rPr>
          <w:rFonts w:asciiTheme="majorBidi" w:hAnsiTheme="majorBidi" w:cstheme="majorBidi"/>
          <w:color w:val="222222"/>
          <w:shd w:val="clear" w:color="auto" w:fill="FFFFFF"/>
        </w:rPr>
        <w:t>17.</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 xml:space="preserve">Rayan A, Ahmad M. Effectiveness of mindfulness-based interventions on quality of life and positive reappraisal coping among parents of children with autism spectrum disorder. Research in developmental disabilities. 2016 Aug 1;55:185-96. </w:t>
      </w:r>
      <w:r w:rsidRPr="009755B1">
        <w:rPr>
          <w:rFonts w:asciiTheme="majorBidi" w:hAnsiTheme="majorBidi" w:cstheme="majorBidi"/>
          <w:color w:val="00B0F0"/>
          <w:u w:val="single"/>
          <w:shd w:val="clear" w:color="auto" w:fill="FFFFFF"/>
        </w:rPr>
        <w:t>https://doi.org/10.1016/j.ridd.2016.04.002</w:t>
      </w:r>
    </w:p>
    <w:p w14:paraId="7AF71C85" w14:textId="77777777" w:rsidR="00142681" w:rsidRPr="009755B1" w:rsidRDefault="00142681" w:rsidP="004A4775">
      <w:pPr>
        <w:bidi w:val="0"/>
        <w:spacing w:line="360" w:lineRule="auto"/>
        <w:jc w:val="both"/>
        <w:rPr>
          <w:rFonts w:asciiTheme="majorBidi" w:hAnsiTheme="majorBidi" w:cstheme="majorBidi"/>
          <w:color w:val="00B0F0"/>
          <w:shd w:val="clear" w:color="auto" w:fill="FFFFFF"/>
        </w:rPr>
      </w:pPr>
      <w:r w:rsidRPr="009755B1">
        <w:rPr>
          <w:rFonts w:asciiTheme="majorBidi" w:hAnsiTheme="majorBidi" w:cstheme="majorBidi"/>
          <w:color w:val="222222"/>
          <w:shd w:val="clear" w:color="auto" w:fill="FFFFFF"/>
        </w:rPr>
        <w:t>18.</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Stuttard L, Beresford B, Clarke S, Beecham J, Curtis J. A preliminary investigation into the effectiveness of a group-delivered sleep management intervention for parents of children with intellectual disabilities. Journal of Intellectual Disabilities. 2015 Dec;19(4):342-55.</w:t>
      </w:r>
      <w:r w:rsidRPr="009755B1">
        <w:rPr>
          <w:rFonts w:asciiTheme="majorBidi" w:hAnsiTheme="majorBidi" w:cstheme="majorBidi"/>
        </w:rPr>
        <w:t xml:space="preserve"> </w:t>
      </w:r>
      <w:hyperlink r:id="rId15" w:history="1">
        <w:r w:rsidRPr="009755B1">
          <w:rPr>
            <w:rStyle w:val="Hyperlink"/>
            <w:rFonts w:asciiTheme="majorBidi" w:hAnsiTheme="majorBidi" w:cstheme="majorBidi"/>
            <w:color w:val="00B0F0"/>
            <w:shd w:val="clear" w:color="auto" w:fill="FFFFFF"/>
          </w:rPr>
          <w:t>https://doi.org/10.1177/1744629515576610</w:t>
        </w:r>
      </w:hyperlink>
    </w:p>
    <w:p w14:paraId="750E26A7" w14:textId="35C004DF" w:rsidR="00142681" w:rsidRPr="009755B1" w:rsidRDefault="00142681" w:rsidP="004A4775">
      <w:pPr>
        <w:bidi w:val="0"/>
        <w:spacing w:line="360" w:lineRule="auto"/>
        <w:jc w:val="both"/>
        <w:rPr>
          <w:rFonts w:asciiTheme="majorBidi" w:hAnsiTheme="majorBidi" w:cstheme="majorBidi"/>
          <w:color w:val="00B0F0"/>
          <w:u w:val="single"/>
          <w:shd w:val="clear" w:color="auto" w:fill="FFFFFF"/>
        </w:rPr>
      </w:pPr>
      <w:r w:rsidRPr="009755B1">
        <w:rPr>
          <w:rFonts w:asciiTheme="majorBidi" w:hAnsiTheme="majorBidi" w:cstheme="majorBidi"/>
          <w:color w:val="222222"/>
          <w:shd w:val="clear" w:color="auto" w:fill="FFFFFF"/>
        </w:rPr>
        <w:t xml:space="preserve">19.Panahpouri S, Arshi S. Effectiveness of Acceptance and Commitmentbased Therapy on Psychological Flexibility and Resilience in Mothers of Children with Autism Spectrum Disorders. Journal of Health Sciences &amp; Surveillance System. 2022 Oct 1;10(4):434-8. </w:t>
      </w:r>
      <w:hyperlink r:id="rId16" w:history="1">
        <w:r w:rsidRPr="009755B1">
          <w:rPr>
            <w:rStyle w:val="Hyperlink"/>
            <w:rFonts w:asciiTheme="majorBidi" w:hAnsiTheme="majorBidi" w:cstheme="majorBidi"/>
            <w:color w:val="00B0F0"/>
            <w:shd w:val="clear" w:color="auto" w:fill="FFFFFF"/>
          </w:rPr>
          <w:t>https://doi.org/10.30476/jhsss.2021.90267.1186</w:t>
        </w:r>
      </w:hyperlink>
    </w:p>
    <w:p w14:paraId="2287BFBF" w14:textId="750119B2" w:rsidR="004A4775" w:rsidRPr="009755B1" w:rsidRDefault="004A4775" w:rsidP="004A4775">
      <w:pPr>
        <w:bidi w:val="0"/>
        <w:spacing w:line="360" w:lineRule="auto"/>
        <w:jc w:val="both"/>
        <w:rPr>
          <w:rFonts w:asciiTheme="majorBidi" w:hAnsiTheme="majorBidi" w:cstheme="majorBidi"/>
          <w:color w:val="00B0F0"/>
          <w:u w:val="single"/>
          <w:shd w:val="clear" w:color="auto" w:fill="FFFFFF"/>
        </w:rPr>
      </w:pPr>
      <w:r w:rsidRPr="009755B1">
        <w:rPr>
          <w:rFonts w:asciiTheme="majorBidi" w:hAnsiTheme="majorBidi" w:cstheme="majorBidi"/>
          <w:color w:val="222222"/>
          <w:shd w:val="clear" w:color="auto" w:fill="FFFFFF"/>
        </w:rPr>
        <w:t>20.Schwartzman, J.M., Millan, M.E., Uljarevic, M. et al. Resilience Intervention for Parents of Children with Autism: Findings from a Randomized Controlled Trial of the AMOR Method. J Autism Dev Disord </w:t>
      </w:r>
      <w:r w:rsidRPr="009755B1">
        <w:rPr>
          <w:rFonts w:asciiTheme="majorBidi" w:hAnsiTheme="majorBidi" w:cstheme="majorBidi"/>
          <w:b/>
          <w:bCs/>
          <w:color w:val="222222"/>
          <w:shd w:val="clear" w:color="auto" w:fill="FFFFFF"/>
        </w:rPr>
        <w:t>52</w:t>
      </w:r>
      <w:r w:rsidRPr="009755B1">
        <w:rPr>
          <w:rFonts w:asciiTheme="majorBidi" w:hAnsiTheme="majorBidi" w:cstheme="majorBidi"/>
          <w:color w:val="222222"/>
          <w:shd w:val="clear" w:color="auto" w:fill="FFFFFF"/>
        </w:rPr>
        <w:t>, 738–757 (2022).</w:t>
      </w:r>
      <w:r w:rsidRPr="009755B1">
        <w:rPr>
          <w:rFonts w:asciiTheme="majorBidi" w:hAnsiTheme="majorBidi" w:cstheme="majorBidi"/>
        </w:rPr>
        <w:t xml:space="preserve"> </w:t>
      </w:r>
      <w:r w:rsidRPr="009755B1">
        <w:rPr>
          <w:rFonts w:asciiTheme="majorBidi" w:hAnsiTheme="majorBidi" w:cstheme="majorBidi"/>
          <w:color w:val="00B0F0"/>
          <w:u w:val="single"/>
          <w:shd w:val="clear" w:color="auto" w:fill="FFFFFF"/>
        </w:rPr>
        <w:t>https://doi.org/10.1007/s10803-021-04977-y</w:t>
      </w:r>
    </w:p>
    <w:p w14:paraId="405EB2CF" w14:textId="77777777" w:rsidR="00142681" w:rsidRPr="009755B1" w:rsidRDefault="00142681" w:rsidP="004A4775">
      <w:pPr>
        <w:bidi w:val="0"/>
        <w:spacing w:line="360" w:lineRule="auto"/>
        <w:jc w:val="both"/>
        <w:rPr>
          <w:rFonts w:asciiTheme="majorBidi" w:hAnsiTheme="majorBidi" w:cstheme="majorBidi"/>
          <w:color w:val="222222"/>
          <w:shd w:val="clear" w:color="auto" w:fill="FFFFFF"/>
        </w:rPr>
      </w:pPr>
      <w:r w:rsidRPr="009755B1">
        <w:rPr>
          <w:rFonts w:asciiTheme="majorBidi" w:hAnsiTheme="majorBidi" w:cstheme="majorBidi"/>
          <w:color w:val="222222"/>
          <w:shd w:val="clear" w:color="auto" w:fill="FFFFFF"/>
        </w:rPr>
        <w:t>21.Goldberg DP, Hillier VF. A scaled version of the General Health Questionnaire. Psychological medicine. 1979 Feb;9(1):139-45.DOI</w:t>
      </w:r>
      <w:r w:rsidRPr="009755B1">
        <w:rPr>
          <w:rFonts w:asciiTheme="majorBidi" w:hAnsiTheme="majorBidi" w:cstheme="majorBidi"/>
          <w:color w:val="00B0F0"/>
          <w:u w:val="single"/>
          <w:shd w:val="clear" w:color="auto" w:fill="FFFFFF"/>
        </w:rPr>
        <w:t>: https://doi.org/10.1017/S0033291700021644</w:t>
      </w:r>
    </w:p>
    <w:p w14:paraId="0BFE7C27" w14:textId="77777777" w:rsidR="00142681" w:rsidRPr="009755B1" w:rsidRDefault="00142681" w:rsidP="004A4775">
      <w:pPr>
        <w:bidi w:val="0"/>
        <w:spacing w:line="360" w:lineRule="auto"/>
        <w:jc w:val="both"/>
        <w:rPr>
          <w:rFonts w:asciiTheme="majorBidi" w:hAnsiTheme="majorBidi" w:cstheme="majorBidi"/>
          <w:color w:val="222222"/>
          <w:shd w:val="clear" w:color="auto" w:fill="FFFFFF"/>
        </w:rPr>
      </w:pPr>
      <w:r w:rsidRPr="009755B1">
        <w:rPr>
          <w:rFonts w:asciiTheme="majorBidi" w:hAnsiTheme="majorBidi" w:cstheme="majorBidi"/>
          <w:color w:val="222222"/>
          <w:shd w:val="clear" w:color="auto" w:fill="FFFFFF"/>
        </w:rPr>
        <w:t>22.</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Taghavi S. Validity and reliability of the general health questionnaire (ghq-28) in college students of shiraz university. J psychol. 2002 Jan 1;5(4):381-98.</w:t>
      </w:r>
    </w:p>
    <w:p w14:paraId="3CEDAC8D" w14:textId="77777777" w:rsidR="00142681" w:rsidRPr="009755B1" w:rsidRDefault="00142681" w:rsidP="004A4775">
      <w:pPr>
        <w:bidi w:val="0"/>
        <w:spacing w:line="360" w:lineRule="auto"/>
        <w:jc w:val="both"/>
        <w:rPr>
          <w:rFonts w:asciiTheme="majorBidi" w:hAnsiTheme="majorBidi" w:cstheme="majorBidi"/>
          <w:color w:val="222222"/>
          <w:shd w:val="clear" w:color="auto" w:fill="FFFFFF"/>
        </w:rPr>
      </w:pPr>
      <w:r w:rsidRPr="009755B1">
        <w:rPr>
          <w:rFonts w:asciiTheme="majorBidi" w:hAnsiTheme="majorBidi" w:cstheme="majorBidi"/>
          <w:color w:val="222222"/>
          <w:shd w:val="clear" w:color="auto" w:fill="FFFFFF"/>
        </w:rPr>
        <w:t>23.</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AlAnsari AM, Jahrami HA. Health of mothers of children with autism spectrum disorders and intellectual disability. Bahrain Medical Bulletin. 2018 Sep 1;40(3):157-61.</w:t>
      </w:r>
    </w:p>
    <w:p w14:paraId="05016289" w14:textId="77777777" w:rsidR="00142681" w:rsidRPr="009755B1" w:rsidRDefault="00142681" w:rsidP="004A4775">
      <w:pPr>
        <w:bidi w:val="0"/>
        <w:spacing w:line="360" w:lineRule="auto"/>
        <w:jc w:val="both"/>
        <w:rPr>
          <w:rFonts w:asciiTheme="majorBidi" w:hAnsiTheme="majorBidi" w:cstheme="majorBidi"/>
          <w:color w:val="00B0F0"/>
          <w:u w:val="single"/>
          <w:shd w:val="clear" w:color="auto" w:fill="FFFFFF"/>
        </w:rPr>
      </w:pPr>
      <w:r w:rsidRPr="009755B1">
        <w:rPr>
          <w:rFonts w:asciiTheme="majorBidi" w:hAnsiTheme="majorBidi" w:cstheme="majorBidi"/>
          <w:color w:val="222222"/>
          <w:shd w:val="clear" w:color="auto" w:fill="FFFFFF"/>
        </w:rPr>
        <w:t>24.</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Buysse DJ, Reynolds III CF, Monk TH, Berman SR, Kupfer DJ. The Pittsburgh Sleep Quality Index: a new instrument for psychiatric practice and research. Psychiatry research. 1989 May 1;28(2):193-213</w:t>
      </w:r>
      <w:r w:rsidRPr="009755B1">
        <w:rPr>
          <w:rFonts w:asciiTheme="majorBidi" w:hAnsiTheme="majorBidi" w:cstheme="majorBidi"/>
          <w:color w:val="00B0F0"/>
          <w:u w:val="single"/>
          <w:shd w:val="clear" w:color="auto" w:fill="FFFFFF"/>
        </w:rPr>
        <w:t>.</w:t>
      </w:r>
      <w:r w:rsidRPr="009755B1">
        <w:rPr>
          <w:rFonts w:asciiTheme="majorBidi" w:hAnsiTheme="majorBidi" w:cstheme="majorBidi"/>
          <w:color w:val="00B0F0"/>
          <w:u w:val="single"/>
        </w:rPr>
        <w:t xml:space="preserve"> </w:t>
      </w:r>
      <w:r w:rsidRPr="009755B1">
        <w:rPr>
          <w:rFonts w:asciiTheme="majorBidi" w:hAnsiTheme="majorBidi" w:cstheme="majorBidi"/>
          <w:color w:val="00B0F0"/>
          <w:u w:val="single"/>
          <w:shd w:val="clear" w:color="auto" w:fill="FFFFFF"/>
        </w:rPr>
        <w:t>https://doi.org/10.1016/0165-1781(89)90047-4</w:t>
      </w:r>
    </w:p>
    <w:p w14:paraId="212DD5EC" w14:textId="77777777" w:rsidR="00142681" w:rsidRPr="009755B1" w:rsidRDefault="00142681" w:rsidP="004A4775">
      <w:pPr>
        <w:bidi w:val="0"/>
        <w:spacing w:line="360" w:lineRule="auto"/>
        <w:jc w:val="both"/>
        <w:rPr>
          <w:rFonts w:asciiTheme="majorBidi" w:hAnsiTheme="majorBidi" w:cstheme="majorBidi"/>
          <w:color w:val="222222"/>
          <w:shd w:val="clear" w:color="auto" w:fill="FFFFFF"/>
        </w:rPr>
      </w:pPr>
      <w:r w:rsidRPr="009755B1">
        <w:rPr>
          <w:rFonts w:asciiTheme="majorBidi" w:hAnsiTheme="majorBidi" w:cstheme="majorBidi"/>
          <w:color w:val="222222"/>
          <w:shd w:val="clear" w:color="auto" w:fill="FFFFFF"/>
        </w:rPr>
        <w:t>25.</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Hossein-Abadi R, Tabrizi K, Poor-Esmaiel Z, Karimloo M, Maddah S. The effects of pressure massage on geriatrics sleep quality. Rehabil J. 2008;9(2):8-14.</w:t>
      </w:r>
    </w:p>
    <w:p w14:paraId="76748264" w14:textId="77777777" w:rsidR="00142681" w:rsidRPr="009755B1" w:rsidRDefault="00142681" w:rsidP="004A4775">
      <w:pPr>
        <w:bidi w:val="0"/>
        <w:spacing w:line="360" w:lineRule="auto"/>
        <w:jc w:val="both"/>
        <w:rPr>
          <w:rFonts w:asciiTheme="majorBidi" w:hAnsiTheme="majorBidi" w:cstheme="majorBidi"/>
          <w:color w:val="00B0F0"/>
          <w:u w:val="single"/>
          <w:shd w:val="clear" w:color="auto" w:fill="FFFFFF"/>
        </w:rPr>
      </w:pPr>
      <w:r w:rsidRPr="009755B1">
        <w:rPr>
          <w:rFonts w:asciiTheme="majorBidi" w:hAnsiTheme="majorBidi" w:cstheme="majorBidi"/>
          <w:color w:val="222222"/>
          <w:shd w:val="clear" w:color="auto" w:fill="FFFFFF"/>
        </w:rPr>
        <w:t>26.</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Lopez-Wagner MC, Hoffman CD, Sweeney DP, Hodge D, Gilliam JE. Sleep problems of parents of typically developing children and parents of children with autism. The Journal of genetic psychology. 2008 Sep 1;169(3):245-60</w:t>
      </w:r>
      <w:r w:rsidRPr="009755B1">
        <w:rPr>
          <w:rFonts w:asciiTheme="majorBidi" w:hAnsiTheme="majorBidi" w:cstheme="majorBidi"/>
          <w:color w:val="00B0F0"/>
          <w:u w:val="single"/>
          <w:shd w:val="clear" w:color="auto" w:fill="FFFFFF"/>
        </w:rPr>
        <w:t>.</w:t>
      </w:r>
      <w:r w:rsidRPr="009755B1">
        <w:rPr>
          <w:rFonts w:asciiTheme="majorBidi" w:hAnsiTheme="majorBidi" w:cstheme="majorBidi"/>
          <w:color w:val="00B0F0"/>
          <w:u w:val="single"/>
        </w:rPr>
        <w:t xml:space="preserve"> </w:t>
      </w:r>
      <w:r w:rsidRPr="009755B1">
        <w:rPr>
          <w:rFonts w:asciiTheme="majorBidi" w:hAnsiTheme="majorBidi" w:cstheme="majorBidi"/>
          <w:color w:val="00B0F0"/>
          <w:u w:val="single"/>
          <w:shd w:val="clear" w:color="auto" w:fill="FFFFFF"/>
        </w:rPr>
        <w:t>https://doi.org/10.3200/GNTP.169.3.245-260</w:t>
      </w:r>
    </w:p>
    <w:p w14:paraId="6EBB375A" w14:textId="77777777" w:rsidR="00142681" w:rsidRPr="009755B1" w:rsidRDefault="00142681" w:rsidP="004A4775">
      <w:pPr>
        <w:bidi w:val="0"/>
        <w:spacing w:line="360" w:lineRule="auto"/>
        <w:jc w:val="both"/>
        <w:rPr>
          <w:rFonts w:asciiTheme="majorBidi" w:eastAsia="Times New Roman" w:hAnsiTheme="majorBidi" w:cstheme="majorBidi"/>
          <w:color w:val="00B0F0"/>
          <w:u w:val="single"/>
        </w:rPr>
      </w:pPr>
      <w:r w:rsidRPr="009755B1">
        <w:rPr>
          <w:rFonts w:asciiTheme="majorBidi" w:hAnsiTheme="majorBidi" w:cstheme="majorBidi"/>
          <w:color w:val="222222"/>
          <w:shd w:val="clear" w:color="auto" w:fill="FFFFFF"/>
        </w:rPr>
        <w:t>27.Connor, K. M., &amp; Davidson, J. R. (2003). Development of a new resilience scale: The Connor</w:t>
      </w:r>
      <w:r w:rsidRPr="009755B1">
        <w:rPr>
          <w:rFonts w:ascii="Cambria Math" w:hAnsi="Cambria Math" w:cs="Cambria Math"/>
          <w:color w:val="222222"/>
          <w:shd w:val="clear" w:color="auto" w:fill="FFFFFF"/>
        </w:rPr>
        <w:t>‐</w:t>
      </w:r>
      <w:r w:rsidRPr="009755B1">
        <w:rPr>
          <w:rFonts w:asciiTheme="majorBidi" w:hAnsiTheme="majorBidi" w:cstheme="majorBidi"/>
          <w:color w:val="222222"/>
          <w:shd w:val="clear" w:color="auto" w:fill="FFFFFF"/>
        </w:rPr>
        <w:t>Davidson resilience scale (CD</w:t>
      </w:r>
      <w:r w:rsidRPr="009755B1">
        <w:rPr>
          <w:rFonts w:ascii="Cambria Math" w:hAnsi="Cambria Math" w:cs="Cambria Math"/>
          <w:color w:val="222222"/>
          <w:shd w:val="clear" w:color="auto" w:fill="FFFFFF"/>
        </w:rPr>
        <w:t>‐</w:t>
      </w:r>
      <w:r w:rsidRPr="009755B1">
        <w:rPr>
          <w:rFonts w:asciiTheme="majorBidi" w:hAnsiTheme="majorBidi" w:cstheme="majorBidi"/>
          <w:color w:val="222222"/>
          <w:shd w:val="clear" w:color="auto" w:fill="FFFFFF"/>
        </w:rPr>
        <w:t>RISC). </w:t>
      </w:r>
      <w:r w:rsidRPr="009755B1">
        <w:rPr>
          <w:rFonts w:asciiTheme="majorBidi" w:hAnsiTheme="majorBidi" w:cstheme="majorBidi"/>
          <w:i/>
          <w:iCs/>
          <w:color w:val="222222"/>
          <w:shd w:val="clear" w:color="auto" w:fill="FFFFFF"/>
        </w:rPr>
        <w:t>Depression and anxiety</w:t>
      </w:r>
      <w:r w:rsidRPr="009755B1">
        <w:rPr>
          <w:rFonts w:asciiTheme="majorBidi" w:hAnsiTheme="majorBidi" w:cstheme="majorBidi"/>
          <w:color w:val="222222"/>
          <w:shd w:val="clear" w:color="auto" w:fill="FFFFFF"/>
        </w:rPr>
        <w:t>, </w:t>
      </w:r>
      <w:r w:rsidRPr="009755B1">
        <w:rPr>
          <w:rFonts w:asciiTheme="majorBidi" w:hAnsiTheme="majorBidi" w:cstheme="majorBidi"/>
          <w:i/>
          <w:iCs/>
          <w:color w:val="222222"/>
          <w:shd w:val="clear" w:color="auto" w:fill="FFFFFF"/>
        </w:rPr>
        <w:t>18</w:t>
      </w:r>
      <w:r w:rsidRPr="009755B1">
        <w:rPr>
          <w:rFonts w:asciiTheme="majorBidi" w:hAnsiTheme="majorBidi" w:cstheme="majorBidi"/>
          <w:color w:val="222222"/>
          <w:shd w:val="clear" w:color="auto" w:fill="FFFFFF"/>
        </w:rPr>
        <w:t>(2), 76-82.</w:t>
      </w:r>
      <w:r w:rsidRPr="009755B1">
        <w:rPr>
          <w:rFonts w:asciiTheme="majorBidi" w:eastAsia="Times New Roman" w:hAnsiTheme="majorBidi" w:cstheme="majorBidi"/>
          <w:color w:val="767676"/>
          <w:shd w:val="clear" w:color="auto" w:fill="FFFFFF"/>
        </w:rPr>
        <w:t xml:space="preserve"> </w:t>
      </w:r>
      <w:hyperlink r:id="rId17" w:history="1">
        <w:r w:rsidRPr="009755B1">
          <w:rPr>
            <w:rFonts w:asciiTheme="majorBidi" w:eastAsia="Times New Roman" w:hAnsiTheme="majorBidi" w:cstheme="majorBidi"/>
            <w:color w:val="00B0F0"/>
            <w:u w:val="single"/>
          </w:rPr>
          <w:t>https://doi.org/10.1002/da.10113</w:t>
        </w:r>
      </w:hyperlink>
    </w:p>
    <w:p w14:paraId="1F476FCF" w14:textId="77777777" w:rsidR="00142681" w:rsidRPr="009755B1" w:rsidRDefault="00142681" w:rsidP="004A4775">
      <w:pPr>
        <w:bidi w:val="0"/>
        <w:spacing w:line="360" w:lineRule="auto"/>
        <w:jc w:val="both"/>
        <w:rPr>
          <w:rFonts w:asciiTheme="majorBidi" w:hAnsiTheme="majorBidi" w:cstheme="majorBidi"/>
          <w:color w:val="222222"/>
          <w:shd w:val="clear" w:color="auto" w:fill="FFFFFF"/>
        </w:rPr>
      </w:pPr>
      <w:r w:rsidRPr="009755B1">
        <w:rPr>
          <w:rFonts w:asciiTheme="majorBidi" w:hAnsiTheme="majorBidi" w:cstheme="majorBidi"/>
          <w:color w:val="222222"/>
          <w:shd w:val="clear" w:color="auto" w:fill="FFFFFF"/>
        </w:rPr>
        <w:t>28</w:t>
      </w:r>
      <w:r w:rsidRPr="009755B1">
        <w:rPr>
          <w:rFonts w:asciiTheme="majorBidi" w:hAnsiTheme="majorBidi" w:cstheme="majorBidi"/>
        </w:rPr>
        <w:t>. Mohammadi, M., Jazayeri, A., Rafiei, A. H., Jokar, B., &amp; Porshahbaz, A. The effective factors on resistance in the people with risk of subectance abuse. New Psychological Research (Psychology of Tabriz University).2005; 1(2-3):203-224</w:t>
      </w:r>
    </w:p>
    <w:p w14:paraId="12991246" w14:textId="77777777" w:rsidR="00142681" w:rsidRPr="009755B1" w:rsidRDefault="00142681" w:rsidP="004A4775">
      <w:pPr>
        <w:bidi w:val="0"/>
        <w:spacing w:line="360" w:lineRule="auto"/>
        <w:jc w:val="both"/>
        <w:rPr>
          <w:rFonts w:asciiTheme="majorBidi" w:hAnsiTheme="majorBidi" w:cstheme="majorBidi"/>
          <w:color w:val="222222"/>
          <w:shd w:val="clear" w:color="auto" w:fill="FFFFFF"/>
        </w:rPr>
      </w:pPr>
      <w:r w:rsidRPr="009755B1">
        <w:rPr>
          <w:rFonts w:asciiTheme="majorBidi" w:hAnsiTheme="majorBidi" w:cstheme="majorBidi"/>
          <w:color w:val="222222"/>
          <w:shd w:val="clear" w:color="auto" w:fill="FFFFFF"/>
        </w:rPr>
        <w:t>29.</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Salimi A, Abbasi A, Zahrakar K, Tameh B, Davarniya R. The effect of group based hope therapy on resiliency of mothers of children with autism spectrum disorder. Armaghane danesh. 2017 Aug 10;22(3):350-63.</w:t>
      </w:r>
    </w:p>
    <w:p w14:paraId="155EB224" w14:textId="77777777" w:rsidR="00142681" w:rsidRPr="009755B1" w:rsidRDefault="00142681" w:rsidP="004A4775">
      <w:pPr>
        <w:bidi w:val="0"/>
        <w:spacing w:line="360" w:lineRule="auto"/>
        <w:jc w:val="both"/>
        <w:rPr>
          <w:rFonts w:asciiTheme="majorBidi" w:hAnsiTheme="majorBidi" w:cstheme="majorBidi"/>
          <w:color w:val="222222"/>
          <w:shd w:val="clear" w:color="auto" w:fill="FFFFFF"/>
        </w:rPr>
      </w:pPr>
      <w:r w:rsidRPr="009755B1">
        <w:rPr>
          <w:rFonts w:asciiTheme="majorBidi" w:hAnsiTheme="majorBidi" w:cstheme="majorBidi"/>
          <w:color w:val="222222"/>
          <w:shd w:val="clear" w:color="auto" w:fill="FFFFFF"/>
        </w:rPr>
        <w:t>30.Jang J, Dixon DR, Tarbox J, Granpeesheh D, Kornack J, de Nocker Y. Randomized trial of an eLearning program for training family members of children with autism in the principles and procedures of applied behavior analysis. Research in Autism Spectrum Disorders. 2012 Apr 1;6(2):852-6.</w:t>
      </w:r>
      <w:r w:rsidRPr="009755B1">
        <w:rPr>
          <w:rFonts w:asciiTheme="majorBidi" w:hAnsiTheme="majorBidi" w:cstheme="majorBidi"/>
        </w:rPr>
        <w:t xml:space="preserve"> </w:t>
      </w:r>
      <w:r w:rsidRPr="009755B1">
        <w:rPr>
          <w:rFonts w:asciiTheme="majorBidi" w:hAnsiTheme="majorBidi" w:cstheme="majorBidi"/>
          <w:color w:val="00B0F0"/>
          <w:u w:val="single"/>
          <w:shd w:val="clear" w:color="auto" w:fill="FFFFFF"/>
        </w:rPr>
        <w:t>https://doi.org/10.1016/j.rasd.2011.11.004</w:t>
      </w:r>
    </w:p>
    <w:p w14:paraId="6CE4D715" w14:textId="77777777" w:rsidR="00142681" w:rsidRPr="009755B1" w:rsidRDefault="00142681" w:rsidP="004A4775">
      <w:pPr>
        <w:bidi w:val="0"/>
        <w:spacing w:line="360" w:lineRule="auto"/>
        <w:jc w:val="both"/>
        <w:rPr>
          <w:rFonts w:asciiTheme="majorBidi" w:hAnsiTheme="majorBidi" w:cstheme="majorBidi"/>
          <w:color w:val="222222"/>
          <w:shd w:val="clear" w:color="auto" w:fill="FFFFFF"/>
        </w:rPr>
      </w:pPr>
      <w:r w:rsidRPr="009755B1">
        <w:rPr>
          <w:rFonts w:asciiTheme="majorBidi" w:hAnsiTheme="majorBidi" w:cstheme="majorBidi"/>
          <w:color w:val="222222"/>
          <w:shd w:val="clear" w:color="auto" w:fill="FFFFFF"/>
        </w:rPr>
        <w:t>31.Ruiz-Robledillo N, Moya-Albiol L. Effects of a cognitive-behavioral intervention program on the health of caregivers of people with autism spectrum disorder. Psychosocial Intervention. 2015 Jan 1;24(1):33-9</w:t>
      </w:r>
      <w:r w:rsidRPr="009755B1">
        <w:rPr>
          <w:rFonts w:asciiTheme="majorBidi" w:hAnsiTheme="majorBidi" w:cstheme="majorBidi"/>
          <w:color w:val="00B0F0"/>
          <w:u w:val="single"/>
          <w:shd w:val="clear" w:color="auto" w:fill="FFFFFF"/>
        </w:rPr>
        <w:t>.</w:t>
      </w:r>
      <w:r w:rsidRPr="009755B1">
        <w:rPr>
          <w:rFonts w:asciiTheme="majorBidi" w:hAnsiTheme="majorBidi" w:cstheme="majorBidi"/>
          <w:color w:val="00B0F0"/>
          <w:u w:val="single"/>
        </w:rPr>
        <w:t xml:space="preserve"> </w:t>
      </w:r>
      <w:r w:rsidRPr="009755B1">
        <w:rPr>
          <w:rFonts w:asciiTheme="majorBidi" w:hAnsiTheme="majorBidi" w:cstheme="majorBidi"/>
          <w:color w:val="00B0F0"/>
          <w:u w:val="single"/>
          <w:shd w:val="clear" w:color="auto" w:fill="FFFFFF"/>
        </w:rPr>
        <w:t>https://doi.org/10.1016/j.psi.2015.01.001</w:t>
      </w:r>
    </w:p>
    <w:p w14:paraId="221C2FD3" w14:textId="77777777" w:rsidR="00142681" w:rsidRPr="009755B1" w:rsidRDefault="00142681" w:rsidP="004A4775">
      <w:pPr>
        <w:bidi w:val="0"/>
        <w:spacing w:line="360" w:lineRule="auto"/>
        <w:jc w:val="both"/>
        <w:rPr>
          <w:rFonts w:asciiTheme="majorBidi" w:hAnsiTheme="majorBidi" w:cstheme="majorBidi"/>
          <w:color w:val="00B0F0"/>
          <w:u w:val="single"/>
          <w:shd w:val="clear" w:color="auto" w:fill="FFFFFF"/>
        </w:rPr>
      </w:pPr>
      <w:r w:rsidRPr="009755B1">
        <w:rPr>
          <w:rFonts w:asciiTheme="majorBidi" w:hAnsiTheme="majorBidi" w:cstheme="majorBidi"/>
          <w:color w:val="222222"/>
          <w:shd w:val="clear" w:color="auto" w:fill="FFFFFF"/>
        </w:rPr>
        <w:t>32.</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Barnameh N, Bagheri N, Tanha Z. Comparison of the Effectiveness of Assertiveness Training and Logotherapy on Cognitive Emotional Regulation and Psychological Well-Being in Mothers of Children with Autism Spectrum Disorder. Applied Family Therapy Journal (AFTJ). 2024 Apr 1;5(2):157-70.</w:t>
      </w:r>
      <w:r w:rsidRPr="009755B1">
        <w:rPr>
          <w:rFonts w:asciiTheme="majorBidi" w:hAnsiTheme="majorBidi" w:cstheme="majorBidi"/>
        </w:rPr>
        <w:t xml:space="preserve"> </w:t>
      </w:r>
      <w:r w:rsidRPr="009755B1">
        <w:rPr>
          <w:rFonts w:asciiTheme="majorBidi" w:hAnsiTheme="majorBidi" w:cstheme="majorBidi"/>
          <w:color w:val="00B0F0"/>
          <w:u w:val="single"/>
          <w:shd w:val="clear" w:color="auto" w:fill="FFFFFF"/>
        </w:rPr>
        <w:t>https://</w:t>
      </w:r>
      <w:bookmarkStart w:id="8" w:name="_Hlk239076412"/>
      <w:r w:rsidRPr="009755B1">
        <w:rPr>
          <w:rFonts w:asciiTheme="majorBidi" w:hAnsiTheme="majorBidi" w:cstheme="majorBidi"/>
          <w:color w:val="00B0F0"/>
          <w:u w:val="single"/>
          <w:shd w:val="clear" w:color="auto" w:fill="FFFFFF"/>
        </w:rPr>
        <w:t>doi</w:t>
      </w:r>
      <w:bookmarkEnd w:id="8"/>
      <w:r w:rsidRPr="009755B1">
        <w:rPr>
          <w:rFonts w:asciiTheme="majorBidi" w:hAnsiTheme="majorBidi" w:cstheme="majorBidi"/>
          <w:color w:val="00B0F0"/>
          <w:u w:val="single"/>
          <w:shd w:val="clear" w:color="auto" w:fill="FFFFFF"/>
        </w:rPr>
        <w:t>.org/10.61838/kman.aftj.5.2.18</w:t>
      </w:r>
    </w:p>
    <w:p w14:paraId="2E637A69" w14:textId="77777777" w:rsidR="00142681" w:rsidRPr="009755B1" w:rsidRDefault="00142681" w:rsidP="004A4775">
      <w:pPr>
        <w:bidi w:val="0"/>
        <w:spacing w:line="360" w:lineRule="auto"/>
        <w:jc w:val="both"/>
        <w:rPr>
          <w:rFonts w:asciiTheme="majorBidi" w:hAnsiTheme="majorBidi" w:cstheme="majorBidi"/>
          <w:color w:val="00B0F0"/>
          <w:shd w:val="clear" w:color="auto" w:fill="FFFFFF"/>
        </w:rPr>
      </w:pPr>
      <w:r w:rsidRPr="009755B1">
        <w:rPr>
          <w:rFonts w:asciiTheme="majorBidi" w:hAnsiTheme="majorBidi" w:cstheme="majorBidi"/>
          <w:color w:val="222222"/>
          <w:shd w:val="clear" w:color="auto" w:fill="FFFFFF"/>
        </w:rPr>
        <w:t>33</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Haylı ÇM, Aydın A. The effect of sleep hygiene education on sleep quality of children with intellectual disabilities and their mothers according to the health promotion model. Journal of Child. 2023;23(3):301-9.</w:t>
      </w:r>
      <w:r w:rsidRPr="009755B1">
        <w:rPr>
          <w:rFonts w:asciiTheme="majorBidi" w:hAnsiTheme="majorBidi" w:cstheme="majorBidi"/>
        </w:rPr>
        <w:t xml:space="preserve"> </w:t>
      </w:r>
      <w:hyperlink r:id="rId18" w:history="1">
        <w:r w:rsidRPr="009755B1">
          <w:rPr>
            <w:rStyle w:val="Hyperlink"/>
            <w:rFonts w:asciiTheme="majorBidi" w:hAnsiTheme="majorBidi" w:cstheme="majorBidi"/>
            <w:color w:val="00B0F0"/>
            <w:shd w:val="clear" w:color="auto" w:fill="FFFFFF"/>
          </w:rPr>
          <w:t>https://doi.org/10.26650/jchild.2023.1332281</w:t>
        </w:r>
      </w:hyperlink>
    </w:p>
    <w:p w14:paraId="395BCFEF" w14:textId="77777777" w:rsidR="00142681" w:rsidRPr="009755B1" w:rsidRDefault="00142681" w:rsidP="004A4775">
      <w:pPr>
        <w:bidi w:val="0"/>
        <w:spacing w:line="360" w:lineRule="auto"/>
        <w:jc w:val="both"/>
        <w:rPr>
          <w:rFonts w:asciiTheme="majorBidi" w:hAnsiTheme="majorBidi" w:cstheme="majorBidi"/>
          <w:color w:val="222222"/>
          <w:shd w:val="clear" w:color="auto" w:fill="FFFFFF"/>
        </w:rPr>
      </w:pPr>
      <w:r w:rsidRPr="009755B1">
        <w:rPr>
          <w:rFonts w:asciiTheme="majorBidi" w:hAnsiTheme="majorBidi" w:cstheme="majorBidi"/>
          <w:color w:val="222222"/>
          <w:shd w:val="clear" w:color="auto" w:fill="FFFFFF"/>
        </w:rPr>
        <w:t>34. Arakkathara JG, Bance LO. Promotion of Well-being, Resilience and Stress Management (POWER): An intervention program for mothers of children with intellectual disability: A pilot study. Indian Journal of Positive Psychology. 2019 Oct 1;10(4).</w:t>
      </w:r>
    </w:p>
    <w:p w14:paraId="1244C9BC" w14:textId="77777777" w:rsidR="00142681" w:rsidRPr="009755B1" w:rsidRDefault="00142681" w:rsidP="004A4775">
      <w:pPr>
        <w:bidi w:val="0"/>
        <w:spacing w:line="360" w:lineRule="auto"/>
        <w:jc w:val="both"/>
        <w:rPr>
          <w:rFonts w:asciiTheme="majorBidi" w:hAnsiTheme="majorBidi" w:cstheme="majorBidi"/>
          <w:color w:val="00B0F0"/>
          <w:u w:val="single"/>
          <w:shd w:val="clear" w:color="auto" w:fill="FFFFFF"/>
        </w:rPr>
      </w:pPr>
      <w:r w:rsidRPr="009755B1">
        <w:rPr>
          <w:rFonts w:asciiTheme="majorBidi" w:hAnsiTheme="majorBidi" w:cstheme="majorBidi"/>
          <w:color w:val="222222"/>
          <w:shd w:val="clear" w:color="auto" w:fill="FFFFFF"/>
        </w:rPr>
        <w:t>35.Seyedfatemi, N., Asl, M. A., Bahrami, R., &amp; Haghani, H. (2021). The effect of the virtual social network-based psycho-education on the hope of family caregivers of clients with severe mental disorders. </w:t>
      </w:r>
      <w:r w:rsidRPr="009755B1">
        <w:rPr>
          <w:rFonts w:asciiTheme="majorBidi" w:hAnsiTheme="majorBidi" w:cstheme="majorBidi"/>
          <w:i/>
          <w:iCs/>
          <w:color w:val="222222"/>
          <w:shd w:val="clear" w:color="auto" w:fill="FFFFFF"/>
        </w:rPr>
        <w:t>Archives of Psychiatric Nursing</w:t>
      </w:r>
      <w:r w:rsidRPr="009755B1">
        <w:rPr>
          <w:rFonts w:asciiTheme="majorBidi" w:hAnsiTheme="majorBidi" w:cstheme="majorBidi"/>
          <w:color w:val="222222"/>
          <w:shd w:val="clear" w:color="auto" w:fill="FFFFFF"/>
        </w:rPr>
        <w:t>, </w:t>
      </w:r>
      <w:r w:rsidRPr="009755B1">
        <w:rPr>
          <w:rFonts w:asciiTheme="majorBidi" w:hAnsiTheme="majorBidi" w:cstheme="majorBidi"/>
          <w:i/>
          <w:iCs/>
          <w:color w:val="222222"/>
          <w:shd w:val="clear" w:color="auto" w:fill="FFFFFF"/>
        </w:rPr>
        <w:t>35</w:t>
      </w:r>
      <w:r w:rsidRPr="009755B1">
        <w:rPr>
          <w:rFonts w:asciiTheme="majorBidi" w:hAnsiTheme="majorBidi" w:cstheme="majorBidi"/>
          <w:color w:val="222222"/>
          <w:shd w:val="clear" w:color="auto" w:fill="FFFFFF"/>
        </w:rPr>
        <w:t>(3), 290-295</w:t>
      </w:r>
      <w:r w:rsidRPr="009755B1">
        <w:rPr>
          <w:rFonts w:asciiTheme="majorBidi" w:hAnsiTheme="majorBidi" w:cstheme="majorBidi"/>
          <w:color w:val="00B0F0"/>
          <w:u w:val="single"/>
          <w:shd w:val="clear" w:color="auto" w:fill="FFFFFF"/>
        </w:rPr>
        <w:t>.</w:t>
      </w:r>
      <w:r w:rsidRPr="009755B1">
        <w:rPr>
          <w:rFonts w:asciiTheme="majorBidi" w:hAnsiTheme="majorBidi" w:cstheme="majorBidi"/>
          <w:color w:val="00B0F0"/>
          <w:u w:val="single"/>
        </w:rPr>
        <w:t xml:space="preserve"> </w:t>
      </w:r>
      <w:r w:rsidRPr="009755B1">
        <w:rPr>
          <w:rFonts w:asciiTheme="majorBidi" w:hAnsiTheme="majorBidi" w:cstheme="majorBidi"/>
          <w:color w:val="00B0F0"/>
          <w:u w:val="single"/>
          <w:shd w:val="clear" w:color="auto" w:fill="FFFFFF"/>
        </w:rPr>
        <w:t>https://doi.org/10.1016/j.apnu.2021.02.004</w:t>
      </w:r>
    </w:p>
    <w:p w14:paraId="73FBF6D4" w14:textId="77777777" w:rsidR="00142681" w:rsidRPr="009755B1" w:rsidRDefault="00142681" w:rsidP="004A4775">
      <w:pPr>
        <w:bidi w:val="0"/>
        <w:spacing w:line="360" w:lineRule="auto"/>
        <w:jc w:val="both"/>
        <w:rPr>
          <w:rFonts w:asciiTheme="majorBidi" w:hAnsiTheme="majorBidi" w:cstheme="majorBidi"/>
          <w:color w:val="00B0F0"/>
          <w:u w:val="single"/>
        </w:rPr>
      </w:pPr>
      <w:r w:rsidRPr="009755B1">
        <w:rPr>
          <w:rFonts w:asciiTheme="majorBidi" w:hAnsiTheme="majorBidi" w:cstheme="majorBidi"/>
        </w:rPr>
        <w:t>36. Rafiee Z, Eshaghzadeh Namaghia SM, Pirani H, Ayati MH, Ghahremani Z, Mahlooji K, Hassanzadeh G, Shariat A. History of Telehealth in Iran. Journal of Islamic and Iranian Traditional Medicine. 2024 Feb 10;14(4):0-.URL</w:t>
      </w:r>
      <w:r w:rsidRPr="009755B1">
        <w:rPr>
          <w:rFonts w:asciiTheme="majorBidi" w:hAnsiTheme="majorBidi" w:cstheme="majorBidi"/>
          <w:color w:val="00B0F0"/>
          <w:u w:val="single"/>
        </w:rPr>
        <w:t>: http://jiitm.ir/article-1-1652-en.html</w:t>
      </w:r>
    </w:p>
    <w:p w14:paraId="24391270" w14:textId="77777777" w:rsidR="00142681" w:rsidRPr="009755B1" w:rsidRDefault="00142681" w:rsidP="004A4775">
      <w:pPr>
        <w:bidi w:val="0"/>
        <w:spacing w:line="360" w:lineRule="auto"/>
        <w:jc w:val="both"/>
        <w:rPr>
          <w:rFonts w:asciiTheme="majorBidi" w:hAnsiTheme="majorBidi" w:cstheme="majorBidi"/>
          <w:color w:val="00B0F0"/>
          <w:u w:val="single"/>
        </w:rPr>
      </w:pPr>
      <w:r w:rsidRPr="009755B1">
        <w:rPr>
          <w:rFonts w:asciiTheme="majorBidi" w:hAnsiTheme="majorBidi" w:cstheme="majorBidi"/>
          <w:color w:val="222222"/>
          <w:shd w:val="clear" w:color="auto" w:fill="FFFFFF"/>
        </w:rPr>
        <w:t>37.</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Amiri P, Sharifi H, Soof M, Bahaadinbeigy K, Mohammadi A. Analysis of requirements for developing a telehealth-based health management platform in Iran. Frontiers in Health Informatics. 2024 Jan 25.</w:t>
      </w:r>
      <w:r w:rsidRPr="009755B1">
        <w:rPr>
          <w:rFonts w:asciiTheme="majorBidi" w:hAnsiTheme="majorBidi" w:cstheme="majorBidi"/>
        </w:rPr>
        <w:t xml:space="preserve"> URI:</w:t>
      </w:r>
      <w:r w:rsidRPr="009755B1">
        <w:rPr>
          <w:rFonts w:asciiTheme="majorBidi" w:hAnsiTheme="majorBidi" w:cstheme="majorBidi"/>
        </w:rPr>
        <w:tab/>
      </w:r>
      <w:hyperlink r:id="rId19" w:history="1">
        <w:r w:rsidRPr="009755B1">
          <w:rPr>
            <w:rStyle w:val="Hyperlink"/>
            <w:rFonts w:asciiTheme="majorBidi" w:hAnsiTheme="majorBidi" w:cstheme="majorBidi"/>
            <w:color w:val="00B0F0"/>
          </w:rPr>
          <w:t>http://eprints.lums.ac.ir/id/eprint/4679</w:t>
        </w:r>
      </w:hyperlink>
    </w:p>
    <w:p w14:paraId="3C850A0F" w14:textId="77777777" w:rsidR="00142681" w:rsidRPr="009755B1" w:rsidRDefault="00142681" w:rsidP="004A4775">
      <w:pPr>
        <w:bidi w:val="0"/>
        <w:spacing w:line="360" w:lineRule="auto"/>
        <w:jc w:val="both"/>
        <w:rPr>
          <w:rFonts w:asciiTheme="majorBidi" w:hAnsiTheme="majorBidi" w:cstheme="majorBidi"/>
          <w:color w:val="00B0F0"/>
          <w:u w:val="single"/>
        </w:rPr>
      </w:pPr>
      <w:r w:rsidRPr="009755B1">
        <w:rPr>
          <w:rFonts w:asciiTheme="majorBidi" w:hAnsiTheme="majorBidi" w:cstheme="majorBidi"/>
          <w:color w:val="222222"/>
          <w:shd w:val="clear" w:color="auto" w:fill="FFFFFF"/>
        </w:rPr>
        <w:t>38.Pacione L. Telehealth-delivered caregiver training for autism: Recent innovations. Frontiers in psychiatry. 2022 Dec 21;13:916532</w:t>
      </w:r>
      <w:r w:rsidRPr="009755B1">
        <w:rPr>
          <w:rFonts w:asciiTheme="majorBidi" w:hAnsiTheme="majorBidi" w:cstheme="majorBidi"/>
          <w:color w:val="00B0F0"/>
          <w:shd w:val="clear" w:color="auto" w:fill="FFFFFF"/>
        </w:rPr>
        <w:t>.</w:t>
      </w:r>
      <w:r w:rsidRPr="009755B1">
        <w:rPr>
          <w:rFonts w:asciiTheme="majorBidi" w:hAnsiTheme="majorBidi" w:cstheme="majorBidi"/>
          <w:color w:val="00B0F0"/>
        </w:rPr>
        <w:t xml:space="preserve"> </w:t>
      </w:r>
      <w:hyperlink r:id="rId20" w:history="1">
        <w:r w:rsidRPr="009755B1">
          <w:rPr>
            <w:rStyle w:val="Hyperlink"/>
            <w:rFonts w:asciiTheme="majorBidi" w:hAnsiTheme="majorBidi" w:cstheme="majorBidi"/>
            <w:color w:val="00B0F0"/>
          </w:rPr>
          <w:t>https://doi.org/10.3389/fpsyt.2022.916532</w:t>
        </w:r>
      </w:hyperlink>
    </w:p>
    <w:p w14:paraId="56DFC434" w14:textId="70F9B01E" w:rsidR="00142681" w:rsidRPr="009755B1" w:rsidRDefault="00142681" w:rsidP="004A4775">
      <w:pPr>
        <w:bidi w:val="0"/>
        <w:spacing w:line="360" w:lineRule="auto"/>
        <w:jc w:val="both"/>
        <w:rPr>
          <w:rFonts w:asciiTheme="majorBidi" w:hAnsiTheme="majorBidi" w:cstheme="majorBidi"/>
          <w:color w:val="222222"/>
          <w:shd w:val="clear" w:color="auto" w:fill="FFFFFF"/>
        </w:rPr>
      </w:pPr>
      <w:r w:rsidRPr="009755B1">
        <w:rPr>
          <w:rFonts w:asciiTheme="majorBidi" w:hAnsiTheme="majorBidi" w:cstheme="majorBidi"/>
          <w:color w:val="222222"/>
          <w:shd w:val="clear" w:color="auto" w:fill="FFFFFF"/>
        </w:rPr>
        <w:t>39.</w:t>
      </w:r>
      <w:r w:rsidRPr="009755B1">
        <w:rPr>
          <w:rFonts w:asciiTheme="majorBidi" w:hAnsiTheme="majorBidi" w:cstheme="majorBidi"/>
        </w:rPr>
        <w:t xml:space="preserve"> </w:t>
      </w:r>
      <w:r w:rsidRPr="009755B1">
        <w:rPr>
          <w:rFonts w:asciiTheme="majorBidi" w:hAnsiTheme="majorBidi" w:cstheme="majorBidi"/>
          <w:color w:val="222222"/>
          <w:shd w:val="clear" w:color="auto" w:fill="FFFFFF"/>
        </w:rPr>
        <w:t>Ore T. How effective is the use of telehealth for children with autism spectrum disorders. International Journal of Psychiatry Research. 2021;4(1):1-4.</w:t>
      </w:r>
    </w:p>
    <w:p w14:paraId="0DE65A10" w14:textId="19A8A408" w:rsidR="00BB7CBD" w:rsidRPr="009755B1" w:rsidRDefault="00BB7CBD" w:rsidP="00982AF7">
      <w:pPr>
        <w:bidi w:val="0"/>
        <w:spacing w:line="360" w:lineRule="auto"/>
        <w:ind w:left="360"/>
        <w:jc w:val="both"/>
        <w:rPr>
          <w:rFonts w:asciiTheme="majorBidi" w:hAnsiTheme="majorBidi" w:cstheme="majorBidi"/>
          <w:color w:val="222222"/>
          <w:shd w:val="clear" w:color="auto" w:fill="FFFFFF"/>
        </w:rPr>
      </w:pPr>
      <w:r w:rsidRPr="009755B1">
        <w:rPr>
          <w:rFonts w:asciiTheme="majorBidi" w:hAnsiTheme="majorBidi" w:cstheme="majorBidi"/>
          <w:color w:val="222222"/>
          <w:shd w:val="clear" w:color="auto" w:fill="FFFFFF"/>
        </w:rPr>
        <w:t>40.</w:t>
      </w:r>
      <w:r w:rsidRPr="009755B1">
        <w:t xml:space="preserve"> </w:t>
      </w:r>
      <w:r w:rsidRPr="009755B1">
        <w:rPr>
          <w:rFonts w:asciiTheme="majorBidi" w:hAnsiTheme="majorBidi" w:cstheme="majorBidi"/>
          <w:color w:val="222222"/>
          <w:shd w:val="clear" w:color="auto" w:fill="FFFFFF"/>
        </w:rPr>
        <w:t>Johnson, C. R., Barto, L., Worley, S., Rothstein, R., &amp; Alder, M. L. (2023). Telehealth parent training for sleep disturbances in young children with autism spectrum disorder: A randomized controlled trial. Sleep Medicine, 111, 208-219.</w:t>
      </w:r>
      <w:r w:rsidRPr="009755B1">
        <w:rPr>
          <w:rFonts w:asciiTheme="majorBidi" w:hAnsiTheme="majorBidi" w:cs="Times New Roman"/>
          <w:color w:val="222222"/>
          <w:shd w:val="clear" w:color="auto" w:fill="FFFFFF"/>
          <w:rtl/>
        </w:rPr>
        <w:t>‏</w:t>
      </w:r>
      <w:r w:rsidRPr="009755B1">
        <w:rPr>
          <w:rFonts w:ascii="Segoe UI" w:eastAsia="Times New Roman" w:hAnsi="Segoe UI" w:cs="Segoe UI"/>
          <w:color w:val="212121"/>
          <w:sz w:val="24"/>
          <w:szCs w:val="24"/>
        </w:rPr>
        <w:t xml:space="preserve"> </w:t>
      </w:r>
      <w:r w:rsidRPr="009755B1">
        <w:rPr>
          <w:rFonts w:asciiTheme="majorBidi" w:hAnsiTheme="majorBidi" w:cstheme="majorBidi"/>
          <w:color w:val="222222"/>
          <w:shd w:val="clear" w:color="auto" w:fill="FFFFFF"/>
        </w:rPr>
        <w:t>PMID: 37806263 </w:t>
      </w:r>
    </w:p>
    <w:p w14:paraId="5919E01E" w14:textId="7C997568" w:rsidR="00BB7CBD" w:rsidRPr="00BB7CBD" w:rsidRDefault="00982AF7" w:rsidP="00982AF7">
      <w:pPr>
        <w:bidi w:val="0"/>
        <w:spacing w:line="360" w:lineRule="auto"/>
        <w:ind w:left="360"/>
        <w:jc w:val="both"/>
        <w:rPr>
          <w:rFonts w:asciiTheme="majorBidi" w:hAnsiTheme="majorBidi" w:cstheme="majorBidi"/>
          <w:color w:val="00B0F0"/>
          <w:shd w:val="clear" w:color="auto" w:fill="FFFFFF"/>
        </w:rPr>
      </w:pPr>
      <w:r w:rsidRPr="009755B1">
        <w:rPr>
          <w:rFonts w:asciiTheme="majorBidi" w:hAnsiTheme="majorBidi" w:cstheme="majorBidi"/>
          <w:color w:val="00B0F0"/>
          <w:u w:val="single"/>
          <w:shd w:val="clear" w:color="auto" w:fill="FFFFFF"/>
        </w:rPr>
        <w:t>doi</w:t>
      </w:r>
      <w:r w:rsidR="00BB7CBD" w:rsidRPr="009755B1">
        <w:rPr>
          <w:rFonts w:asciiTheme="majorBidi" w:hAnsiTheme="majorBidi" w:cstheme="majorBidi"/>
          <w:color w:val="00B0F0"/>
          <w:shd w:val="clear" w:color="auto" w:fill="FFFFFF"/>
        </w:rPr>
        <w:t>: </w:t>
      </w:r>
      <w:hyperlink r:id="rId21" w:tgtFrame="_blank" w:history="1">
        <w:r w:rsidR="00BB7CBD" w:rsidRPr="009755B1">
          <w:rPr>
            <w:rStyle w:val="Hyperlink"/>
            <w:rFonts w:asciiTheme="majorBidi" w:hAnsiTheme="majorBidi" w:cstheme="majorBidi"/>
            <w:color w:val="00B0F0"/>
            <w:shd w:val="clear" w:color="auto" w:fill="FFFFFF"/>
          </w:rPr>
          <w:t>10.1016/j.sleep.2023.08.033</w:t>
        </w:r>
      </w:hyperlink>
    </w:p>
    <w:p w14:paraId="2954C43F" w14:textId="33F97C2E" w:rsidR="00536E2C" w:rsidRDefault="00536E2C" w:rsidP="00536E2C">
      <w:pPr>
        <w:bidi w:val="0"/>
        <w:spacing w:line="360" w:lineRule="auto"/>
        <w:jc w:val="both"/>
        <w:rPr>
          <w:rFonts w:asciiTheme="majorBidi" w:hAnsiTheme="majorBidi" w:cstheme="majorBidi"/>
          <w:color w:val="222222"/>
          <w:shd w:val="clear" w:color="auto" w:fill="FFFFFF"/>
        </w:rPr>
      </w:pPr>
    </w:p>
    <w:p w14:paraId="051DBBA5" w14:textId="0ADEF9A3" w:rsidR="00536E2C" w:rsidRDefault="00536E2C" w:rsidP="0059109B">
      <w:pPr>
        <w:bidi w:val="0"/>
        <w:spacing w:line="360" w:lineRule="auto"/>
        <w:jc w:val="both"/>
        <w:rPr>
          <w:rFonts w:asciiTheme="majorBidi" w:hAnsiTheme="majorBidi" w:cstheme="majorBidi"/>
          <w:color w:val="222222"/>
          <w:shd w:val="clear" w:color="auto" w:fill="FFFFFF"/>
        </w:rPr>
      </w:pPr>
    </w:p>
    <w:p w14:paraId="00395E58" w14:textId="373BBEBE" w:rsidR="00536E2C" w:rsidRPr="004A4775" w:rsidRDefault="00536E2C" w:rsidP="00536E2C">
      <w:pPr>
        <w:bidi w:val="0"/>
        <w:spacing w:line="360" w:lineRule="auto"/>
        <w:jc w:val="both"/>
        <w:rPr>
          <w:rFonts w:asciiTheme="majorBidi" w:hAnsiTheme="majorBidi" w:cstheme="majorBidi"/>
          <w:color w:val="222222"/>
          <w:shd w:val="clear" w:color="auto" w:fill="FFFFFF"/>
        </w:rPr>
      </w:pPr>
    </w:p>
    <w:p w14:paraId="6176E82A" w14:textId="335B0378" w:rsidR="00142681" w:rsidRPr="004A4775" w:rsidRDefault="00142681" w:rsidP="004A4775">
      <w:pPr>
        <w:bidi w:val="0"/>
        <w:spacing w:line="360" w:lineRule="auto"/>
        <w:jc w:val="both"/>
        <w:rPr>
          <w:rFonts w:asciiTheme="majorBidi" w:hAnsiTheme="majorBidi" w:cstheme="majorBidi"/>
          <w:color w:val="00B0F0"/>
          <w:u w:val="single"/>
        </w:rPr>
      </w:pPr>
    </w:p>
    <w:p w14:paraId="29B574F7" w14:textId="77777777" w:rsidR="00142681" w:rsidRPr="004A4775" w:rsidRDefault="00142681" w:rsidP="004A4775">
      <w:pPr>
        <w:bidi w:val="0"/>
        <w:spacing w:line="360" w:lineRule="auto"/>
        <w:jc w:val="both"/>
        <w:rPr>
          <w:rFonts w:asciiTheme="majorBidi" w:hAnsiTheme="majorBidi" w:cstheme="majorBidi"/>
          <w:color w:val="00B0F0"/>
          <w:u w:val="single"/>
          <w:rtl/>
        </w:rPr>
      </w:pPr>
    </w:p>
    <w:p w14:paraId="0FBB1D8F" w14:textId="0ECB1432" w:rsidR="00AE2476" w:rsidRPr="004A4775" w:rsidRDefault="00AE2476" w:rsidP="004A4775">
      <w:pPr>
        <w:bidi w:val="0"/>
        <w:spacing w:line="360" w:lineRule="auto"/>
        <w:ind w:left="720"/>
        <w:jc w:val="both"/>
        <w:rPr>
          <w:rFonts w:asciiTheme="majorBidi" w:eastAsia="Times New Roman" w:hAnsiTheme="majorBidi" w:cstheme="majorBidi"/>
        </w:rPr>
      </w:pPr>
    </w:p>
    <w:sectPr w:rsidR="00AE2476" w:rsidRPr="004A4775" w:rsidSect="00142681">
      <w:pgSz w:w="11906" w:h="16838"/>
      <w:pgMar w:top="1701" w:right="1701" w:bottom="1701" w:left="226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6B0B1" w14:textId="77777777" w:rsidR="005502C7" w:rsidRDefault="005502C7" w:rsidP="00DA2E96">
      <w:pPr>
        <w:spacing w:after="0" w:line="240" w:lineRule="auto"/>
      </w:pPr>
      <w:r>
        <w:separator/>
      </w:r>
    </w:p>
  </w:endnote>
  <w:endnote w:type="continuationSeparator" w:id="0">
    <w:p w14:paraId="52041B20" w14:textId="77777777" w:rsidR="005502C7" w:rsidRDefault="005502C7" w:rsidP="00DA2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Mincho Light">
    <w:charset w:val="80"/>
    <w:family w:val="roman"/>
    <w:pitch w:val="variable"/>
    <w:sig w:usb0="800002E7" w:usb1="2AC7FCF0"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315CC" w14:textId="77777777" w:rsidR="005502C7" w:rsidRDefault="005502C7" w:rsidP="00DA2E96">
      <w:pPr>
        <w:spacing w:after="0" w:line="240" w:lineRule="auto"/>
      </w:pPr>
      <w:r>
        <w:separator/>
      </w:r>
    </w:p>
  </w:footnote>
  <w:footnote w:type="continuationSeparator" w:id="0">
    <w:p w14:paraId="754F8362" w14:textId="77777777" w:rsidR="005502C7" w:rsidRDefault="005502C7" w:rsidP="00DA2E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8411B"/>
    <w:multiLevelType w:val="hybridMultilevel"/>
    <w:tmpl w:val="05502C8A"/>
    <w:lvl w:ilvl="0" w:tplc="F5E4B974">
      <w:start w:val="16"/>
      <w:numFmt w:val="bullet"/>
      <w:lvlText w:val=""/>
      <w:lvlJc w:val="left"/>
      <w:pPr>
        <w:ind w:left="1094" w:hanging="360"/>
      </w:pPr>
      <w:rPr>
        <w:rFonts w:ascii="Symbol" w:eastAsiaTheme="minorHAnsi" w:hAnsi="Symbol" w:cstheme="minorBidi"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1" w15:restartNumberingAfterBreak="0">
    <w:nsid w:val="161B3008"/>
    <w:multiLevelType w:val="hybridMultilevel"/>
    <w:tmpl w:val="DDC8DED0"/>
    <w:lvl w:ilvl="0" w:tplc="A4224176">
      <w:start w:val="1"/>
      <w:numFmt w:val="decimal"/>
      <w:lvlText w:val="%1."/>
      <w:lvlJc w:val="left"/>
      <w:pPr>
        <w:ind w:left="360" w:hanging="360"/>
      </w:pPr>
      <w:rPr>
        <w:rFonts w:hint="default"/>
      </w:rPr>
    </w:lvl>
    <w:lvl w:ilvl="1" w:tplc="04090019" w:tentative="1">
      <w:start w:val="1"/>
      <w:numFmt w:val="lowerLetter"/>
      <w:lvlText w:val="%2."/>
      <w:lvlJc w:val="left"/>
      <w:pPr>
        <w:ind w:left="1229" w:hanging="360"/>
      </w:pPr>
    </w:lvl>
    <w:lvl w:ilvl="2" w:tplc="0409001B" w:tentative="1">
      <w:start w:val="1"/>
      <w:numFmt w:val="lowerRoman"/>
      <w:lvlText w:val="%3."/>
      <w:lvlJc w:val="right"/>
      <w:pPr>
        <w:ind w:left="1949" w:hanging="180"/>
      </w:pPr>
    </w:lvl>
    <w:lvl w:ilvl="3" w:tplc="0409000F" w:tentative="1">
      <w:start w:val="1"/>
      <w:numFmt w:val="decimal"/>
      <w:lvlText w:val="%4."/>
      <w:lvlJc w:val="left"/>
      <w:pPr>
        <w:ind w:left="2669" w:hanging="360"/>
      </w:pPr>
    </w:lvl>
    <w:lvl w:ilvl="4" w:tplc="04090019" w:tentative="1">
      <w:start w:val="1"/>
      <w:numFmt w:val="lowerLetter"/>
      <w:lvlText w:val="%5."/>
      <w:lvlJc w:val="left"/>
      <w:pPr>
        <w:ind w:left="3389" w:hanging="360"/>
      </w:pPr>
    </w:lvl>
    <w:lvl w:ilvl="5" w:tplc="0409001B" w:tentative="1">
      <w:start w:val="1"/>
      <w:numFmt w:val="lowerRoman"/>
      <w:lvlText w:val="%6."/>
      <w:lvlJc w:val="right"/>
      <w:pPr>
        <w:ind w:left="4109" w:hanging="180"/>
      </w:pPr>
    </w:lvl>
    <w:lvl w:ilvl="6" w:tplc="0409000F" w:tentative="1">
      <w:start w:val="1"/>
      <w:numFmt w:val="decimal"/>
      <w:lvlText w:val="%7."/>
      <w:lvlJc w:val="left"/>
      <w:pPr>
        <w:ind w:left="4829" w:hanging="360"/>
      </w:pPr>
    </w:lvl>
    <w:lvl w:ilvl="7" w:tplc="04090019" w:tentative="1">
      <w:start w:val="1"/>
      <w:numFmt w:val="lowerLetter"/>
      <w:lvlText w:val="%8."/>
      <w:lvlJc w:val="left"/>
      <w:pPr>
        <w:ind w:left="5549" w:hanging="360"/>
      </w:pPr>
    </w:lvl>
    <w:lvl w:ilvl="8" w:tplc="0409001B" w:tentative="1">
      <w:start w:val="1"/>
      <w:numFmt w:val="lowerRoman"/>
      <w:lvlText w:val="%9."/>
      <w:lvlJc w:val="right"/>
      <w:pPr>
        <w:ind w:left="6269" w:hanging="180"/>
      </w:pPr>
    </w:lvl>
  </w:abstractNum>
  <w:abstractNum w:abstractNumId="2" w15:restartNumberingAfterBreak="0">
    <w:nsid w:val="332675E7"/>
    <w:multiLevelType w:val="multilevel"/>
    <w:tmpl w:val="CEAE6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C2549D"/>
    <w:multiLevelType w:val="multilevel"/>
    <w:tmpl w:val="B2CA9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6162D3"/>
    <w:multiLevelType w:val="multilevel"/>
    <w:tmpl w:val="FFAE8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DD3C11"/>
    <w:multiLevelType w:val="multilevel"/>
    <w:tmpl w:val="1BFAB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038268">
    <w:abstractNumId w:val="0"/>
  </w:num>
  <w:num w:numId="2" w16cid:durableId="1485127582">
    <w:abstractNumId w:val="1"/>
  </w:num>
  <w:num w:numId="3" w16cid:durableId="1153637824">
    <w:abstractNumId w:val="5"/>
  </w:num>
  <w:num w:numId="4" w16cid:durableId="1015964365">
    <w:abstractNumId w:val="3"/>
  </w:num>
  <w:num w:numId="5" w16cid:durableId="1439717436">
    <w:abstractNumId w:val="2"/>
  </w:num>
  <w:num w:numId="6" w16cid:durableId="17175881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6"/>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zSyNDA1NzQyNDA1NjBX0lEKTi0uzszPAykwrAUAlCDGAiwAAAA="/>
  </w:docVars>
  <w:rsids>
    <w:rsidRoot w:val="00DA2E96"/>
    <w:rsid w:val="000002F7"/>
    <w:rsid w:val="00010ECD"/>
    <w:rsid w:val="00015AFE"/>
    <w:rsid w:val="000214BB"/>
    <w:rsid w:val="000226F9"/>
    <w:rsid w:val="00022855"/>
    <w:rsid w:val="00022D21"/>
    <w:rsid w:val="00036248"/>
    <w:rsid w:val="00037344"/>
    <w:rsid w:val="000421FB"/>
    <w:rsid w:val="00042C15"/>
    <w:rsid w:val="00042EAD"/>
    <w:rsid w:val="00043DD1"/>
    <w:rsid w:val="00051E7C"/>
    <w:rsid w:val="00054076"/>
    <w:rsid w:val="0006006C"/>
    <w:rsid w:val="00063642"/>
    <w:rsid w:val="0007170A"/>
    <w:rsid w:val="00076386"/>
    <w:rsid w:val="00077AEC"/>
    <w:rsid w:val="00081824"/>
    <w:rsid w:val="00082C65"/>
    <w:rsid w:val="00083C08"/>
    <w:rsid w:val="00083DD0"/>
    <w:rsid w:val="00085115"/>
    <w:rsid w:val="0009078E"/>
    <w:rsid w:val="000A27AF"/>
    <w:rsid w:val="000A3C98"/>
    <w:rsid w:val="000A51CD"/>
    <w:rsid w:val="000A591B"/>
    <w:rsid w:val="000B0932"/>
    <w:rsid w:val="000B12E3"/>
    <w:rsid w:val="000B6535"/>
    <w:rsid w:val="000B787D"/>
    <w:rsid w:val="000B7C89"/>
    <w:rsid w:val="000C0C53"/>
    <w:rsid w:val="000C1779"/>
    <w:rsid w:val="000C2243"/>
    <w:rsid w:val="000D00D1"/>
    <w:rsid w:val="000D1291"/>
    <w:rsid w:val="000D20F9"/>
    <w:rsid w:val="000D3FA9"/>
    <w:rsid w:val="000D4716"/>
    <w:rsid w:val="000D5622"/>
    <w:rsid w:val="000E1BDB"/>
    <w:rsid w:val="000E3F5B"/>
    <w:rsid w:val="000F0B61"/>
    <w:rsid w:val="000F160E"/>
    <w:rsid w:val="000F5EF3"/>
    <w:rsid w:val="00100026"/>
    <w:rsid w:val="001011A8"/>
    <w:rsid w:val="00102B6C"/>
    <w:rsid w:val="00104298"/>
    <w:rsid w:val="00105212"/>
    <w:rsid w:val="001139D0"/>
    <w:rsid w:val="00113AAE"/>
    <w:rsid w:val="0011414D"/>
    <w:rsid w:val="001145C0"/>
    <w:rsid w:val="00115EFF"/>
    <w:rsid w:val="00121C77"/>
    <w:rsid w:val="00126AB0"/>
    <w:rsid w:val="00127FBB"/>
    <w:rsid w:val="00133F41"/>
    <w:rsid w:val="0013686D"/>
    <w:rsid w:val="00142681"/>
    <w:rsid w:val="00144C3F"/>
    <w:rsid w:val="00147367"/>
    <w:rsid w:val="00156A7E"/>
    <w:rsid w:val="00156AA4"/>
    <w:rsid w:val="00157AEF"/>
    <w:rsid w:val="001618F2"/>
    <w:rsid w:val="00161A91"/>
    <w:rsid w:val="001731A4"/>
    <w:rsid w:val="001805C1"/>
    <w:rsid w:val="00181390"/>
    <w:rsid w:val="00185248"/>
    <w:rsid w:val="001A2120"/>
    <w:rsid w:val="001A5A65"/>
    <w:rsid w:val="001A5E0B"/>
    <w:rsid w:val="001A6FB3"/>
    <w:rsid w:val="001B0E34"/>
    <w:rsid w:val="001B2217"/>
    <w:rsid w:val="001B571A"/>
    <w:rsid w:val="001B6E7E"/>
    <w:rsid w:val="001C0E7A"/>
    <w:rsid w:val="001C1FE6"/>
    <w:rsid w:val="001C2084"/>
    <w:rsid w:val="001C28DE"/>
    <w:rsid w:val="001C58B0"/>
    <w:rsid w:val="001C6606"/>
    <w:rsid w:val="001D0915"/>
    <w:rsid w:val="001D4D83"/>
    <w:rsid w:val="001E0009"/>
    <w:rsid w:val="001E651F"/>
    <w:rsid w:val="001E716D"/>
    <w:rsid w:val="001F1B7A"/>
    <w:rsid w:val="001F3728"/>
    <w:rsid w:val="001F397C"/>
    <w:rsid w:val="001F4AFB"/>
    <w:rsid w:val="001F550D"/>
    <w:rsid w:val="001F60A7"/>
    <w:rsid w:val="00203ED4"/>
    <w:rsid w:val="00205212"/>
    <w:rsid w:val="002202B3"/>
    <w:rsid w:val="002257C5"/>
    <w:rsid w:val="00225D54"/>
    <w:rsid w:val="0022691C"/>
    <w:rsid w:val="00235B77"/>
    <w:rsid w:val="002361DB"/>
    <w:rsid w:val="00237A8B"/>
    <w:rsid w:val="00243524"/>
    <w:rsid w:val="002459F7"/>
    <w:rsid w:val="0024626F"/>
    <w:rsid w:val="00246D4C"/>
    <w:rsid w:val="0025149A"/>
    <w:rsid w:val="002544F6"/>
    <w:rsid w:val="00260731"/>
    <w:rsid w:val="002610F2"/>
    <w:rsid w:val="00264811"/>
    <w:rsid w:val="00265BFA"/>
    <w:rsid w:val="0026770E"/>
    <w:rsid w:val="0027182D"/>
    <w:rsid w:val="0027512E"/>
    <w:rsid w:val="00275D17"/>
    <w:rsid w:val="00276289"/>
    <w:rsid w:val="002765FF"/>
    <w:rsid w:val="00276AE5"/>
    <w:rsid w:val="00277873"/>
    <w:rsid w:val="002828B6"/>
    <w:rsid w:val="002833E7"/>
    <w:rsid w:val="00283AEA"/>
    <w:rsid w:val="00284E9D"/>
    <w:rsid w:val="002874AA"/>
    <w:rsid w:val="00297C99"/>
    <w:rsid w:val="002A02EA"/>
    <w:rsid w:val="002B0AAD"/>
    <w:rsid w:val="002B1A7B"/>
    <w:rsid w:val="002B1F8F"/>
    <w:rsid w:val="002B2BC4"/>
    <w:rsid w:val="002B477E"/>
    <w:rsid w:val="002C0460"/>
    <w:rsid w:val="002C3E8F"/>
    <w:rsid w:val="002C45FF"/>
    <w:rsid w:val="002C5CB4"/>
    <w:rsid w:val="002C6232"/>
    <w:rsid w:val="002C7812"/>
    <w:rsid w:val="002D2CDD"/>
    <w:rsid w:val="002D52CD"/>
    <w:rsid w:val="002D639C"/>
    <w:rsid w:val="002E1EC4"/>
    <w:rsid w:val="002E4DFD"/>
    <w:rsid w:val="002E4E86"/>
    <w:rsid w:val="002F2899"/>
    <w:rsid w:val="002F471E"/>
    <w:rsid w:val="00302E4A"/>
    <w:rsid w:val="00306CB3"/>
    <w:rsid w:val="003125BB"/>
    <w:rsid w:val="003144B9"/>
    <w:rsid w:val="00315F46"/>
    <w:rsid w:val="003174A3"/>
    <w:rsid w:val="00325093"/>
    <w:rsid w:val="00326554"/>
    <w:rsid w:val="00330CFF"/>
    <w:rsid w:val="003317EA"/>
    <w:rsid w:val="00332B07"/>
    <w:rsid w:val="00333E50"/>
    <w:rsid w:val="00334575"/>
    <w:rsid w:val="00335E54"/>
    <w:rsid w:val="00336231"/>
    <w:rsid w:val="00337356"/>
    <w:rsid w:val="00337AFB"/>
    <w:rsid w:val="003459C1"/>
    <w:rsid w:val="0035431D"/>
    <w:rsid w:val="003568E7"/>
    <w:rsid w:val="003617A9"/>
    <w:rsid w:val="00364BB3"/>
    <w:rsid w:val="0036557C"/>
    <w:rsid w:val="00365580"/>
    <w:rsid w:val="00366A1E"/>
    <w:rsid w:val="00371643"/>
    <w:rsid w:val="00371A80"/>
    <w:rsid w:val="00372CA2"/>
    <w:rsid w:val="00374880"/>
    <w:rsid w:val="00380D7E"/>
    <w:rsid w:val="003823A1"/>
    <w:rsid w:val="00382689"/>
    <w:rsid w:val="00384998"/>
    <w:rsid w:val="00390FAC"/>
    <w:rsid w:val="003A5B4F"/>
    <w:rsid w:val="003A6A8D"/>
    <w:rsid w:val="003A7162"/>
    <w:rsid w:val="003B0DB7"/>
    <w:rsid w:val="003B134D"/>
    <w:rsid w:val="003B1A1E"/>
    <w:rsid w:val="003B386A"/>
    <w:rsid w:val="003B416C"/>
    <w:rsid w:val="003C0072"/>
    <w:rsid w:val="003C0F7A"/>
    <w:rsid w:val="003C2443"/>
    <w:rsid w:val="003D3D87"/>
    <w:rsid w:val="003D48AA"/>
    <w:rsid w:val="003D6241"/>
    <w:rsid w:val="003D7EF3"/>
    <w:rsid w:val="003E7105"/>
    <w:rsid w:val="003F0960"/>
    <w:rsid w:val="003F12B5"/>
    <w:rsid w:val="003F13CA"/>
    <w:rsid w:val="003F254A"/>
    <w:rsid w:val="003F29B8"/>
    <w:rsid w:val="003F31F8"/>
    <w:rsid w:val="003F389C"/>
    <w:rsid w:val="003F64F6"/>
    <w:rsid w:val="003F6717"/>
    <w:rsid w:val="00401116"/>
    <w:rsid w:val="0040296D"/>
    <w:rsid w:val="00404EA0"/>
    <w:rsid w:val="00412FE8"/>
    <w:rsid w:val="00424528"/>
    <w:rsid w:val="00430679"/>
    <w:rsid w:val="00430709"/>
    <w:rsid w:val="00430C8B"/>
    <w:rsid w:val="00435D4E"/>
    <w:rsid w:val="004408A0"/>
    <w:rsid w:val="00441C05"/>
    <w:rsid w:val="00451E91"/>
    <w:rsid w:val="0046362E"/>
    <w:rsid w:val="00465982"/>
    <w:rsid w:val="00473837"/>
    <w:rsid w:val="00475974"/>
    <w:rsid w:val="0047617A"/>
    <w:rsid w:val="00480BA0"/>
    <w:rsid w:val="0048169B"/>
    <w:rsid w:val="004839DE"/>
    <w:rsid w:val="00485DAF"/>
    <w:rsid w:val="00490ADC"/>
    <w:rsid w:val="0049773C"/>
    <w:rsid w:val="00497F95"/>
    <w:rsid w:val="004A0DCD"/>
    <w:rsid w:val="004A25E2"/>
    <w:rsid w:val="004A4775"/>
    <w:rsid w:val="004B2B47"/>
    <w:rsid w:val="004B7B6A"/>
    <w:rsid w:val="004B7FD3"/>
    <w:rsid w:val="004C04B9"/>
    <w:rsid w:val="004C0CFF"/>
    <w:rsid w:val="004C3421"/>
    <w:rsid w:val="004C6E68"/>
    <w:rsid w:val="004D0A75"/>
    <w:rsid w:val="004D0E2E"/>
    <w:rsid w:val="004D3218"/>
    <w:rsid w:val="004D6C86"/>
    <w:rsid w:val="004D6F59"/>
    <w:rsid w:val="004E0F57"/>
    <w:rsid w:val="004E1309"/>
    <w:rsid w:val="004E130C"/>
    <w:rsid w:val="004E2708"/>
    <w:rsid w:val="004F1EFE"/>
    <w:rsid w:val="004F2535"/>
    <w:rsid w:val="004F2DEA"/>
    <w:rsid w:val="004F358F"/>
    <w:rsid w:val="0050192F"/>
    <w:rsid w:val="00502F85"/>
    <w:rsid w:val="00502FEB"/>
    <w:rsid w:val="0050724E"/>
    <w:rsid w:val="00510FDD"/>
    <w:rsid w:val="00517B42"/>
    <w:rsid w:val="005209F8"/>
    <w:rsid w:val="00523078"/>
    <w:rsid w:val="00524EF2"/>
    <w:rsid w:val="00536E2C"/>
    <w:rsid w:val="00536F8A"/>
    <w:rsid w:val="005378E0"/>
    <w:rsid w:val="00540AEA"/>
    <w:rsid w:val="005441D5"/>
    <w:rsid w:val="005445BB"/>
    <w:rsid w:val="00546030"/>
    <w:rsid w:val="005473C5"/>
    <w:rsid w:val="00547821"/>
    <w:rsid w:val="005502C7"/>
    <w:rsid w:val="00551710"/>
    <w:rsid w:val="00551CD6"/>
    <w:rsid w:val="005568D0"/>
    <w:rsid w:val="00567940"/>
    <w:rsid w:val="00580E38"/>
    <w:rsid w:val="00580FE7"/>
    <w:rsid w:val="0058308A"/>
    <w:rsid w:val="00586272"/>
    <w:rsid w:val="0059109B"/>
    <w:rsid w:val="00591459"/>
    <w:rsid w:val="0059764B"/>
    <w:rsid w:val="005A64A2"/>
    <w:rsid w:val="005A70BA"/>
    <w:rsid w:val="005B0D73"/>
    <w:rsid w:val="005B321C"/>
    <w:rsid w:val="005B470B"/>
    <w:rsid w:val="005B7A6B"/>
    <w:rsid w:val="005C1833"/>
    <w:rsid w:val="005C3445"/>
    <w:rsid w:val="005C5FE9"/>
    <w:rsid w:val="005D0A66"/>
    <w:rsid w:val="005E0069"/>
    <w:rsid w:val="005E134F"/>
    <w:rsid w:val="005E1DF2"/>
    <w:rsid w:val="005E4FCC"/>
    <w:rsid w:val="005F1DE3"/>
    <w:rsid w:val="006045CD"/>
    <w:rsid w:val="00614626"/>
    <w:rsid w:val="00620718"/>
    <w:rsid w:val="0062694C"/>
    <w:rsid w:val="00631BCF"/>
    <w:rsid w:val="006348E5"/>
    <w:rsid w:val="00650455"/>
    <w:rsid w:val="0065125D"/>
    <w:rsid w:val="00651F9A"/>
    <w:rsid w:val="006537D3"/>
    <w:rsid w:val="00657322"/>
    <w:rsid w:val="006633C5"/>
    <w:rsid w:val="00665F69"/>
    <w:rsid w:val="00675426"/>
    <w:rsid w:val="0068447F"/>
    <w:rsid w:val="00684A95"/>
    <w:rsid w:val="00686874"/>
    <w:rsid w:val="00693A04"/>
    <w:rsid w:val="00693C0F"/>
    <w:rsid w:val="006A1440"/>
    <w:rsid w:val="006A4C3C"/>
    <w:rsid w:val="006B66FA"/>
    <w:rsid w:val="006B75A9"/>
    <w:rsid w:val="006C3A20"/>
    <w:rsid w:val="006D0DF4"/>
    <w:rsid w:val="006D1583"/>
    <w:rsid w:val="006D29C0"/>
    <w:rsid w:val="006E6584"/>
    <w:rsid w:val="006F0C50"/>
    <w:rsid w:val="006F2909"/>
    <w:rsid w:val="00701CFD"/>
    <w:rsid w:val="0070692B"/>
    <w:rsid w:val="00711622"/>
    <w:rsid w:val="00713D8B"/>
    <w:rsid w:val="007146BE"/>
    <w:rsid w:val="00720EB4"/>
    <w:rsid w:val="00726CAB"/>
    <w:rsid w:val="00730FC3"/>
    <w:rsid w:val="00737033"/>
    <w:rsid w:val="00737839"/>
    <w:rsid w:val="00741C3C"/>
    <w:rsid w:val="00742CBB"/>
    <w:rsid w:val="007430CB"/>
    <w:rsid w:val="007479E2"/>
    <w:rsid w:val="007521C2"/>
    <w:rsid w:val="00754053"/>
    <w:rsid w:val="0075674B"/>
    <w:rsid w:val="00761566"/>
    <w:rsid w:val="00764CA1"/>
    <w:rsid w:val="007666F2"/>
    <w:rsid w:val="007721BE"/>
    <w:rsid w:val="007740E0"/>
    <w:rsid w:val="007846D5"/>
    <w:rsid w:val="00786625"/>
    <w:rsid w:val="00787DE5"/>
    <w:rsid w:val="007950D8"/>
    <w:rsid w:val="007978EA"/>
    <w:rsid w:val="007A0F63"/>
    <w:rsid w:val="007A1E44"/>
    <w:rsid w:val="007A2125"/>
    <w:rsid w:val="007A281F"/>
    <w:rsid w:val="007A63B5"/>
    <w:rsid w:val="007B4D02"/>
    <w:rsid w:val="007B6703"/>
    <w:rsid w:val="007C2929"/>
    <w:rsid w:val="007C2B1D"/>
    <w:rsid w:val="007C5412"/>
    <w:rsid w:val="007D3355"/>
    <w:rsid w:val="007D3983"/>
    <w:rsid w:val="007D5FE9"/>
    <w:rsid w:val="007E06BF"/>
    <w:rsid w:val="007E1757"/>
    <w:rsid w:val="007E29C1"/>
    <w:rsid w:val="007E6B72"/>
    <w:rsid w:val="007E7AC9"/>
    <w:rsid w:val="007F04A9"/>
    <w:rsid w:val="007F05C5"/>
    <w:rsid w:val="007F4569"/>
    <w:rsid w:val="007F4D87"/>
    <w:rsid w:val="008005DE"/>
    <w:rsid w:val="008021A8"/>
    <w:rsid w:val="008059F1"/>
    <w:rsid w:val="008123A6"/>
    <w:rsid w:val="008130B5"/>
    <w:rsid w:val="00814807"/>
    <w:rsid w:val="00816C98"/>
    <w:rsid w:val="00822089"/>
    <w:rsid w:val="0082795C"/>
    <w:rsid w:val="00827C78"/>
    <w:rsid w:val="0083104B"/>
    <w:rsid w:val="00840AF7"/>
    <w:rsid w:val="00843BAA"/>
    <w:rsid w:val="00855714"/>
    <w:rsid w:val="00857E68"/>
    <w:rsid w:val="00860CC1"/>
    <w:rsid w:val="00864AF3"/>
    <w:rsid w:val="00867F0C"/>
    <w:rsid w:val="00873AF8"/>
    <w:rsid w:val="00874929"/>
    <w:rsid w:val="00874C40"/>
    <w:rsid w:val="00875DAD"/>
    <w:rsid w:val="00884850"/>
    <w:rsid w:val="0088486C"/>
    <w:rsid w:val="008853B8"/>
    <w:rsid w:val="00886C11"/>
    <w:rsid w:val="00894992"/>
    <w:rsid w:val="0089775A"/>
    <w:rsid w:val="00897D53"/>
    <w:rsid w:val="008A258A"/>
    <w:rsid w:val="008A3581"/>
    <w:rsid w:val="008A711F"/>
    <w:rsid w:val="008B0EC9"/>
    <w:rsid w:val="008B1928"/>
    <w:rsid w:val="008B385A"/>
    <w:rsid w:val="008C0434"/>
    <w:rsid w:val="008C3BBC"/>
    <w:rsid w:val="008C3D30"/>
    <w:rsid w:val="008C4706"/>
    <w:rsid w:val="008C4B09"/>
    <w:rsid w:val="008C5E6F"/>
    <w:rsid w:val="008C7023"/>
    <w:rsid w:val="008D73FA"/>
    <w:rsid w:val="008E0120"/>
    <w:rsid w:val="008E2D95"/>
    <w:rsid w:val="008F1121"/>
    <w:rsid w:val="008F2486"/>
    <w:rsid w:val="008F408A"/>
    <w:rsid w:val="008F5E76"/>
    <w:rsid w:val="009024E7"/>
    <w:rsid w:val="00916D33"/>
    <w:rsid w:val="00916F64"/>
    <w:rsid w:val="009203C8"/>
    <w:rsid w:val="00920B8F"/>
    <w:rsid w:val="009210D5"/>
    <w:rsid w:val="00925125"/>
    <w:rsid w:val="00925E0F"/>
    <w:rsid w:val="00933BDD"/>
    <w:rsid w:val="009349A0"/>
    <w:rsid w:val="009367CF"/>
    <w:rsid w:val="009403B6"/>
    <w:rsid w:val="00947AB7"/>
    <w:rsid w:val="009526DE"/>
    <w:rsid w:val="009534DD"/>
    <w:rsid w:val="00961BD7"/>
    <w:rsid w:val="00961D1F"/>
    <w:rsid w:val="00966E61"/>
    <w:rsid w:val="0097544C"/>
    <w:rsid w:val="009755B1"/>
    <w:rsid w:val="00975761"/>
    <w:rsid w:val="00981412"/>
    <w:rsid w:val="00982AF7"/>
    <w:rsid w:val="009871A7"/>
    <w:rsid w:val="00991D98"/>
    <w:rsid w:val="00993BCA"/>
    <w:rsid w:val="009940FF"/>
    <w:rsid w:val="00996919"/>
    <w:rsid w:val="00996ED9"/>
    <w:rsid w:val="009A2FF2"/>
    <w:rsid w:val="009A4356"/>
    <w:rsid w:val="009A5EE6"/>
    <w:rsid w:val="009B468C"/>
    <w:rsid w:val="009B60CA"/>
    <w:rsid w:val="009B6DC3"/>
    <w:rsid w:val="009C0CC0"/>
    <w:rsid w:val="009C375E"/>
    <w:rsid w:val="009C696F"/>
    <w:rsid w:val="009C6BB4"/>
    <w:rsid w:val="009C7DFC"/>
    <w:rsid w:val="009E1C4E"/>
    <w:rsid w:val="009E3AA1"/>
    <w:rsid w:val="009E6FFA"/>
    <w:rsid w:val="009F20E5"/>
    <w:rsid w:val="009F4598"/>
    <w:rsid w:val="009F555D"/>
    <w:rsid w:val="009F7C2E"/>
    <w:rsid w:val="00A00FB5"/>
    <w:rsid w:val="00A077ED"/>
    <w:rsid w:val="00A117D6"/>
    <w:rsid w:val="00A124B7"/>
    <w:rsid w:val="00A12CAD"/>
    <w:rsid w:val="00A15210"/>
    <w:rsid w:val="00A202BB"/>
    <w:rsid w:val="00A229CF"/>
    <w:rsid w:val="00A22A75"/>
    <w:rsid w:val="00A22C28"/>
    <w:rsid w:val="00A25797"/>
    <w:rsid w:val="00A25BDD"/>
    <w:rsid w:val="00A25CDC"/>
    <w:rsid w:val="00A420D6"/>
    <w:rsid w:val="00A439AB"/>
    <w:rsid w:val="00A4559D"/>
    <w:rsid w:val="00A53566"/>
    <w:rsid w:val="00A54AEC"/>
    <w:rsid w:val="00A55F29"/>
    <w:rsid w:val="00A60A37"/>
    <w:rsid w:val="00A617AA"/>
    <w:rsid w:val="00A6319E"/>
    <w:rsid w:val="00A63FBD"/>
    <w:rsid w:val="00A64269"/>
    <w:rsid w:val="00A652D0"/>
    <w:rsid w:val="00A66CC2"/>
    <w:rsid w:val="00A72673"/>
    <w:rsid w:val="00A75730"/>
    <w:rsid w:val="00A80A34"/>
    <w:rsid w:val="00A9111D"/>
    <w:rsid w:val="00A913A3"/>
    <w:rsid w:val="00A92850"/>
    <w:rsid w:val="00A93C4B"/>
    <w:rsid w:val="00A95779"/>
    <w:rsid w:val="00A9768A"/>
    <w:rsid w:val="00AA050E"/>
    <w:rsid w:val="00AA5535"/>
    <w:rsid w:val="00AA68BE"/>
    <w:rsid w:val="00AA6A34"/>
    <w:rsid w:val="00AA78DA"/>
    <w:rsid w:val="00AA7D97"/>
    <w:rsid w:val="00AB51E2"/>
    <w:rsid w:val="00AB6622"/>
    <w:rsid w:val="00AC2DEA"/>
    <w:rsid w:val="00AC42A5"/>
    <w:rsid w:val="00AC72C9"/>
    <w:rsid w:val="00AC7EC6"/>
    <w:rsid w:val="00AD081B"/>
    <w:rsid w:val="00AE2476"/>
    <w:rsid w:val="00AE438F"/>
    <w:rsid w:val="00AE5ECB"/>
    <w:rsid w:val="00AE6855"/>
    <w:rsid w:val="00AF2A00"/>
    <w:rsid w:val="00AF306E"/>
    <w:rsid w:val="00AF5ACF"/>
    <w:rsid w:val="00AF6F9F"/>
    <w:rsid w:val="00AF7329"/>
    <w:rsid w:val="00B024E3"/>
    <w:rsid w:val="00B0267A"/>
    <w:rsid w:val="00B045E9"/>
    <w:rsid w:val="00B04E87"/>
    <w:rsid w:val="00B05E04"/>
    <w:rsid w:val="00B11DB9"/>
    <w:rsid w:val="00B1282C"/>
    <w:rsid w:val="00B12F09"/>
    <w:rsid w:val="00B13B20"/>
    <w:rsid w:val="00B15121"/>
    <w:rsid w:val="00B171C4"/>
    <w:rsid w:val="00B173B0"/>
    <w:rsid w:val="00B203AA"/>
    <w:rsid w:val="00B226E7"/>
    <w:rsid w:val="00B23D67"/>
    <w:rsid w:val="00B25A57"/>
    <w:rsid w:val="00B30F97"/>
    <w:rsid w:val="00B326DA"/>
    <w:rsid w:val="00B33257"/>
    <w:rsid w:val="00B33FEC"/>
    <w:rsid w:val="00B349EA"/>
    <w:rsid w:val="00B37770"/>
    <w:rsid w:val="00B4115C"/>
    <w:rsid w:val="00B4232E"/>
    <w:rsid w:val="00B42620"/>
    <w:rsid w:val="00B439B2"/>
    <w:rsid w:val="00B44C09"/>
    <w:rsid w:val="00B54243"/>
    <w:rsid w:val="00B543A2"/>
    <w:rsid w:val="00B54F21"/>
    <w:rsid w:val="00B5667F"/>
    <w:rsid w:val="00B571EE"/>
    <w:rsid w:val="00B61B9A"/>
    <w:rsid w:val="00B62B2A"/>
    <w:rsid w:val="00B65B63"/>
    <w:rsid w:val="00B65EE3"/>
    <w:rsid w:val="00B71767"/>
    <w:rsid w:val="00B734C4"/>
    <w:rsid w:val="00B739D2"/>
    <w:rsid w:val="00B7460B"/>
    <w:rsid w:val="00B85BFE"/>
    <w:rsid w:val="00B86557"/>
    <w:rsid w:val="00B8754E"/>
    <w:rsid w:val="00B902FA"/>
    <w:rsid w:val="00B90815"/>
    <w:rsid w:val="00B93BE9"/>
    <w:rsid w:val="00B942B8"/>
    <w:rsid w:val="00BA043E"/>
    <w:rsid w:val="00BA2CE8"/>
    <w:rsid w:val="00BB02FF"/>
    <w:rsid w:val="00BB67C1"/>
    <w:rsid w:val="00BB7617"/>
    <w:rsid w:val="00BB7CBD"/>
    <w:rsid w:val="00BC0942"/>
    <w:rsid w:val="00BC161B"/>
    <w:rsid w:val="00BC307B"/>
    <w:rsid w:val="00BC44C8"/>
    <w:rsid w:val="00BC7961"/>
    <w:rsid w:val="00BD28D3"/>
    <w:rsid w:val="00BE2853"/>
    <w:rsid w:val="00BE54B8"/>
    <w:rsid w:val="00BE7D23"/>
    <w:rsid w:val="00BF0323"/>
    <w:rsid w:val="00BF11B2"/>
    <w:rsid w:val="00BF25E8"/>
    <w:rsid w:val="00BF4992"/>
    <w:rsid w:val="00BF5253"/>
    <w:rsid w:val="00C02517"/>
    <w:rsid w:val="00C0310F"/>
    <w:rsid w:val="00C0707A"/>
    <w:rsid w:val="00C1251B"/>
    <w:rsid w:val="00C154EA"/>
    <w:rsid w:val="00C15AF3"/>
    <w:rsid w:val="00C170E3"/>
    <w:rsid w:val="00C200A7"/>
    <w:rsid w:val="00C20786"/>
    <w:rsid w:val="00C20D2C"/>
    <w:rsid w:val="00C314A7"/>
    <w:rsid w:val="00C32727"/>
    <w:rsid w:val="00C34E8C"/>
    <w:rsid w:val="00C35C0E"/>
    <w:rsid w:val="00C41ACC"/>
    <w:rsid w:val="00C45377"/>
    <w:rsid w:val="00C519CF"/>
    <w:rsid w:val="00C51E5B"/>
    <w:rsid w:val="00C51E94"/>
    <w:rsid w:val="00C525D6"/>
    <w:rsid w:val="00C52B69"/>
    <w:rsid w:val="00C542FB"/>
    <w:rsid w:val="00C5613F"/>
    <w:rsid w:val="00C65955"/>
    <w:rsid w:val="00C706DD"/>
    <w:rsid w:val="00C733A9"/>
    <w:rsid w:val="00C73C86"/>
    <w:rsid w:val="00C73EF0"/>
    <w:rsid w:val="00C77330"/>
    <w:rsid w:val="00C77379"/>
    <w:rsid w:val="00C77E9B"/>
    <w:rsid w:val="00C8010E"/>
    <w:rsid w:val="00C911A4"/>
    <w:rsid w:val="00C9687E"/>
    <w:rsid w:val="00C97BA0"/>
    <w:rsid w:val="00CA2DE8"/>
    <w:rsid w:val="00CA34FF"/>
    <w:rsid w:val="00CA42BF"/>
    <w:rsid w:val="00CA5B57"/>
    <w:rsid w:val="00CB55C8"/>
    <w:rsid w:val="00CC0823"/>
    <w:rsid w:val="00CC1DB1"/>
    <w:rsid w:val="00CC41A4"/>
    <w:rsid w:val="00CC7B9C"/>
    <w:rsid w:val="00CD0394"/>
    <w:rsid w:val="00CD2AE8"/>
    <w:rsid w:val="00CD6300"/>
    <w:rsid w:val="00CD6C1F"/>
    <w:rsid w:val="00CE02ED"/>
    <w:rsid w:val="00CE0BFE"/>
    <w:rsid w:val="00CE483B"/>
    <w:rsid w:val="00CE5988"/>
    <w:rsid w:val="00CE5D0E"/>
    <w:rsid w:val="00CF1944"/>
    <w:rsid w:val="00CF2C0F"/>
    <w:rsid w:val="00CF4458"/>
    <w:rsid w:val="00CF7589"/>
    <w:rsid w:val="00D117EC"/>
    <w:rsid w:val="00D14ACD"/>
    <w:rsid w:val="00D1622C"/>
    <w:rsid w:val="00D1671F"/>
    <w:rsid w:val="00D215D2"/>
    <w:rsid w:val="00D322F0"/>
    <w:rsid w:val="00D323DF"/>
    <w:rsid w:val="00D32555"/>
    <w:rsid w:val="00D335DD"/>
    <w:rsid w:val="00D34DEE"/>
    <w:rsid w:val="00D36B3B"/>
    <w:rsid w:val="00D37EB0"/>
    <w:rsid w:val="00D4569E"/>
    <w:rsid w:val="00D47395"/>
    <w:rsid w:val="00D479A6"/>
    <w:rsid w:val="00D517FC"/>
    <w:rsid w:val="00D54AFC"/>
    <w:rsid w:val="00D55089"/>
    <w:rsid w:val="00D55B8F"/>
    <w:rsid w:val="00D634AD"/>
    <w:rsid w:val="00D65727"/>
    <w:rsid w:val="00D7308D"/>
    <w:rsid w:val="00D73FDE"/>
    <w:rsid w:val="00D76C18"/>
    <w:rsid w:val="00D825AB"/>
    <w:rsid w:val="00D836E2"/>
    <w:rsid w:val="00D8463F"/>
    <w:rsid w:val="00D87115"/>
    <w:rsid w:val="00D90486"/>
    <w:rsid w:val="00D90844"/>
    <w:rsid w:val="00D92658"/>
    <w:rsid w:val="00D97A3C"/>
    <w:rsid w:val="00DA0BAC"/>
    <w:rsid w:val="00DA2E96"/>
    <w:rsid w:val="00DA4EBF"/>
    <w:rsid w:val="00DB5909"/>
    <w:rsid w:val="00DC0267"/>
    <w:rsid w:val="00DC4AC0"/>
    <w:rsid w:val="00DD0C34"/>
    <w:rsid w:val="00DD24C6"/>
    <w:rsid w:val="00DD5F34"/>
    <w:rsid w:val="00DD6796"/>
    <w:rsid w:val="00DE0BC1"/>
    <w:rsid w:val="00DE6E7D"/>
    <w:rsid w:val="00DE7F61"/>
    <w:rsid w:val="00DF7FF2"/>
    <w:rsid w:val="00E01799"/>
    <w:rsid w:val="00E0381D"/>
    <w:rsid w:val="00E0582F"/>
    <w:rsid w:val="00E05DD3"/>
    <w:rsid w:val="00E06BC6"/>
    <w:rsid w:val="00E07461"/>
    <w:rsid w:val="00E122BD"/>
    <w:rsid w:val="00E1245E"/>
    <w:rsid w:val="00E1450F"/>
    <w:rsid w:val="00E16A24"/>
    <w:rsid w:val="00E254A5"/>
    <w:rsid w:val="00E315D9"/>
    <w:rsid w:val="00E3481D"/>
    <w:rsid w:val="00E3550E"/>
    <w:rsid w:val="00E40A79"/>
    <w:rsid w:val="00E40CC8"/>
    <w:rsid w:val="00E418F1"/>
    <w:rsid w:val="00E44363"/>
    <w:rsid w:val="00E45570"/>
    <w:rsid w:val="00E45AFB"/>
    <w:rsid w:val="00E4693C"/>
    <w:rsid w:val="00E46F60"/>
    <w:rsid w:val="00E47038"/>
    <w:rsid w:val="00E470D6"/>
    <w:rsid w:val="00E50589"/>
    <w:rsid w:val="00E534C4"/>
    <w:rsid w:val="00E53F1A"/>
    <w:rsid w:val="00E601DC"/>
    <w:rsid w:val="00E61B5F"/>
    <w:rsid w:val="00E62031"/>
    <w:rsid w:val="00E62A0F"/>
    <w:rsid w:val="00E642AB"/>
    <w:rsid w:val="00E643A4"/>
    <w:rsid w:val="00E65AD1"/>
    <w:rsid w:val="00E673E0"/>
    <w:rsid w:val="00E71FE6"/>
    <w:rsid w:val="00E73107"/>
    <w:rsid w:val="00E76087"/>
    <w:rsid w:val="00E77F84"/>
    <w:rsid w:val="00E871A4"/>
    <w:rsid w:val="00E90F54"/>
    <w:rsid w:val="00E91000"/>
    <w:rsid w:val="00E920B9"/>
    <w:rsid w:val="00E92B60"/>
    <w:rsid w:val="00E93BBE"/>
    <w:rsid w:val="00E962C4"/>
    <w:rsid w:val="00E97AE5"/>
    <w:rsid w:val="00E97D81"/>
    <w:rsid w:val="00EA764B"/>
    <w:rsid w:val="00EB1A91"/>
    <w:rsid w:val="00EB3B7D"/>
    <w:rsid w:val="00EB49B1"/>
    <w:rsid w:val="00EB6566"/>
    <w:rsid w:val="00EB7A83"/>
    <w:rsid w:val="00EC21D9"/>
    <w:rsid w:val="00EC37CA"/>
    <w:rsid w:val="00EC66DF"/>
    <w:rsid w:val="00EC7608"/>
    <w:rsid w:val="00ED0E1A"/>
    <w:rsid w:val="00ED32E7"/>
    <w:rsid w:val="00ED74B7"/>
    <w:rsid w:val="00EE0C57"/>
    <w:rsid w:val="00EE4AA7"/>
    <w:rsid w:val="00EF04F4"/>
    <w:rsid w:val="00EF2EA1"/>
    <w:rsid w:val="00EF576A"/>
    <w:rsid w:val="00EF5F25"/>
    <w:rsid w:val="00EF7157"/>
    <w:rsid w:val="00F06041"/>
    <w:rsid w:val="00F12217"/>
    <w:rsid w:val="00F15503"/>
    <w:rsid w:val="00F216FB"/>
    <w:rsid w:val="00F230CA"/>
    <w:rsid w:val="00F232F3"/>
    <w:rsid w:val="00F252D2"/>
    <w:rsid w:val="00F3384C"/>
    <w:rsid w:val="00F34F28"/>
    <w:rsid w:val="00F36B7F"/>
    <w:rsid w:val="00F466FB"/>
    <w:rsid w:val="00F46E63"/>
    <w:rsid w:val="00F50023"/>
    <w:rsid w:val="00F51F6F"/>
    <w:rsid w:val="00F52814"/>
    <w:rsid w:val="00F52C6E"/>
    <w:rsid w:val="00F542F2"/>
    <w:rsid w:val="00F54A13"/>
    <w:rsid w:val="00F6039A"/>
    <w:rsid w:val="00F64C7A"/>
    <w:rsid w:val="00F67A9E"/>
    <w:rsid w:val="00F72249"/>
    <w:rsid w:val="00F73BE1"/>
    <w:rsid w:val="00F75CFF"/>
    <w:rsid w:val="00F83191"/>
    <w:rsid w:val="00F865B1"/>
    <w:rsid w:val="00F94715"/>
    <w:rsid w:val="00F9661E"/>
    <w:rsid w:val="00FA05B0"/>
    <w:rsid w:val="00FA73A4"/>
    <w:rsid w:val="00FA7652"/>
    <w:rsid w:val="00FB13A0"/>
    <w:rsid w:val="00FB23CE"/>
    <w:rsid w:val="00FB318F"/>
    <w:rsid w:val="00FB46DA"/>
    <w:rsid w:val="00FB511A"/>
    <w:rsid w:val="00FB5194"/>
    <w:rsid w:val="00FC115F"/>
    <w:rsid w:val="00FC2DA9"/>
    <w:rsid w:val="00FC3B2E"/>
    <w:rsid w:val="00FD06B9"/>
    <w:rsid w:val="00FD35E6"/>
    <w:rsid w:val="00FE14EB"/>
    <w:rsid w:val="00FE4FBF"/>
    <w:rsid w:val="00FE656A"/>
    <w:rsid w:val="00FE792D"/>
    <w:rsid w:val="00FF0BB7"/>
    <w:rsid w:val="00FF622F"/>
    <w:rsid w:val="00FF7CE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B212A2"/>
  <w15:docId w15:val="{75F974B3-DDC0-4AB3-AF26-C748578E6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E96"/>
    <w:pPr>
      <w:bidi/>
      <w:spacing w:after="160" w:line="259" w:lineRule="auto"/>
    </w:pPr>
  </w:style>
  <w:style w:type="paragraph" w:styleId="Heading2">
    <w:name w:val="heading 2"/>
    <w:basedOn w:val="Normal"/>
    <w:next w:val="Normal"/>
    <w:link w:val="Heading2Char"/>
    <w:uiPriority w:val="9"/>
    <w:semiHidden/>
    <w:unhideWhenUsed/>
    <w:qFormat/>
    <w:rsid w:val="00DA2E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A2E9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F1B7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A2E96"/>
    <w:rPr>
      <w:sz w:val="16"/>
      <w:szCs w:val="16"/>
    </w:rPr>
  </w:style>
  <w:style w:type="paragraph" w:styleId="CommentText">
    <w:name w:val="annotation text"/>
    <w:basedOn w:val="Normal"/>
    <w:link w:val="CommentTextChar"/>
    <w:uiPriority w:val="99"/>
    <w:semiHidden/>
    <w:unhideWhenUsed/>
    <w:rsid w:val="00DA2E96"/>
    <w:pPr>
      <w:spacing w:line="240" w:lineRule="auto"/>
    </w:pPr>
    <w:rPr>
      <w:sz w:val="20"/>
      <w:szCs w:val="20"/>
    </w:rPr>
  </w:style>
  <w:style w:type="character" w:customStyle="1" w:styleId="CommentTextChar">
    <w:name w:val="Comment Text Char"/>
    <w:basedOn w:val="DefaultParagraphFont"/>
    <w:link w:val="CommentText"/>
    <w:uiPriority w:val="99"/>
    <w:semiHidden/>
    <w:rsid w:val="00DA2E96"/>
    <w:rPr>
      <w:sz w:val="20"/>
      <w:szCs w:val="20"/>
    </w:rPr>
  </w:style>
  <w:style w:type="paragraph" w:styleId="BalloonText">
    <w:name w:val="Balloon Text"/>
    <w:basedOn w:val="Normal"/>
    <w:link w:val="BalloonTextChar"/>
    <w:uiPriority w:val="99"/>
    <w:semiHidden/>
    <w:unhideWhenUsed/>
    <w:rsid w:val="00DA2E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E96"/>
    <w:rPr>
      <w:rFonts w:ascii="Tahoma" w:hAnsi="Tahoma" w:cs="Tahoma"/>
      <w:sz w:val="16"/>
      <w:szCs w:val="16"/>
    </w:rPr>
  </w:style>
  <w:style w:type="paragraph" w:styleId="FootnoteText">
    <w:name w:val="footnote text"/>
    <w:aliases w:val="Char Char,پاورقي,متن زيرنويس,Footnote Text Char Char Char,Footnote Text Char Char Char Char,Footnote Text Char Char,Char,پاورقي Char Char,Char6, Char Char,Char Char Char Char,Footnote Text Char Char Char Char Char Char,Footnote Text2"/>
    <w:basedOn w:val="Normal"/>
    <w:link w:val="FootnoteTextChar"/>
    <w:uiPriority w:val="99"/>
    <w:unhideWhenUsed/>
    <w:qFormat/>
    <w:rsid w:val="00DA2E96"/>
    <w:pPr>
      <w:bidi w:val="0"/>
      <w:spacing w:after="0" w:line="240" w:lineRule="auto"/>
    </w:pPr>
    <w:rPr>
      <w:rFonts w:eastAsiaTheme="minorEastAsia" w:cs="Times New Roman"/>
      <w:sz w:val="20"/>
      <w:szCs w:val="20"/>
      <w:lang w:bidi="ar-SA"/>
    </w:rPr>
  </w:style>
  <w:style w:type="character" w:customStyle="1" w:styleId="FootnoteTextChar">
    <w:name w:val="Footnote Text Char"/>
    <w:aliases w:val="Char Char Char,پاورقي Char,متن زيرنويس Char,Footnote Text Char Char Char Char1,Footnote Text Char Char Char Char Char,Footnote Text Char Char Char1,Char Char1,پاورقي Char Char Char,Char6 Char, Char Char Char,Char Char Char Char Char"/>
    <w:basedOn w:val="DefaultParagraphFont"/>
    <w:link w:val="FootnoteText"/>
    <w:uiPriority w:val="99"/>
    <w:rsid w:val="00DA2E96"/>
    <w:rPr>
      <w:rFonts w:eastAsiaTheme="minorEastAsia" w:cs="Times New Roman"/>
      <w:sz w:val="20"/>
      <w:szCs w:val="20"/>
      <w:lang w:bidi="ar-SA"/>
    </w:rPr>
  </w:style>
  <w:style w:type="character" w:styleId="FootnoteReference">
    <w:name w:val="footnote reference"/>
    <w:basedOn w:val="DefaultParagraphFont"/>
    <w:uiPriority w:val="99"/>
    <w:semiHidden/>
    <w:unhideWhenUsed/>
    <w:rsid w:val="00DA2E96"/>
    <w:rPr>
      <w:vertAlign w:val="superscript"/>
    </w:rPr>
  </w:style>
  <w:style w:type="character" w:customStyle="1" w:styleId="Heading2Char">
    <w:name w:val="Heading 2 Char"/>
    <w:basedOn w:val="DefaultParagraphFont"/>
    <w:link w:val="Heading2"/>
    <w:uiPriority w:val="9"/>
    <w:semiHidden/>
    <w:rsid w:val="00DA2E9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A2E96"/>
    <w:rPr>
      <w:rFonts w:asciiTheme="majorHAnsi" w:eastAsiaTheme="majorEastAsia" w:hAnsiTheme="majorHAnsi" w:cstheme="majorBidi"/>
      <w:b/>
      <w:bCs/>
      <w:color w:val="4F81BD" w:themeColor="accent1"/>
    </w:rPr>
  </w:style>
  <w:style w:type="table" w:styleId="MediumList2-Accent1">
    <w:name w:val="Medium List 2 Accent 1"/>
    <w:basedOn w:val="TableNormal"/>
    <w:uiPriority w:val="66"/>
    <w:rsid w:val="00DA2E96"/>
    <w:pPr>
      <w:spacing w:after="0" w:line="240" w:lineRule="auto"/>
    </w:pPr>
    <w:rPr>
      <w:rFonts w:asciiTheme="majorHAnsi" w:eastAsiaTheme="majorEastAsia" w:hAnsiTheme="majorHAnsi" w:cstheme="majorBidi"/>
      <w:color w:val="000000" w:themeColor="text1"/>
      <w:lang w:bidi="ar-S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DecimalAligned">
    <w:name w:val="Decimal Aligned"/>
    <w:basedOn w:val="Normal"/>
    <w:uiPriority w:val="40"/>
    <w:qFormat/>
    <w:rsid w:val="00DA2E96"/>
    <w:pPr>
      <w:tabs>
        <w:tab w:val="decimal" w:pos="360"/>
      </w:tabs>
      <w:bidi w:val="0"/>
      <w:spacing w:after="200" w:line="276" w:lineRule="auto"/>
    </w:pPr>
    <w:rPr>
      <w:rFonts w:eastAsiaTheme="minorEastAsia" w:cs="Times New Roman"/>
      <w:lang w:bidi="ar-SA"/>
    </w:rPr>
  </w:style>
  <w:style w:type="character" w:styleId="SubtleEmphasis">
    <w:name w:val="Subtle Emphasis"/>
    <w:basedOn w:val="DefaultParagraphFont"/>
    <w:uiPriority w:val="19"/>
    <w:qFormat/>
    <w:rsid w:val="00DA2E96"/>
    <w:rPr>
      <w:i/>
      <w:iCs/>
    </w:rPr>
  </w:style>
  <w:style w:type="table" w:styleId="MediumShading2-Accent5">
    <w:name w:val="Medium Shading 2 Accent 5"/>
    <w:basedOn w:val="TableNormal"/>
    <w:uiPriority w:val="64"/>
    <w:rsid w:val="00DA2E96"/>
    <w:pPr>
      <w:spacing w:after="0" w:line="240" w:lineRule="auto"/>
    </w:pPr>
    <w:rPr>
      <w:rFonts w:eastAsiaTheme="minorEastAsia"/>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Grid">
    <w:name w:val="Table Grid"/>
    <w:basedOn w:val="TableNormal"/>
    <w:uiPriority w:val="39"/>
    <w:rsid w:val="00DA2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TableNormal"/>
    <w:uiPriority w:val="47"/>
    <w:rsid w:val="00DA2E9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1">
    <w:name w:val="Grid Table 1 Light1"/>
    <w:basedOn w:val="TableNormal"/>
    <w:uiPriority w:val="46"/>
    <w:rsid w:val="00DA2E9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5Dark-Accent31">
    <w:name w:val="Grid Table 5 Dark - Accent 31"/>
    <w:basedOn w:val="TableNormal"/>
    <w:uiPriority w:val="50"/>
    <w:rsid w:val="00DA2E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6Colorful-Accent51">
    <w:name w:val="Grid Table 6 Colorful - Accent 51"/>
    <w:basedOn w:val="TableNormal"/>
    <w:uiPriority w:val="51"/>
    <w:rsid w:val="00DA2E96"/>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5Dark-Accent11">
    <w:name w:val="Grid Table 5 Dark - Accent 11"/>
    <w:basedOn w:val="TableNormal"/>
    <w:uiPriority w:val="50"/>
    <w:rsid w:val="00DA2E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ListParagraph">
    <w:name w:val="List Paragraph"/>
    <w:basedOn w:val="Normal"/>
    <w:uiPriority w:val="34"/>
    <w:qFormat/>
    <w:rsid w:val="00DA2E96"/>
    <w:pPr>
      <w:ind w:left="720"/>
      <w:contextualSpacing/>
    </w:pPr>
  </w:style>
  <w:style w:type="paragraph" w:styleId="NoSpacing">
    <w:name w:val="No Spacing"/>
    <w:link w:val="NoSpacingChar"/>
    <w:uiPriority w:val="1"/>
    <w:qFormat/>
    <w:rsid w:val="00DA2E96"/>
    <w:pPr>
      <w:spacing w:after="0" w:line="240" w:lineRule="auto"/>
    </w:pPr>
    <w:rPr>
      <w:rFonts w:eastAsiaTheme="minorEastAsia"/>
      <w:lang w:bidi="ar-SA"/>
    </w:rPr>
  </w:style>
  <w:style w:type="character" w:customStyle="1" w:styleId="NoSpacingChar">
    <w:name w:val="No Spacing Char"/>
    <w:basedOn w:val="DefaultParagraphFont"/>
    <w:link w:val="NoSpacing"/>
    <w:uiPriority w:val="1"/>
    <w:rsid w:val="00DA2E96"/>
    <w:rPr>
      <w:rFonts w:eastAsiaTheme="minorEastAsia"/>
      <w:lang w:bidi="ar-SA"/>
    </w:rPr>
  </w:style>
  <w:style w:type="paragraph" w:styleId="CommentSubject">
    <w:name w:val="annotation subject"/>
    <w:basedOn w:val="CommentText"/>
    <w:next w:val="CommentText"/>
    <w:link w:val="CommentSubjectChar"/>
    <w:uiPriority w:val="99"/>
    <w:semiHidden/>
    <w:unhideWhenUsed/>
    <w:rsid w:val="00DA2E96"/>
    <w:rPr>
      <w:b/>
      <w:bCs/>
    </w:rPr>
  </w:style>
  <w:style w:type="character" w:customStyle="1" w:styleId="CommentSubjectChar">
    <w:name w:val="Comment Subject Char"/>
    <w:basedOn w:val="CommentTextChar"/>
    <w:link w:val="CommentSubject"/>
    <w:uiPriority w:val="99"/>
    <w:semiHidden/>
    <w:rsid w:val="00DA2E96"/>
    <w:rPr>
      <w:b/>
      <w:bCs/>
      <w:sz w:val="20"/>
      <w:szCs w:val="20"/>
    </w:rPr>
  </w:style>
  <w:style w:type="paragraph" w:styleId="EndnoteText">
    <w:name w:val="endnote text"/>
    <w:basedOn w:val="Normal"/>
    <w:link w:val="EndnoteTextChar"/>
    <w:uiPriority w:val="99"/>
    <w:semiHidden/>
    <w:unhideWhenUsed/>
    <w:rsid w:val="00DA2E9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A2E96"/>
    <w:rPr>
      <w:sz w:val="20"/>
      <w:szCs w:val="20"/>
    </w:rPr>
  </w:style>
  <w:style w:type="character" w:styleId="EndnoteReference">
    <w:name w:val="endnote reference"/>
    <w:basedOn w:val="DefaultParagraphFont"/>
    <w:uiPriority w:val="99"/>
    <w:semiHidden/>
    <w:unhideWhenUsed/>
    <w:rsid w:val="00DA2E96"/>
    <w:rPr>
      <w:vertAlign w:val="superscript"/>
    </w:rPr>
  </w:style>
  <w:style w:type="table" w:styleId="LightShading-Accent1">
    <w:name w:val="Light Shading Accent 1"/>
    <w:basedOn w:val="TableNormal"/>
    <w:uiPriority w:val="60"/>
    <w:rsid w:val="009210D5"/>
    <w:pPr>
      <w:spacing w:after="0" w:line="240" w:lineRule="auto"/>
    </w:pPr>
    <w:rPr>
      <w:rFonts w:eastAsiaTheme="minorEastAsia"/>
      <w:color w:val="365F91" w:themeColor="accent1" w:themeShade="BF"/>
      <w:lang w:eastAsia="ja-JP" w:bidi="ar-SA"/>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Hyperlink">
    <w:name w:val="Hyperlink"/>
    <w:basedOn w:val="DefaultParagraphFont"/>
    <w:uiPriority w:val="99"/>
    <w:unhideWhenUsed/>
    <w:rsid w:val="00B44C09"/>
    <w:rPr>
      <w:color w:val="0000FF"/>
      <w:u w:val="single"/>
    </w:rPr>
  </w:style>
  <w:style w:type="paragraph" w:styleId="Revision">
    <w:name w:val="Revision"/>
    <w:hidden/>
    <w:uiPriority w:val="99"/>
    <w:semiHidden/>
    <w:rsid w:val="00142681"/>
    <w:pPr>
      <w:spacing w:after="0" w:line="240" w:lineRule="auto"/>
    </w:pPr>
  </w:style>
  <w:style w:type="paragraph" w:styleId="NormalWeb">
    <w:name w:val="Normal (Web)"/>
    <w:basedOn w:val="Normal"/>
    <w:uiPriority w:val="99"/>
    <w:unhideWhenUsed/>
    <w:rsid w:val="00FF622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atex-mathml">
    <w:name w:val="katex-mathml"/>
    <w:basedOn w:val="DefaultParagraphFont"/>
    <w:rsid w:val="00FF622F"/>
  </w:style>
  <w:style w:type="character" w:customStyle="1" w:styleId="mord">
    <w:name w:val="mord"/>
    <w:basedOn w:val="DefaultParagraphFont"/>
    <w:rsid w:val="00FF622F"/>
  </w:style>
  <w:style w:type="character" w:customStyle="1" w:styleId="mrel">
    <w:name w:val="mrel"/>
    <w:basedOn w:val="DefaultParagraphFont"/>
    <w:rsid w:val="00FF622F"/>
  </w:style>
  <w:style w:type="character" w:customStyle="1" w:styleId="vlist-s">
    <w:name w:val="vlist-s"/>
    <w:basedOn w:val="DefaultParagraphFont"/>
    <w:rsid w:val="00CD6300"/>
  </w:style>
  <w:style w:type="character" w:customStyle="1" w:styleId="mopen">
    <w:name w:val="mopen"/>
    <w:basedOn w:val="DefaultParagraphFont"/>
    <w:rsid w:val="00FE792D"/>
  </w:style>
  <w:style w:type="character" w:customStyle="1" w:styleId="mpunct">
    <w:name w:val="mpunct"/>
    <w:basedOn w:val="DefaultParagraphFont"/>
    <w:rsid w:val="00FE792D"/>
  </w:style>
  <w:style w:type="character" w:customStyle="1" w:styleId="mclose">
    <w:name w:val="mclose"/>
    <w:basedOn w:val="DefaultParagraphFont"/>
    <w:rsid w:val="00FE792D"/>
  </w:style>
  <w:style w:type="character" w:customStyle="1" w:styleId="mbin">
    <w:name w:val="mbin"/>
    <w:basedOn w:val="DefaultParagraphFont"/>
    <w:rsid w:val="00FE792D"/>
  </w:style>
  <w:style w:type="character" w:customStyle="1" w:styleId="Heading4Char">
    <w:name w:val="Heading 4 Char"/>
    <w:basedOn w:val="DefaultParagraphFont"/>
    <w:link w:val="Heading4"/>
    <w:uiPriority w:val="9"/>
    <w:semiHidden/>
    <w:rsid w:val="001F1B7A"/>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8C0434"/>
    <w:rPr>
      <w:b/>
      <w:bCs/>
    </w:rPr>
  </w:style>
  <w:style w:type="table" w:customStyle="1" w:styleId="GridTable6Colorful1">
    <w:name w:val="Grid Table 6 Colorful1"/>
    <w:basedOn w:val="TableNormal"/>
    <w:next w:val="GridTable6Colorful"/>
    <w:uiPriority w:val="51"/>
    <w:rsid w:val="008C0434"/>
    <w:pPr>
      <w:bidi/>
      <w:spacing w:before="100" w:beforeAutospacing="1" w:after="0" w:afterAutospacing="1" w:line="240" w:lineRule="auto"/>
      <w:jc w:val="both"/>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
    <w:name w:val="Grid Table 6 Colorful"/>
    <w:basedOn w:val="TableNormal"/>
    <w:uiPriority w:val="51"/>
    <w:rsid w:val="008C04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mphasis">
    <w:name w:val="Emphasis"/>
    <w:basedOn w:val="DefaultParagraphFont"/>
    <w:uiPriority w:val="20"/>
    <w:qFormat/>
    <w:rsid w:val="00840AF7"/>
    <w:rPr>
      <w:i/>
      <w:iCs/>
    </w:rPr>
  </w:style>
  <w:style w:type="character" w:styleId="UnresolvedMention">
    <w:name w:val="Unresolved Mention"/>
    <w:basedOn w:val="DefaultParagraphFont"/>
    <w:uiPriority w:val="99"/>
    <w:semiHidden/>
    <w:unhideWhenUsed/>
    <w:rsid w:val="00BB7C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7544">
      <w:bodyDiv w:val="1"/>
      <w:marLeft w:val="0"/>
      <w:marRight w:val="0"/>
      <w:marTop w:val="0"/>
      <w:marBottom w:val="0"/>
      <w:divBdr>
        <w:top w:val="none" w:sz="0" w:space="0" w:color="auto"/>
        <w:left w:val="none" w:sz="0" w:space="0" w:color="auto"/>
        <w:bottom w:val="none" w:sz="0" w:space="0" w:color="auto"/>
        <w:right w:val="none" w:sz="0" w:space="0" w:color="auto"/>
      </w:divBdr>
    </w:div>
    <w:div w:id="208880637">
      <w:bodyDiv w:val="1"/>
      <w:marLeft w:val="0"/>
      <w:marRight w:val="0"/>
      <w:marTop w:val="0"/>
      <w:marBottom w:val="0"/>
      <w:divBdr>
        <w:top w:val="none" w:sz="0" w:space="0" w:color="auto"/>
        <w:left w:val="none" w:sz="0" w:space="0" w:color="auto"/>
        <w:bottom w:val="none" w:sz="0" w:space="0" w:color="auto"/>
        <w:right w:val="none" w:sz="0" w:space="0" w:color="auto"/>
      </w:divBdr>
      <w:divsChild>
        <w:div w:id="1271090469">
          <w:marLeft w:val="0"/>
          <w:marRight w:val="0"/>
          <w:marTop w:val="0"/>
          <w:marBottom w:val="60"/>
          <w:divBdr>
            <w:top w:val="none" w:sz="0" w:space="0" w:color="auto"/>
            <w:left w:val="none" w:sz="0" w:space="0" w:color="auto"/>
            <w:bottom w:val="none" w:sz="0" w:space="0" w:color="auto"/>
            <w:right w:val="none" w:sz="0" w:space="0" w:color="auto"/>
          </w:divBdr>
          <w:divsChild>
            <w:div w:id="1754472269">
              <w:marLeft w:val="0"/>
              <w:marRight w:val="0"/>
              <w:marTop w:val="0"/>
              <w:marBottom w:val="0"/>
              <w:divBdr>
                <w:top w:val="none" w:sz="0" w:space="0" w:color="auto"/>
                <w:left w:val="none" w:sz="0" w:space="0" w:color="auto"/>
                <w:bottom w:val="none" w:sz="0" w:space="0" w:color="auto"/>
                <w:right w:val="none" w:sz="0" w:space="0" w:color="auto"/>
              </w:divBdr>
            </w:div>
          </w:divsChild>
        </w:div>
        <w:div w:id="733043221">
          <w:marLeft w:val="0"/>
          <w:marRight w:val="0"/>
          <w:marTop w:val="0"/>
          <w:marBottom w:val="0"/>
          <w:divBdr>
            <w:top w:val="none" w:sz="0" w:space="0" w:color="auto"/>
            <w:left w:val="none" w:sz="0" w:space="0" w:color="auto"/>
            <w:bottom w:val="none" w:sz="0" w:space="0" w:color="auto"/>
            <w:right w:val="none" w:sz="0" w:space="0" w:color="auto"/>
          </w:divBdr>
        </w:div>
      </w:divsChild>
    </w:div>
    <w:div w:id="234124536">
      <w:bodyDiv w:val="1"/>
      <w:marLeft w:val="0"/>
      <w:marRight w:val="0"/>
      <w:marTop w:val="0"/>
      <w:marBottom w:val="0"/>
      <w:divBdr>
        <w:top w:val="none" w:sz="0" w:space="0" w:color="auto"/>
        <w:left w:val="none" w:sz="0" w:space="0" w:color="auto"/>
        <w:bottom w:val="none" w:sz="0" w:space="0" w:color="auto"/>
        <w:right w:val="none" w:sz="0" w:space="0" w:color="auto"/>
      </w:divBdr>
    </w:div>
    <w:div w:id="468278973">
      <w:bodyDiv w:val="1"/>
      <w:marLeft w:val="0"/>
      <w:marRight w:val="0"/>
      <w:marTop w:val="0"/>
      <w:marBottom w:val="0"/>
      <w:divBdr>
        <w:top w:val="none" w:sz="0" w:space="0" w:color="auto"/>
        <w:left w:val="none" w:sz="0" w:space="0" w:color="auto"/>
        <w:bottom w:val="none" w:sz="0" w:space="0" w:color="auto"/>
        <w:right w:val="none" w:sz="0" w:space="0" w:color="auto"/>
      </w:divBdr>
    </w:div>
    <w:div w:id="775519891">
      <w:bodyDiv w:val="1"/>
      <w:marLeft w:val="0"/>
      <w:marRight w:val="0"/>
      <w:marTop w:val="0"/>
      <w:marBottom w:val="0"/>
      <w:divBdr>
        <w:top w:val="none" w:sz="0" w:space="0" w:color="auto"/>
        <w:left w:val="none" w:sz="0" w:space="0" w:color="auto"/>
        <w:bottom w:val="none" w:sz="0" w:space="0" w:color="auto"/>
        <w:right w:val="none" w:sz="0" w:space="0" w:color="auto"/>
      </w:divBdr>
    </w:div>
    <w:div w:id="846484543">
      <w:bodyDiv w:val="1"/>
      <w:marLeft w:val="0"/>
      <w:marRight w:val="0"/>
      <w:marTop w:val="0"/>
      <w:marBottom w:val="0"/>
      <w:divBdr>
        <w:top w:val="none" w:sz="0" w:space="0" w:color="auto"/>
        <w:left w:val="none" w:sz="0" w:space="0" w:color="auto"/>
        <w:bottom w:val="none" w:sz="0" w:space="0" w:color="auto"/>
        <w:right w:val="none" w:sz="0" w:space="0" w:color="auto"/>
      </w:divBdr>
    </w:div>
    <w:div w:id="848181320">
      <w:bodyDiv w:val="1"/>
      <w:marLeft w:val="0"/>
      <w:marRight w:val="0"/>
      <w:marTop w:val="0"/>
      <w:marBottom w:val="0"/>
      <w:divBdr>
        <w:top w:val="none" w:sz="0" w:space="0" w:color="auto"/>
        <w:left w:val="none" w:sz="0" w:space="0" w:color="auto"/>
        <w:bottom w:val="none" w:sz="0" w:space="0" w:color="auto"/>
        <w:right w:val="none" w:sz="0" w:space="0" w:color="auto"/>
      </w:divBdr>
      <w:divsChild>
        <w:div w:id="400367629">
          <w:marLeft w:val="0"/>
          <w:marRight w:val="0"/>
          <w:marTop w:val="100"/>
          <w:marBottom w:val="100"/>
          <w:divBdr>
            <w:top w:val="none" w:sz="0" w:space="0" w:color="auto"/>
            <w:left w:val="none" w:sz="0" w:space="0" w:color="auto"/>
            <w:bottom w:val="none" w:sz="0" w:space="0" w:color="auto"/>
            <w:right w:val="none" w:sz="0" w:space="0" w:color="auto"/>
          </w:divBdr>
          <w:divsChild>
            <w:div w:id="450785492">
              <w:marLeft w:val="0"/>
              <w:marRight w:val="0"/>
              <w:marTop w:val="0"/>
              <w:marBottom w:val="0"/>
              <w:divBdr>
                <w:top w:val="none" w:sz="0" w:space="0" w:color="auto"/>
                <w:left w:val="none" w:sz="0" w:space="0" w:color="auto"/>
                <w:bottom w:val="none" w:sz="0" w:space="0" w:color="auto"/>
                <w:right w:val="none" w:sz="0" w:space="0" w:color="auto"/>
              </w:divBdr>
              <w:divsChild>
                <w:div w:id="799609908">
                  <w:marLeft w:val="0"/>
                  <w:marRight w:val="0"/>
                  <w:marTop w:val="0"/>
                  <w:marBottom w:val="0"/>
                  <w:divBdr>
                    <w:top w:val="none" w:sz="0" w:space="0" w:color="auto"/>
                    <w:left w:val="none" w:sz="0" w:space="0" w:color="auto"/>
                    <w:bottom w:val="none" w:sz="0" w:space="0" w:color="auto"/>
                    <w:right w:val="none" w:sz="0" w:space="0" w:color="auto"/>
                  </w:divBdr>
                  <w:divsChild>
                    <w:div w:id="1781224415">
                      <w:marLeft w:val="0"/>
                      <w:marRight w:val="0"/>
                      <w:marTop w:val="0"/>
                      <w:marBottom w:val="0"/>
                      <w:divBdr>
                        <w:top w:val="none" w:sz="0" w:space="0" w:color="auto"/>
                        <w:left w:val="none" w:sz="0" w:space="0" w:color="auto"/>
                        <w:bottom w:val="none" w:sz="0" w:space="0" w:color="auto"/>
                        <w:right w:val="none" w:sz="0" w:space="0" w:color="auto"/>
                      </w:divBdr>
                      <w:divsChild>
                        <w:div w:id="1067268790">
                          <w:marLeft w:val="0"/>
                          <w:marRight w:val="0"/>
                          <w:marTop w:val="0"/>
                          <w:marBottom w:val="0"/>
                          <w:divBdr>
                            <w:top w:val="none" w:sz="0" w:space="0" w:color="auto"/>
                            <w:left w:val="none" w:sz="0" w:space="0" w:color="auto"/>
                            <w:bottom w:val="none" w:sz="0" w:space="0" w:color="auto"/>
                            <w:right w:val="none" w:sz="0" w:space="0" w:color="auto"/>
                          </w:divBdr>
                          <w:divsChild>
                            <w:div w:id="943265358">
                              <w:marLeft w:val="0"/>
                              <w:marRight w:val="0"/>
                              <w:marTop w:val="0"/>
                              <w:marBottom w:val="0"/>
                              <w:divBdr>
                                <w:top w:val="none" w:sz="0" w:space="0" w:color="auto"/>
                                <w:left w:val="none" w:sz="0" w:space="0" w:color="auto"/>
                                <w:bottom w:val="none" w:sz="0" w:space="0" w:color="auto"/>
                                <w:right w:val="none" w:sz="0" w:space="0" w:color="auto"/>
                              </w:divBdr>
                              <w:divsChild>
                                <w:div w:id="1950577710">
                                  <w:marLeft w:val="0"/>
                                  <w:marRight w:val="0"/>
                                  <w:marTop w:val="0"/>
                                  <w:marBottom w:val="0"/>
                                  <w:divBdr>
                                    <w:top w:val="none" w:sz="0" w:space="0" w:color="auto"/>
                                    <w:left w:val="none" w:sz="0" w:space="0" w:color="auto"/>
                                    <w:bottom w:val="none" w:sz="0" w:space="0" w:color="auto"/>
                                    <w:right w:val="none" w:sz="0" w:space="0" w:color="auto"/>
                                  </w:divBdr>
                                  <w:divsChild>
                                    <w:div w:id="168239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7395987">
      <w:bodyDiv w:val="1"/>
      <w:marLeft w:val="0"/>
      <w:marRight w:val="0"/>
      <w:marTop w:val="0"/>
      <w:marBottom w:val="0"/>
      <w:divBdr>
        <w:top w:val="none" w:sz="0" w:space="0" w:color="auto"/>
        <w:left w:val="none" w:sz="0" w:space="0" w:color="auto"/>
        <w:bottom w:val="none" w:sz="0" w:space="0" w:color="auto"/>
        <w:right w:val="none" w:sz="0" w:space="0" w:color="auto"/>
      </w:divBdr>
    </w:div>
    <w:div w:id="1019966506">
      <w:bodyDiv w:val="1"/>
      <w:marLeft w:val="0"/>
      <w:marRight w:val="0"/>
      <w:marTop w:val="0"/>
      <w:marBottom w:val="0"/>
      <w:divBdr>
        <w:top w:val="none" w:sz="0" w:space="0" w:color="auto"/>
        <w:left w:val="none" w:sz="0" w:space="0" w:color="auto"/>
        <w:bottom w:val="none" w:sz="0" w:space="0" w:color="auto"/>
        <w:right w:val="none" w:sz="0" w:space="0" w:color="auto"/>
      </w:divBdr>
    </w:div>
    <w:div w:id="1044645081">
      <w:bodyDiv w:val="1"/>
      <w:marLeft w:val="0"/>
      <w:marRight w:val="0"/>
      <w:marTop w:val="0"/>
      <w:marBottom w:val="0"/>
      <w:divBdr>
        <w:top w:val="none" w:sz="0" w:space="0" w:color="auto"/>
        <w:left w:val="none" w:sz="0" w:space="0" w:color="auto"/>
        <w:bottom w:val="none" w:sz="0" w:space="0" w:color="auto"/>
        <w:right w:val="none" w:sz="0" w:space="0" w:color="auto"/>
      </w:divBdr>
    </w:div>
    <w:div w:id="1182621508">
      <w:bodyDiv w:val="1"/>
      <w:marLeft w:val="0"/>
      <w:marRight w:val="0"/>
      <w:marTop w:val="0"/>
      <w:marBottom w:val="0"/>
      <w:divBdr>
        <w:top w:val="none" w:sz="0" w:space="0" w:color="auto"/>
        <w:left w:val="none" w:sz="0" w:space="0" w:color="auto"/>
        <w:bottom w:val="none" w:sz="0" w:space="0" w:color="auto"/>
        <w:right w:val="none" w:sz="0" w:space="0" w:color="auto"/>
      </w:divBdr>
    </w:div>
    <w:div w:id="1376733060">
      <w:bodyDiv w:val="1"/>
      <w:marLeft w:val="0"/>
      <w:marRight w:val="0"/>
      <w:marTop w:val="0"/>
      <w:marBottom w:val="0"/>
      <w:divBdr>
        <w:top w:val="none" w:sz="0" w:space="0" w:color="auto"/>
        <w:left w:val="none" w:sz="0" w:space="0" w:color="auto"/>
        <w:bottom w:val="none" w:sz="0" w:space="0" w:color="auto"/>
        <w:right w:val="none" w:sz="0" w:space="0" w:color="auto"/>
      </w:divBdr>
    </w:div>
    <w:div w:id="1403138229">
      <w:bodyDiv w:val="1"/>
      <w:marLeft w:val="0"/>
      <w:marRight w:val="0"/>
      <w:marTop w:val="0"/>
      <w:marBottom w:val="0"/>
      <w:divBdr>
        <w:top w:val="none" w:sz="0" w:space="0" w:color="auto"/>
        <w:left w:val="none" w:sz="0" w:space="0" w:color="auto"/>
        <w:bottom w:val="none" w:sz="0" w:space="0" w:color="auto"/>
        <w:right w:val="none" w:sz="0" w:space="0" w:color="auto"/>
      </w:divBdr>
    </w:div>
    <w:div w:id="1424767226">
      <w:bodyDiv w:val="1"/>
      <w:marLeft w:val="0"/>
      <w:marRight w:val="0"/>
      <w:marTop w:val="0"/>
      <w:marBottom w:val="0"/>
      <w:divBdr>
        <w:top w:val="none" w:sz="0" w:space="0" w:color="auto"/>
        <w:left w:val="none" w:sz="0" w:space="0" w:color="auto"/>
        <w:bottom w:val="none" w:sz="0" w:space="0" w:color="auto"/>
        <w:right w:val="none" w:sz="0" w:space="0" w:color="auto"/>
      </w:divBdr>
    </w:div>
    <w:div w:id="1509099800">
      <w:bodyDiv w:val="1"/>
      <w:marLeft w:val="0"/>
      <w:marRight w:val="0"/>
      <w:marTop w:val="0"/>
      <w:marBottom w:val="0"/>
      <w:divBdr>
        <w:top w:val="none" w:sz="0" w:space="0" w:color="auto"/>
        <w:left w:val="none" w:sz="0" w:space="0" w:color="auto"/>
        <w:bottom w:val="none" w:sz="0" w:space="0" w:color="auto"/>
        <w:right w:val="none" w:sz="0" w:space="0" w:color="auto"/>
      </w:divBdr>
    </w:div>
    <w:div w:id="1560940085">
      <w:bodyDiv w:val="1"/>
      <w:marLeft w:val="0"/>
      <w:marRight w:val="0"/>
      <w:marTop w:val="0"/>
      <w:marBottom w:val="0"/>
      <w:divBdr>
        <w:top w:val="none" w:sz="0" w:space="0" w:color="auto"/>
        <w:left w:val="none" w:sz="0" w:space="0" w:color="auto"/>
        <w:bottom w:val="none" w:sz="0" w:space="0" w:color="auto"/>
        <w:right w:val="none" w:sz="0" w:space="0" w:color="auto"/>
      </w:divBdr>
    </w:div>
    <w:div w:id="1818766354">
      <w:bodyDiv w:val="1"/>
      <w:marLeft w:val="0"/>
      <w:marRight w:val="0"/>
      <w:marTop w:val="0"/>
      <w:marBottom w:val="0"/>
      <w:divBdr>
        <w:top w:val="none" w:sz="0" w:space="0" w:color="auto"/>
        <w:left w:val="none" w:sz="0" w:space="0" w:color="auto"/>
        <w:bottom w:val="none" w:sz="0" w:space="0" w:color="auto"/>
        <w:right w:val="none" w:sz="0" w:space="0" w:color="auto"/>
      </w:divBdr>
    </w:div>
    <w:div w:id="1839617300">
      <w:bodyDiv w:val="1"/>
      <w:marLeft w:val="0"/>
      <w:marRight w:val="0"/>
      <w:marTop w:val="0"/>
      <w:marBottom w:val="0"/>
      <w:divBdr>
        <w:top w:val="none" w:sz="0" w:space="0" w:color="auto"/>
        <w:left w:val="none" w:sz="0" w:space="0" w:color="auto"/>
        <w:bottom w:val="none" w:sz="0" w:space="0" w:color="auto"/>
        <w:right w:val="none" w:sz="0" w:space="0" w:color="auto"/>
      </w:divBdr>
    </w:div>
    <w:div w:id="1909685688">
      <w:bodyDiv w:val="1"/>
      <w:marLeft w:val="0"/>
      <w:marRight w:val="0"/>
      <w:marTop w:val="0"/>
      <w:marBottom w:val="0"/>
      <w:divBdr>
        <w:top w:val="none" w:sz="0" w:space="0" w:color="auto"/>
        <w:left w:val="none" w:sz="0" w:space="0" w:color="auto"/>
        <w:bottom w:val="none" w:sz="0" w:space="0" w:color="auto"/>
        <w:right w:val="none" w:sz="0" w:space="0" w:color="auto"/>
      </w:divBdr>
    </w:div>
    <w:div w:id="191450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80/20473869.2022.2095689" TargetMode="External"/><Relationship Id="rId18" Type="http://schemas.openxmlformats.org/officeDocument/2006/relationships/hyperlink" Target="https://doi.org/10.26650/jchild.2023.1332281" TargetMode="External"/><Relationship Id="rId3" Type="http://schemas.openxmlformats.org/officeDocument/2006/relationships/styles" Target="styles.xml"/><Relationship Id="rId21" Type="http://schemas.openxmlformats.org/officeDocument/2006/relationships/hyperlink" Target="https://doi.org/10.1016/j.sleep.2023.08.033" TargetMode="External"/><Relationship Id="rId7" Type="http://schemas.openxmlformats.org/officeDocument/2006/relationships/endnotes" Target="endnotes.xml"/><Relationship Id="rId12" Type="http://schemas.openxmlformats.org/officeDocument/2006/relationships/hyperlink" Target="https://doi.org/10.1177/13623613241246502" TargetMode="External"/><Relationship Id="rId17" Type="http://schemas.openxmlformats.org/officeDocument/2006/relationships/hyperlink" Target="https://doi.org/10.1002/da.10113" TargetMode="External"/><Relationship Id="rId2" Type="http://schemas.openxmlformats.org/officeDocument/2006/relationships/numbering" Target="numbering.xml"/><Relationship Id="rId16" Type="http://schemas.openxmlformats.org/officeDocument/2006/relationships/hyperlink" Target="https://doi.org/10.30476/jhsss.2021.90267.1186" TargetMode="External"/><Relationship Id="rId20" Type="http://schemas.openxmlformats.org/officeDocument/2006/relationships/hyperlink" Target="https://doi.org/10.3389/fpsyt.2022.91653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10803-022-05870-y" TargetMode="External"/><Relationship Id="rId5" Type="http://schemas.openxmlformats.org/officeDocument/2006/relationships/webSettings" Target="webSettings.xml"/><Relationship Id="rId15" Type="http://schemas.openxmlformats.org/officeDocument/2006/relationships/hyperlink" Target="https://doi.org/10.1177/1744629515576610" TargetMode="External"/><Relationship Id="rId23" Type="http://schemas.openxmlformats.org/officeDocument/2006/relationships/theme" Target="theme/theme1.xml"/><Relationship Id="rId10" Type="http://schemas.openxmlformats.org/officeDocument/2006/relationships/hyperlink" Target="https://doi.org/10.4324/9781003403838" TargetMode="External"/><Relationship Id="rId19" Type="http://schemas.openxmlformats.org/officeDocument/2006/relationships/hyperlink" Target="http://eprints.lums.ac.ir/id/eprint/4679"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5152%2Fpcp.2023.2259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21709-812F-4920-A59F-258B0AA76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8329</Words>
  <Characters>47478</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55696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paris</dc:creator>
  <cp:lastModifiedBy>vizeshfar</cp:lastModifiedBy>
  <cp:revision>8</cp:revision>
  <dcterms:created xsi:type="dcterms:W3CDTF">2026-09-01T03:58:00Z</dcterms:created>
  <dcterms:modified xsi:type="dcterms:W3CDTF">2026-09-02T05:53:00Z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e66167d9eac42b7c1885ec8be0845f38b2ed1966f6ee6faf997eb2ee84d26a86</vt:lpwstr>
  </property>
</Properties>
</file>