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32FE9" w:rsidRDefault="001A4C17">
      <w:pPr>
        <w:spacing w:line="480" w:lineRule="auto"/>
        <w:jc w:val="both"/>
      </w:pPr>
      <w:bookmarkStart w:id="0" w:name="_GoBack"/>
      <w:bookmarkEnd w:id="0"/>
      <w:r>
        <w:rPr>
          <w:rFonts w:ascii="Times New Roman" w:eastAsia="Times New Roman" w:hAnsi="Times New Roman" w:cs="Times New Roman"/>
          <w:b/>
          <w:sz w:val="28"/>
          <w:szCs w:val="28"/>
          <w:u w:val="single"/>
        </w:rPr>
        <w:t>Supplemental data</w:t>
      </w:r>
    </w:p>
    <w:p w:rsidR="00732FE9" w:rsidRDefault="00732FE9">
      <w:pPr>
        <w:spacing w:line="480" w:lineRule="auto"/>
        <w:jc w:val="both"/>
      </w:pPr>
    </w:p>
    <w:p w:rsidR="00732FE9" w:rsidRDefault="001A4C17">
      <w:pPr>
        <w:spacing w:line="480" w:lineRule="auto"/>
        <w:jc w:val="both"/>
      </w:pPr>
      <w:r>
        <w:rPr>
          <w:rFonts w:ascii="Times New Roman" w:eastAsia="Times New Roman" w:hAnsi="Times New Roman" w:cs="Times New Roman"/>
          <w:b/>
          <w:sz w:val="24"/>
          <w:szCs w:val="24"/>
        </w:rPr>
        <w:t>Material and Methods.</w:t>
      </w:r>
    </w:p>
    <w:p w:rsidR="00732FE9" w:rsidRDefault="001A4C17">
      <w:pPr>
        <w:spacing w:line="480" w:lineRule="auto"/>
        <w:jc w:val="both"/>
      </w:pPr>
      <w:r>
        <w:rPr>
          <w:rFonts w:ascii="Times New Roman" w:eastAsia="Times New Roman" w:hAnsi="Times New Roman" w:cs="Times New Roman"/>
          <w:i/>
          <w:sz w:val="24"/>
          <w:szCs w:val="24"/>
        </w:rPr>
        <w:t>Primary cell culture.</w:t>
      </w:r>
    </w:p>
    <w:p w:rsidR="00732FE9" w:rsidRDefault="001A4C17">
      <w:pPr>
        <w:spacing w:line="480" w:lineRule="auto"/>
        <w:jc w:val="both"/>
      </w:pPr>
      <w:r>
        <w:rPr>
          <w:rFonts w:ascii="Times New Roman" w:eastAsia="Times New Roman" w:hAnsi="Times New Roman" w:cs="Times New Roman"/>
          <w:sz w:val="24"/>
          <w:szCs w:val="24"/>
        </w:rPr>
        <w:t>Primary epithelial gastric cells, were obtained from the stomach of anaesthetized prepubescent pigs, following a previously described method for the isolation of human gastric epithelial cells [Smoot DT, Sewchand J, Young K, Desbordes BC, Allen CR, Naab T. “A method for establishing primary cultures of human gastric epithelial cells” Methods Cell Sci. 2000;22(2-3):133-6]. Briefly, the gastric cell were isolated from cut gastric tissue (8-10mm</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using enzymatic solution in agitation (collagenase/dispase solution, Sigma, Milan) for 60 min at 37°C. Then the suspension was centrifuged at 1500 rpm per 5 min at 4°C and then washed with PBS 1X. The pellet cells were then resuspend in complete medium (Ham’s F12 supplemented with 10% FBS, Sigma, Milan) on collagen coated dishes. The medium was changed each 3-4 days. The cells used for the experiments were obtained from passage 3 to passage 5. After the cells were used for MTT test, Crystal violet staining and Western Blot analysis placed at the same density used for GTL-16. The experiments were performed in the same conditions used with GTL-16.</w:t>
      </w:r>
    </w:p>
    <w:p w:rsidR="00732FE9" w:rsidRDefault="00732FE9">
      <w:pPr>
        <w:spacing w:line="480" w:lineRule="auto"/>
        <w:jc w:val="both"/>
      </w:pPr>
    </w:p>
    <w:p w:rsidR="00732FE9" w:rsidRDefault="00732FE9">
      <w:pPr>
        <w:spacing w:line="480" w:lineRule="auto"/>
        <w:jc w:val="both"/>
      </w:pPr>
    </w:p>
    <w:p w:rsidR="00732FE9" w:rsidRDefault="00732FE9">
      <w:pPr>
        <w:spacing w:line="480" w:lineRule="auto"/>
        <w:jc w:val="both"/>
      </w:pPr>
    </w:p>
    <w:p w:rsidR="00732FE9" w:rsidRDefault="00732FE9">
      <w:pPr>
        <w:spacing w:line="480" w:lineRule="auto"/>
        <w:jc w:val="both"/>
      </w:pPr>
    </w:p>
    <w:p w:rsidR="00732FE9" w:rsidRDefault="00732FE9">
      <w:pPr>
        <w:spacing w:line="480" w:lineRule="auto"/>
        <w:jc w:val="both"/>
      </w:pPr>
    </w:p>
    <w:p w:rsidR="00732FE9" w:rsidRDefault="00732FE9">
      <w:pPr>
        <w:spacing w:line="480" w:lineRule="auto"/>
        <w:jc w:val="both"/>
      </w:pPr>
    </w:p>
    <w:p w:rsidR="00732FE9" w:rsidRDefault="00732FE9">
      <w:pPr>
        <w:spacing w:line="480" w:lineRule="auto"/>
        <w:jc w:val="both"/>
      </w:pPr>
    </w:p>
    <w:p w:rsidR="00732FE9" w:rsidRDefault="001A4C17">
      <w:pPr>
        <w:spacing w:line="480" w:lineRule="auto"/>
        <w:jc w:val="both"/>
      </w:pPr>
      <w:r>
        <w:rPr>
          <w:rFonts w:ascii="Times New Roman" w:eastAsia="Times New Roman" w:hAnsi="Times New Roman" w:cs="Times New Roman"/>
          <w:b/>
          <w:sz w:val="24"/>
          <w:szCs w:val="24"/>
        </w:rPr>
        <w:t>Results</w:t>
      </w:r>
    </w:p>
    <w:p w:rsidR="00732FE9" w:rsidRDefault="001A4C17">
      <w:pPr>
        <w:spacing w:line="480" w:lineRule="auto"/>
        <w:jc w:val="both"/>
      </w:pPr>
      <w:r>
        <w:rPr>
          <w:rFonts w:ascii="Times New Roman" w:eastAsia="Times New Roman" w:hAnsi="Times New Roman" w:cs="Times New Roman"/>
          <w:i/>
          <w:sz w:val="24"/>
          <w:szCs w:val="24"/>
        </w:rPr>
        <w:t>Evaluation of Grisù</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 in combination with vitD</w:t>
      </w:r>
      <w:r>
        <w:rPr>
          <w:rFonts w:ascii="Times New Roman" w:eastAsia="Times New Roman" w:hAnsi="Times New Roman" w:cs="Times New Roman"/>
          <w:i/>
          <w:sz w:val="24"/>
          <w:szCs w:val="24"/>
          <w:vertAlign w:val="subscript"/>
        </w:rPr>
        <w:t>3</w:t>
      </w:r>
      <w:r>
        <w:rPr>
          <w:rFonts w:ascii="Times New Roman" w:eastAsia="Times New Roman" w:hAnsi="Times New Roman" w:cs="Times New Roman"/>
          <w:i/>
          <w:sz w:val="24"/>
          <w:szCs w:val="24"/>
        </w:rPr>
        <w:t xml:space="preserve"> on adhesion capacity.</w:t>
      </w:r>
    </w:p>
    <w:p w:rsidR="00732FE9" w:rsidRDefault="001A4C17">
      <w:pPr>
        <w:spacing w:line="480" w:lineRule="auto"/>
        <w:jc w:val="both"/>
      </w:pPr>
      <w:r>
        <w:rPr>
          <w:rFonts w:ascii="Times New Roman" w:eastAsia="Times New Roman" w:hAnsi="Times New Roman" w:cs="Times New Roman"/>
          <w:sz w:val="24"/>
          <w:szCs w:val="24"/>
        </w:rPr>
        <w:lastRenderedPageBreak/>
        <w:t>To confirm the data observed with GTL-16, Grisù® alone and combined with vitD</w:t>
      </w:r>
      <w:r>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 xml:space="preserve"> were used to coat the multiwell plates before seeding the primary epithelial cells to study the number of adherent cells and the adhesion time (Figure S2.1). The adhesion time of primary cell was longer than in GTL-16 (starting from 10-12h). Using Grisù® this time was reduced, the cells started the adhesion after 15-30 min from seeding. This effect was more evident in presence of vitD</w:t>
      </w:r>
      <w:r>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 xml:space="preserve"> (Figure S2.1), confirming the data observed with GTL-16.</w:t>
      </w:r>
    </w:p>
    <w:p w:rsidR="00732FE9" w:rsidRDefault="00732FE9">
      <w:pPr>
        <w:spacing w:line="480" w:lineRule="auto"/>
        <w:jc w:val="both"/>
      </w:pPr>
    </w:p>
    <w:p w:rsidR="00732FE9" w:rsidRDefault="001A4C17">
      <w:pPr>
        <w:spacing w:line="480" w:lineRule="auto"/>
        <w:jc w:val="both"/>
      </w:pPr>
      <w:r>
        <w:rPr>
          <w:noProof/>
          <w:lang w:val="en-PH" w:eastAsia="en-PH"/>
        </w:rPr>
        <w:drawing>
          <wp:inline distT="0" distB="0" distL="0" distR="0">
            <wp:extent cx="5733415" cy="3152140"/>
            <wp:effectExtent l="0" t="0" r="0" b="0"/>
            <wp:docPr id="2" name="image03.png"/>
            <wp:cNvGraphicFramePr/>
            <a:graphic xmlns:a="http://schemas.openxmlformats.org/drawingml/2006/main">
              <a:graphicData uri="http://schemas.openxmlformats.org/drawingml/2006/picture">
                <pic:pic xmlns:pic="http://schemas.openxmlformats.org/drawingml/2006/picture">
                  <pic:nvPicPr>
                    <pic:cNvPr id="0" name="image03.png"/>
                    <pic:cNvPicPr preferRelativeResize="0"/>
                  </pic:nvPicPr>
                  <pic:blipFill>
                    <a:blip r:embed="rId4" cstate="print"/>
                    <a:srcRect t="18676"/>
                    <a:stretch>
                      <a:fillRect/>
                    </a:stretch>
                  </pic:blipFill>
                  <pic:spPr>
                    <a:xfrm>
                      <a:off x="0" y="0"/>
                      <a:ext cx="5733415" cy="3152140"/>
                    </a:xfrm>
                    <a:prstGeom prst="rect">
                      <a:avLst/>
                    </a:prstGeom>
                    <a:ln/>
                  </pic:spPr>
                </pic:pic>
              </a:graphicData>
            </a:graphic>
          </wp:inline>
        </w:drawing>
      </w:r>
    </w:p>
    <w:p w:rsidR="00732FE9" w:rsidRDefault="001A4C17">
      <w:pPr>
        <w:spacing w:line="480" w:lineRule="auto"/>
        <w:jc w:val="both"/>
      </w:pPr>
      <w:r>
        <w:rPr>
          <w:rFonts w:ascii="Times New Roman" w:eastAsia="Times New Roman" w:hAnsi="Times New Roman" w:cs="Times New Roman"/>
          <w:b/>
          <w:sz w:val="24"/>
          <w:szCs w:val="24"/>
        </w:rPr>
        <w:t xml:space="preserve">S2.1. </w:t>
      </w:r>
      <w:r>
        <w:rPr>
          <w:rFonts w:ascii="Times New Roman" w:eastAsia="Times New Roman" w:hAnsi="Times New Roman" w:cs="Times New Roman"/>
          <w:sz w:val="24"/>
          <w:szCs w:val="24"/>
        </w:rPr>
        <w:t>Crystal violet staining.</w:t>
      </w:r>
    </w:p>
    <w:p w:rsidR="00732FE9" w:rsidRDefault="001A4C17">
      <w:pPr>
        <w:spacing w:line="480" w:lineRule="auto"/>
        <w:jc w:val="both"/>
      </w:pPr>
      <w:r>
        <w:rPr>
          <w:rFonts w:ascii="Times New Roman" w:eastAsia="Times New Roman" w:hAnsi="Times New Roman" w:cs="Times New Roman"/>
          <w:sz w:val="24"/>
          <w:szCs w:val="24"/>
        </w:rPr>
        <w:t>Cell counting of adherent cells over time (at 2 min, 5 min, 15 min, 30 min, 60 min, 90 min, 240 min, 720 min and 1440 min) is reported. The ratio reports a mean±(SD) (%) of adherent cells counted in 12 different areas of 3 biological replicates. G=Grisù®; G+V= Grisù® combined with vitD</w:t>
      </w:r>
      <w:r>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 xml:space="preserve">. Starting from 15 min samples were all significant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&lt;0.05 </w:t>
      </w:r>
      <w:r>
        <w:rPr>
          <w:rFonts w:ascii="Times New Roman" w:eastAsia="Times New Roman" w:hAnsi="Times New Roman" w:cs="Times New Roman"/>
          <w:i/>
          <w:sz w:val="24"/>
          <w:szCs w:val="24"/>
        </w:rPr>
        <w:t>vs</w:t>
      </w:r>
      <w:r>
        <w:rPr>
          <w:rFonts w:ascii="Times New Roman" w:eastAsia="Times New Roman" w:hAnsi="Times New Roman" w:cs="Times New Roman"/>
          <w:sz w:val="24"/>
          <w:szCs w:val="24"/>
        </w:rPr>
        <w:t xml:space="preserve"> control.</w:t>
      </w:r>
    </w:p>
    <w:p w:rsidR="00732FE9" w:rsidRDefault="001A4C17">
      <w:pPr>
        <w:spacing w:line="480" w:lineRule="auto"/>
        <w:jc w:val="both"/>
      </w:pPr>
      <w:r>
        <w:rPr>
          <w:rFonts w:ascii="Times New Roman" w:eastAsia="Times New Roman" w:hAnsi="Times New Roman" w:cs="Times New Roman"/>
          <w:i/>
          <w:sz w:val="24"/>
          <w:szCs w:val="24"/>
        </w:rPr>
        <w:t>Protective effects of Grisù</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 in combination with vitD</w:t>
      </w:r>
      <w:r>
        <w:rPr>
          <w:rFonts w:ascii="Times New Roman" w:eastAsia="Times New Roman" w:hAnsi="Times New Roman" w:cs="Times New Roman"/>
          <w:i/>
          <w:sz w:val="24"/>
          <w:szCs w:val="24"/>
          <w:vertAlign w:val="subscript"/>
        </w:rPr>
        <w:t>3</w:t>
      </w:r>
      <w:r>
        <w:rPr>
          <w:rFonts w:ascii="Times New Roman" w:eastAsia="Times New Roman" w:hAnsi="Times New Roman" w:cs="Times New Roman"/>
          <w:i/>
          <w:sz w:val="24"/>
          <w:szCs w:val="24"/>
        </w:rPr>
        <w:t xml:space="preserve"> in preventing damage caused by oxidative stress and acidity.</w:t>
      </w:r>
    </w:p>
    <w:p w:rsidR="00732FE9" w:rsidRDefault="001A4C17">
      <w:pPr>
        <w:spacing w:line="480" w:lineRule="auto"/>
        <w:jc w:val="both"/>
      </w:pPr>
      <w:r>
        <w:rPr>
          <w:rFonts w:ascii="Times New Roman" w:eastAsia="Times New Roman" w:hAnsi="Times New Roman" w:cs="Times New Roman"/>
          <w:sz w:val="24"/>
          <w:szCs w:val="24"/>
        </w:rPr>
        <w:t xml:space="preserve">To confirm effects on ROS production and cell viability, the experiments performed on GTL-16 were repeated using primary gastric epithelial cells. As reported in S2.2, in presence of </w:t>
      </w:r>
      <w:r>
        <w:rPr>
          <w:rFonts w:ascii="Times New Roman" w:eastAsia="Times New Roman" w:hAnsi="Times New Roman" w:cs="Times New Roman"/>
          <w:sz w:val="24"/>
          <w:szCs w:val="24"/>
        </w:rPr>
        <w:lastRenderedPageBreak/>
        <w:t>oxidative stress and acidity, Grisù® alone and Grisù® combined with vitD</w:t>
      </w:r>
      <w:r>
        <w:rPr>
          <w:rFonts w:ascii="Times New Roman" w:eastAsia="Times New Roman" w:hAnsi="Times New Roman" w:cs="Times New Roman"/>
          <w:sz w:val="24"/>
          <w:szCs w:val="24"/>
          <w:vertAlign w:val="subscript"/>
        </w:rPr>
        <w:t xml:space="preserve">3 </w:t>
      </w:r>
      <w:r>
        <w:rPr>
          <w:rFonts w:ascii="Times New Roman" w:eastAsia="Times New Roman" w:hAnsi="Times New Roman" w:cs="Times New Roman"/>
          <w:sz w:val="24"/>
          <w:szCs w:val="24"/>
        </w:rPr>
        <w:t>were able to reduce ROS release and to enhance cell viability in similar manner to what observed in GTL-16, thus confirming the beneficial effects of vitD</w:t>
      </w:r>
      <w:r>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 xml:space="preserve"> in gastroprotection. VitD</w:t>
      </w:r>
      <w:r>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 xml:space="preserve"> amplifies the beneficial effects observed in presence with Grisù® alone (p&lt;0.05).</w:t>
      </w:r>
    </w:p>
    <w:p w:rsidR="00732FE9" w:rsidRDefault="001A4C17">
      <w:pPr>
        <w:spacing w:line="480" w:lineRule="auto"/>
        <w:jc w:val="both"/>
      </w:pPr>
      <w:bookmarkStart w:id="1" w:name="h.gjdgxs" w:colFirst="0" w:colLast="0"/>
      <w:bookmarkEnd w:id="1"/>
      <w:r>
        <w:rPr>
          <w:noProof/>
          <w:lang w:val="en-PH" w:eastAsia="en-PH"/>
        </w:rPr>
        <w:drawing>
          <wp:inline distT="0" distB="0" distL="114300" distR="114300">
            <wp:extent cx="2618740" cy="4840605"/>
            <wp:effectExtent l="0" t="0" r="0" b="0"/>
            <wp:docPr id="1" name="image02.png"/>
            <wp:cNvGraphicFramePr/>
            <a:graphic xmlns:a="http://schemas.openxmlformats.org/drawingml/2006/main">
              <a:graphicData uri="http://schemas.openxmlformats.org/drawingml/2006/picture">
                <pic:pic xmlns:pic="http://schemas.openxmlformats.org/drawingml/2006/picture">
                  <pic:nvPicPr>
                    <pic:cNvPr id="0" name="image02.png"/>
                    <pic:cNvPicPr preferRelativeResize="0"/>
                  </pic:nvPicPr>
                  <pic:blipFill>
                    <a:blip r:embed="rId5" cstate="print"/>
                    <a:srcRect t="5457"/>
                    <a:stretch>
                      <a:fillRect/>
                    </a:stretch>
                  </pic:blipFill>
                  <pic:spPr>
                    <a:xfrm>
                      <a:off x="0" y="0"/>
                      <a:ext cx="2618740" cy="4840605"/>
                    </a:xfrm>
                    <a:prstGeom prst="rect">
                      <a:avLst/>
                    </a:prstGeom>
                    <a:ln/>
                  </pic:spPr>
                </pic:pic>
              </a:graphicData>
            </a:graphic>
          </wp:inline>
        </w:drawing>
      </w:r>
    </w:p>
    <w:p w:rsidR="00732FE9" w:rsidRDefault="00732FE9">
      <w:pPr>
        <w:spacing w:line="480" w:lineRule="auto"/>
        <w:jc w:val="both"/>
      </w:pPr>
    </w:p>
    <w:p w:rsidR="00732FE9" w:rsidRDefault="001A4C17">
      <w:pPr>
        <w:spacing w:line="480" w:lineRule="auto"/>
        <w:jc w:val="both"/>
      </w:pPr>
      <w:r>
        <w:rPr>
          <w:rFonts w:ascii="Times New Roman" w:eastAsia="Times New Roman" w:hAnsi="Times New Roman" w:cs="Times New Roman"/>
          <w:b/>
          <w:sz w:val="24"/>
          <w:szCs w:val="24"/>
        </w:rPr>
        <w:t>S2.2.</w:t>
      </w:r>
      <w:r>
        <w:rPr>
          <w:rFonts w:ascii="Times New Roman" w:eastAsia="Times New Roman" w:hAnsi="Times New Roman" w:cs="Times New Roman"/>
          <w:sz w:val="24"/>
          <w:szCs w:val="24"/>
        </w:rPr>
        <w:t xml:space="preserve"> Cell viability and ROS production in primary gastric cells.</w:t>
      </w:r>
    </w:p>
    <w:p w:rsidR="00732FE9" w:rsidRDefault="001A4C17">
      <w:pPr>
        <w:spacing w:line="480" w:lineRule="auto"/>
        <w:jc w:val="both"/>
      </w:pPr>
      <w:r>
        <w:rPr>
          <w:rFonts w:ascii="Times New Roman" w:eastAsia="Times New Roman" w:hAnsi="Times New Roman" w:cs="Times New Roman"/>
          <w:sz w:val="24"/>
          <w:szCs w:val="24"/>
        </w:rPr>
        <w:t>Cells were treated in same conditions and with the same agents reported before, to analyze cell viability (A) and ROS production (B) during oxidative stress and acidity condition. G= Grisù®; V= vitD</w:t>
      </w:r>
      <w:r>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 G+V= Grisù® combined with vitD</w:t>
      </w:r>
      <w:r>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 xml:space="preserve">. Data reported are a mean±(SD) (%) of 3 biological replicates. </w:t>
      </w:r>
      <w:r>
        <w:rPr>
          <w:rFonts w:ascii="Times New Roman" w:eastAsia="Times New Roman" w:hAnsi="Times New Roman" w:cs="Times New Roman"/>
          <w:color w:val="FF0000"/>
          <w:sz w:val="24"/>
          <w:szCs w:val="24"/>
        </w:rPr>
        <w:t xml:space="preserve">In A </w:t>
      </w:r>
      <w:r>
        <w:rPr>
          <w:rFonts w:ascii="Times New Roman" w:eastAsia="Times New Roman" w:hAnsi="Times New Roman" w:cs="Times New Roman"/>
          <w:i/>
          <w:color w:val="FF0000"/>
          <w:sz w:val="24"/>
          <w:szCs w:val="24"/>
        </w:rPr>
        <w:t>p</w:t>
      </w:r>
      <w:r>
        <w:rPr>
          <w:rFonts w:ascii="Times New Roman" w:eastAsia="Times New Roman" w:hAnsi="Times New Roman" w:cs="Times New Roman"/>
          <w:color w:val="FF0000"/>
          <w:sz w:val="24"/>
          <w:szCs w:val="24"/>
        </w:rPr>
        <w:t xml:space="preserve">&lt;0.05: a, b, c, d, e, f, g h, i </w:t>
      </w:r>
      <w:r>
        <w:rPr>
          <w:rFonts w:ascii="Times New Roman" w:eastAsia="Times New Roman" w:hAnsi="Times New Roman" w:cs="Times New Roman"/>
          <w:i/>
          <w:color w:val="FF0000"/>
          <w:sz w:val="24"/>
          <w:szCs w:val="24"/>
        </w:rPr>
        <w:t>vs</w:t>
      </w:r>
      <w:r>
        <w:rPr>
          <w:rFonts w:ascii="Times New Roman" w:eastAsia="Times New Roman" w:hAnsi="Times New Roman" w:cs="Times New Roman"/>
          <w:color w:val="FF0000"/>
          <w:sz w:val="24"/>
          <w:szCs w:val="24"/>
        </w:rPr>
        <w:t xml:space="preserve"> control (line 0%); a, b, f, i </w:t>
      </w:r>
      <w:r>
        <w:rPr>
          <w:rFonts w:ascii="Times New Roman" w:eastAsia="Times New Roman" w:hAnsi="Times New Roman" w:cs="Times New Roman"/>
          <w:i/>
          <w:color w:val="FF0000"/>
          <w:sz w:val="24"/>
          <w:szCs w:val="24"/>
        </w:rPr>
        <w:t>vs</w:t>
      </w:r>
      <w:r>
        <w:rPr>
          <w:rFonts w:ascii="Times New Roman" w:eastAsia="Times New Roman" w:hAnsi="Times New Roman" w:cs="Times New Roman"/>
          <w:color w:val="FF0000"/>
          <w:sz w:val="24"/>
          <w:szCs w:val="24"/>
        </w:rPr>
        <w:t xml:space="preserve"> c; e, f </w:t>
      </w:r>
      <w:r>
        <w:rPr>
          <w:rFonts w:ascii="Times New Roman" w:eastAsia="Times New Roman" w:hAnsi="Times New Roman" w:cs="Times New Roman"/>
          <w:i/>
          <w:color w:val="FF0000"/>
          <w:sz w:val="24"/>
          <w:szCs w:val="24"/>
        </w:rPr>
        <w:t xml:space="preserve">vs </w:t>
      </w:r>
      <w:r>
        <w:rPr>
          <w:rFonts w:ascii="Times New Roman" w:eastAsia="Times New Roman" w:hAnsi="Times New Roman" w:cs="Times New Roman"/>
          <w:color w:val="FF0000"/>
          <w:sz w:val="24"/>
          <w:szCs w:val="24"/>
        </w:rPr>
        <w:t xml:space="preserve">d; f </w:t>
      </w:r>
      <w:r>
        <w:rPr>
          <w:rFonts w:ascii="Times New Roman" w:eastAsia="Times New Roman" w:hAnsi="Times New Roman" w:cs="Times New Roman"/>
          <w:i/>
          <w:color w:val="FF0000"/>
          <w:sz w:val="24"/>
          <w:szCs w:val="24"/>
        </w:rPr>
        <w:t>vs</w:t>
      </w:r>
      <w:r>
        <w:rPr>
          <w:rFonts w:ascii="Times New Roman" w:eastAsia="Times New Roman" w:hAnsi="Times New Roman" w:cs="Times New Roman"/>
          <w:color w:val="FF0000"/>
          <w:sz w:val="24"/>
          <w:szCs w:val="24"/>
        </w:rPr>
        <w:t xml:space="preserve"> e; h, i </w:t>
      </w:r>
      <w:r>
        <w:rPr>
          <w:rFonts w:ascii="Times New Roman" w:eastAsia="Times New Roman" w:hAnsi="Times New Roman" w:cs="Times New Roman"/>
          <w:i/>
          <w:color w:val="FF0000"/>
          <w:sz w:val="24"/>
          <w:szCs w:val="24"/>
        </w:rPr>
        <w:t>vs</w:t>
      </w:r>
      <w:r>
        <w:rPr>
          <w:rFonts w:ascii="Times New Roman" w:eastAsia="Times New Roman" w:hAnsi="Times New Roman" w:cs="Times New Roman"/>
          <w:color w:val="FF0000"/>
          <w:sz w:val="24"/>
          <w:szCs w:val="24"/>
        </w:rPr>
        <w:t xml:space="preserve"> g; i </w:t>
      </w:r>
      <w:r>
        <w:rPr>
          <w:rFonts w:ascii="Times New Roman" w:eastAsia="Times New Roman" w:hAnsi="Times New Roman" w:cs="Times New Roman"/>
          <w:i/>
          <w:color w:val="FF0000"/>
          <w:sz w:val="24"/>
          <w:szCs w:val="24"/>
        </w:rPr>
        <w:t>vs</w:t>
      </w:r>
      <w:r>
        <w:rPr>
          <w:rFonts w:ascii="Times New Roman" w:eastAsia="Times New Roman" w:hAnsi="Times New Roman" w:cs="Times New Roman"/>
          <w:color w:val="FF0000"/>
          <w:sz w:val="24"/>
          <w:szCs w:val="24"/>
        </w:rPr>
        <w:t xml:space="preserve"> h. In B </w:t>
      </w:r>
      <w:r>
        <w:rPr>
          <w:rFonts w:ascii="Times New Roman" w:eastAsia="Times New Roman" w:hAnsi="Times New Roman" w:cs="Times New Roman"/>
          <w:i/>
          <w:color w:val="FF0000"/>
          <w:sz w:val="24"/>
          <w:szCs w:val="24"/>
        </w:rPr>
        <w:t>p</w:t>
      </w:r>
      <w:r>
        <w:rPr>
          <w:rFonts w:ascii="Times New Roman" w:eastAsia="Times New Roman" w:hAnsi="Times New Roman" w:cs="Times New Roman"/>
          <w:color w:val="FF0000"/>
          <w:sz w:val="24"/>
          <w:szCs w:val="24"/>
        </w:rPr>
        <w:t xml:space="preserve">&lt;0.05: a, d, e, f, g, h </w:t>
      </w:r>
      <w:r>
        <w:rPr>
          <w:rFonts w:ascii="Times New Roman" w:eastAsia="Times New Roman" w:hAnsi="Times New Roman" w:cs="Times New Roman"/>
          <w:i/>
          <w:color w:val="FF0000"/>
          <w:sz w:val="24"/>
          <w:szCs w:val="24"/>
        </w:rPr>
        <w:t>vs</w:t>
      </w:r>
      <w:r>
        <w:rPr>
          <w:rFonts w:ascii="Times New Roman" w:eastAsia="Times New Roman" w:hAnsi="Times New Roman" w:cs="Times New Roman"/>
          <w:color w:val="FF0000"/>
          <w:sz w:val="24"/>
          <w:szCs w:val="24"/>
        </w:rPr>
        <w:t xml:space="preserve"> control (line 0%); c </w:t>
      </w:r>
      <w:r>
        <w:rPr>
          <w:rFonts w:ascii="Times New Roman" w:eastAsia="Times New Roman" w:hAnsi="Times New Roman" w:cs="Times New Roman"/>
          <w:i/>
          <w:color w:val="FF0000"/>
          <w:sz w:val="24"/>
          <w:szCs w:val="24"/>
        </w:rPr>
        <w:t>vs</w:t>
      </w:r>
      <w:r>
        <w:rPr>
          <w:rFonts w:ascii="Times New Roman" w:eastAsia="Times New Roman" w:hAnsi="Times New Roman" w:cs="Times New Roman"/>
          <w:color w:val="FF0000"/>
          <w:sz w:val="24"/>
          <w:szCs w:val="24"/>
        </w:rPr>
        <w:t xml:space="preserve"> a; e, f </w:t>
      </w:r>
      <w:r>
        <w:rPr>
          <w:rFonts w:ascii="Times New Roman" w:eastAsia="Times New Roman" w:hAnsi="Times New Roman" w:cs="Times New Roman"/>
          <w:i/>
          <w:color w:val="FF0000"/>
          <w:sz w:val="24"/>
          <w:szCs w:val="24"/>
        </w:rPr>
        <w:t>vs</w:t>
      </w:r>
      <w:r>
        <w:rPr>
          <w:rFonts w:ascii="Times New Roman" w:eastAsia="Times New Roman" w:hAnsi="Times New Roman" w:cs="Times New Roman"/>
          <w:color w:val="FF0000"/>
          <w:sz w:val="24"/>
          <w:szCs w:val="24"/>
        </w:rPr>
        <w:t xml:space="preserve"> d; f </w:t>
      </w:r>
      <w:r>
        <w:rPr>
          <w:rFonts w:ascii="Times New Roman" w:eastAsia="Times New Roman" w:hAnsi="Times New Roman" w:cs="Times New Roman"/>
          <w:i/>
          <w:color w:val="FF0000"/>
          <w:sz w:val="24"/>
          <w:szCs w:val="24"/>
        </w:rPr>
        <w:t>vs</w:t>
      </w:r>
      <w:r>
        <w:rPr>
          <w:rFonts w:ascii="Times New Roman" w:eastAsia="Times New Roman" w:hAnsi="Times New Roman" w:cs="Times New Roman"/>
          <w:color w:val="FF0000"/>
          <w:sz w:val="24"/>
          <w:szCs w:val="24"/>
        </w:rPr>
        <w:t xml:space="preserve"> e; h, i </w:t>
      </w:r>
      <w:r>
        <w:rPr>
          <w:rFonts w:ascii="Times New Roman" w:eastAsia="Times New Roman" w:hAnsi="Times New Roman" w:cs="Times New Roman"/>
          <w:i/>
          <w:color w:val="FF0000"/>
          <w:sz w:val="24"/>
          <w:szCs w:val="24"/>
        </w:rPr>
        <w:t>vs</w:t>
      </w:r>
      <w:r>
        <w:rPr>
          <w:rFonts w:ascii="Times New Roman" w:eastAsia="Times New Roman" w:hAnsi="Times New Roman" w:cs="Times New Roman"/>
          <w:color w:val="FF0000"/>
          <w:sz w:val="24"/>
          <w:szCs w:val="24"/>
        </w:rPr>
        <w:t xml:space="preserve"> g; i </w:t>
      </w:r>
      <w:r>
        <w:rPr>
          <w:rFonts w:ascii="Times New Roman" w:eastAsia="Times New Roman" w:hAnsi="Times New Roman" w:cs="Times New Roman"/>
          <w:i/>
          <w:color w:val="FF0000"/>
          <w:sz w:val="24"/>
          <w:szCs w:val="24"/>
        </w:rPr>
        <w:t>vs</w:t>
      </w:r>
      <w:r>
        <w:rPr>
          <w:rFonts w:ascii="Times New Roman" w:eastAsia="Times New Roman" w:hAnsi="Times New Roman" w:cs="Times New Roman"/>
          <w:color w:val="FF0000"/>
          <w:sz w:val="24"/>
          <w:szCs w:val="24"/>
        </w:rPr>
        <w:t xml:space="preserve"> h.</w:t>
      </w:r>
    </w:p>
    <w:p w:rsidR="00732FE9" w:rsidRDefault="00732FE9">
      <w:pPr>
        <w:spacing w:line="480" w:lineRule="auto"/>
        <w:jc w:val="both"/>
      </w:pPr>
    </w:p>
    <w:p w:rsidR="00732FE9" w:rsidRDefault="001A4C17">
      <w:pPr>
        <w:spacing w:line="480" w:lineRule="auto"/>
        <w:jc w:val="both"/>
      </w:pPr>
      <w:r>
        <w:rPr>
          <w:rFonts w:ascii="Times New Roman" w:eastAsia="Times New Roman" w:hAnsi="Times New Roman" w:cs="Times New Roman"/>
          <w:sz w:val="24"/>
          <w:szCs w:val="24"/>
        </w:rPr>
        <w:t>In addition to what observed in GTL-16 on apoptosis and RISK pathway, primary epithelial gastric cells were also able to prevent apoptosis (Annexin V) and to induce the activation of survival signaling (ERK/MAPK) in presence of Grisù® alone (</w:t>
      </w:r>
      <w:r>
        <w:rPr>
          <w:rFonts w:ascii="Times New Roman" w:eastAsia="Times New Roman" w:hAnsi="Times New Roman" w:cs="Times New Roman"/>
          <w:color w:val="FF0000"/>
          <w:sz w:val="24"/>
          <w:szCs w:val="24"/>
        </w:rPr>
        <w:t>S2.3</w:t>
      </w:r>
      <w:r>
        <w:rPr>
          <w:rFonts w:ascii="Times New Roman" w:eastAsia="Times New Roman" w:hAnsi="Times New Roman" w:cs="Times New Roman"/>
          <w:sz w:val="24"/>
          <w:szCs w:val="24"/>
        </w:rPr>
        <w:t>) These effects were more evident in the samples treated with Grisù® plus vitD</w:t>
      </w:r>
      <w:r>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 These data support the results obtained in GTL-16 about the beneficial effects of the combination Grisù® and vitD</w:t>
      </w:r>
      <w:r>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 xml:space="preserve"> to prevent the damage caused by oxidative stress and acidity. In addition, the presence of the modulation of VDR expression in these cells, confirmed the involvement of VDR receptor in all these effects.</w:t>
      </w:r>
    </w:p>
    <w:p w:rsidR="00732FE9" w:rsidRDefault="00732FE9">
      <w:pPr>
        <w:spacing w:line="480" w:lineRule="auto"/>
        <w:jc w:val="both"/>
      </w:pPr>
    </w:p>
    <w:p w:rsidR="00732FE9" w:rsidRDefault="001A4C17">
      <w:pPr>
        <w:spacing w:line="480" w:lineRule="auto"/>
        <w:jc w:val="both"/>
      </w:pPr>
      <w:r>
        <w:rPr>
          <w:noProof/>
          <w:lang w:val="en-PH" w:eastAsia="en-PH"/>
        </w:rPr>
        <w:drawing>
          <wp:inline distT="0" distB="0" distL="0" distR="0">
            <wp:extent cx="3039138" cy="5933533"/>
            <wp:effectExtent l="0" t="0" r="0" b="0"/>
            <wp:docPr id="3" name="image05.png"/>
            <wp:cNvGraphicFramePr/>
            <a:graphic xmlns:a="http://schemas.openxmlformats.org/drawingml/2006/main">
              <a:graphicData uri="http://schemas.openxmlformats.org/drawingml/2006/picture">
                <pic:pic xmlns:pic="http://schemas.openxmlformats.org/drawingml/2006/picture">
                  <pic:nvPicPr>
                    <pic:cNvPr id="0" name="image05.png"/>
                    <pic:cNvPicPr preferRelativeResize="0"/>
                  </pic:nvPicPr>
                  <pic:blipFill>
                    <a:blip r:embed="rId6" cstate="print"/>
                    <a:srcRect t="4524"/>
                    <a:stretch>
                      <a:fillRect/>
                    </a:stretch>
                  </pic:blipFill>
                  <pic:spPr>
                    <a:xfrm>
                      <a:off x="0" y="0"/>
                      <a:ext cx="3039138" cy="5933533"/>
                    </a:xfrm>
                    <a:prstGeom prst="rect">
                      <a:avLst/>
                    </a:prstGeom>
                    <a:ln/>
                  </pic:spPr>
                </pic:pic>
              </a:graphicData>
            </a:graphic>
          </wp:inline>
        </w:drawing>
      </w:r>
    </w:p>
    <w:p w:rsidR="00732FE9" w:rsidRDefault="001A4C17">
      <w:pPr>
        <w:spacing w:line="480" w:lineRule="auto"/>
        <w:jc w:val="both"/>
      </w:pPr>
      <w:r>
        <w:rPr>
          <w:rFonts w:ascii="Times New Roman" w:eastAsia="Times New Roman" w:hAnsi="Times New Roman" w:cs="Times New Roman"/>
          <w:b/>
          <w:sz w:val="24"/>
          <w:szCs w:val="24"/>
        </w:rPr>
        <w:t>S2.3.</w:t>
      </w:r>
      <w:r>
        <w:rPr>
          <w:rFonts w:ascii="Times New Roman" w:eastAsia="Times New Roman" w:hAnsi="Times New Roman" w:cs="Times New Roman"/>
          <w:sz w:val="24"/>
          <w:szCs w:val="24"/>
        </w:rPr>
        <w:t xml:space="preserve"> Densitometric analysis of primary gastric cells.</w:t>
      </w:r>
    </w:p>
    <w:p w:rsidR="00732FE9" w:rsidRDefault="001A4C17">
      <w:pPr>
        <w:spacing w:line="480" w:lineRule="auto"/>
        <w:jc w:val="both"/>
      </w:pPr>
      <w:r>
        <w:rPr>
          <w:rFonts w:ascii="Times New Roman" w:eastAsia="Times New Roman" w:hAnsi="Times New Roman" w:cs="Times New Roman"/>
          <w:sz w:val="24"/>
          <w:szCs w:val="24"/>
        </w:rPr>
        <w:t>The images reported are an example of 3 biological replicates. The abbreviations are the same reported previously. Densitometric analysis of Annexin V, ERK/MAPK and VDR receptor are normalized to control values and reported as means±(SD) (%) of 3 biological replicates.  G= Grisù®; V= vitD</w:t>
      </w:r>
      <w:r>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 G+V= Grisù® combined with vitD</w:t>
      </w:r>
      <w:r>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FF0000"/>
          <w:sz w:val="24"/>
          <w:szCs w:val="24"/>
        </w:rPr>
        <w:t xml:space="preserve">In A </w:t>
      </w:r>
      <w:r>
        <w:rPr>
          <w:rFonts w:ascii="Times New Roman" w:eastAsia="Times New Roman" w:hAnsi="Times New Roman" w:cs="Times New Roman"/>
          <w:i/>
          <w:color w:val="FF0000"/>
          <w:sz w:val="24"/>
          <w:szCs w:val="24"/>
        </w:rPr>
        <w:t>p</w:t>
      </w:r>
      <w:r>
        <w:rPr>
          <w:rFonts w:ascii="Times New Roman" w:eastAsia="Times New Roman" w:hAnsi="Times New Roman" w:cs="Times New Roman"/>
          <w:color w:val="FF0000"/>
          <w:sz w:val="24"/>
          <w:szCs w:val="24"/>
        </w:rPr>
        <w:t xml:space="preserve">&lt;0.05: b, c, d, e, f, g, h </w:t>
      </w:r>
      <w:r>
        <w:rPr>
          <w:rFonts w:ascii="Times New Roman" w:eastAsia="Times New Roman" w:hAnsi="Times New Roman" w:cs="Times New Roman"/>
          <w:i/>
          <w:color w:val="FF0000"/>
          <w:sz w:val="24"/>
          <w:szCs w:val="24"/>
        </w:rPr>
        <w:t>vs</w:t>
      </w:r>
      <w:r>
        <w:rPr>
          <w:rFonts w:ascii="Times New Roman" w:eastAsia="Times New Roman" w:hAnsi="Times New Roman" w:cs="Times New Roman"/>
          <w:color w:val="FF0000"/>
          <w:sz w:val="24"/>
          <w:szCs w:val="24"/>
        </w:rPr>
        <w:t xml:space="preserve"> control (line 0%); c, d, e </w:t>
      </w:r>
      <w:r>
        <w:rPr>
          <w:rFonts w:ascii="Times New Roman" w:eastAsia="Times New Roman" w:hAnsi="Times New Roman" w:cs="Times New Roman"/>
          <w:i/>
          <w:color w:val="FF0000"/>
          <w:sz w:val="24"/>
          <w:szCs w:val="24"/>
        </w:rPr>
        <w:t>vs</w:t>
      </w:r>
      <w:r>
        <w:rPr>
          <w:rFonts w:ascii="Times New Roman" w:eastAsia="Times New Roman" w:hAnsi="Times New Roman" w:cs="Times New Roman"/>
          <w:color w:val="FF0000"/>
          <w:sz w:val="24"/>
          <w:szCs w:val="24"/>
        </w:rPr>
        <w:t xml:space="preserve"> b; e </w:t>
      </w:r>
      <w:r>
        <w:rPr>
          <w:rFonts w:ascii="Times New Roman" w:eastAsia="Times New Roman" w:hAnsi="Times New Roman" w:cs="Times New Roman"/>
          <w:i/>
          <w:color w:val="FF0000"/>
          <w:sz w:val="24"/>
          <w:szCs w:val="24"/>
        </w:rPr>
        <w:t>vs</w:t>
      </w:r>
      <w:r>
        <w:rPr>
          <w:rFonts w:ascii="Times New Roman" w:eastAsia="Times New Roman" w:hAnsi="Times New Roman" w:cs="Times New Roman"/>
          <w:color w:val="FF0000"/>
          <w:sz w:val="24"/>
          <w:szCs w:val="24"/>
        </w:rPr>
        <w:t xml:space="preserve"> a; g, h, i </w:t>
      </w:r>
      <w:r>
        <w:rPr>
          <w:rFonts w:ascii="Times New Roman" w:eastAsia="Times New Roman" w:hAnsi="Times New Roman" w:cs="Times New Roman"/>
          <w:i/>
          <w:color w:val="FF0000"/>
          <w:sz w:val="24"/>
          <w:szCs w:val="24"/>
        </w:rPr>
        <w:t>vs</w:t>
      </w:r>
      <w:r>
        <w:rPr>
          <w:rFonts w:ascii="Times New Roman" w:eastAsia="Times New Roman" w:hAnsi="Times New Roman" w:cs="Times New Roman"/>
          <w:color w:val="FF0000"/>
          <w:sz w:val="24"/>
          <w:szCs w:val="24"/>
        </w:rPr>
        <w:t xml:space="preserve"> f; g, h </w:t>
      </w:r>
      <w:r>
        <w:rPr>
          <w:rFonts w:ascii="Times New Roman" w:eastAsia="Times New Roman" w:hAnsi="Times New Roman" w:cs="Times New Roman"/>
          <w:i/>
          <w:color w:val="FF0000"/>
          <w:sz w:val="24"/>
          <w:szCs w:val="24"/>
        </w:rPr>
        <w:t>vs</w:t>
      </w:r>
      <w:r>
        <w:rPr>
          <w:rFonts w:ascii="Times New Roman" w:eastAsia="Times New Roman" w:hAnsi="Times New Roman" w:cs="Times New Roman"/>
          <w:color w:val="FF0000"/>
          <w:sz w:val="24"/>
          <w:szCs w:val="24"/>
        </w:rPr>
        <w:t xml:space="preserve"> i. In B </w:t>
      </w:r>
      <w:r>
        <w:rPr>
          <w:rFonts w:ascii="Times New Roman" w:eastAsia="Times New Roman" w:hAnsi="Times New Roman" w:cs="Times New Roman"/>
          <w:i/>
          <w:color w:val="FF0000"/>
          <w:sz w:val="24"/>
          <w:szCs w:val="24"/>
        </w:rPr>
        <w:t>p</w:t>
      </w:r>
      <w:r>
        <w:rPr>
          <w:rFonts w:ascii="Times New Roman" w:eastAsia="Times New Roman" w:hAnsi="Times New Roman" w:cs="Times New Roman"/>
          <w:color w:val="FF0000"/>
          <w:sz w:val="24"/>
          <w:szCs w:val="24"/>
        </w:rPr>
        <w:t xml:space="preserve">&lt;0.05: a, b, c, e, f, g, i, j, k </w:t>
      </w:r>
      <w:r>
        <w:rPr>
          <w:rFonts w:ascii="Times New Roman" w:eastAsia="Times New Roman" w:hAnsi="Times New Roman" w:cs="Times New Roman"/>
          <w:i/>
          <w:color w:val="FF0000"/>
          <w:sz w:val="24"/>
          <w:szCs w:val="24"/>
        </w:rPr>
        <w:t>vs</w:t>
      </w:r>
      <w:r>
        <w:rPr>
          <w:rFonts w:ascii="Times New Roman" w:eastAsia="Times New Roman" w:hAnsi="Times New Roman" w:cs="Times New Roman"/>
          <w:color w:val="FF0000"/>
          <w:sz w:val="24"/>
          <w:szCs w:val="24"/>
        </w:rPr>
        <w:t xml:space="preserve"> control (line 0%); a, b, g, k </w:t>
      </w:r>
      <w:r>
        <w:rPr>
          <w:rFonts w:ascii="Times New Roman" w:eastAsia="Times New Roman" w:hAnsi="Times New Roman" w:cs="Times New Roman"/>
          <w:i/>
          <w:color w:val="FF0000"/>
          <w:sz w:val="24"/>
          <w:szCs w:val="24"/>
        </w:rPr>
        <w:t>vs</w:t>
      </w:r>
      <w:r>
        <w:rPr>
          <w:rFonts w:ascii="Times New Roman" w:eastAsia="Times New Roman" w:hAnsi="Times New Roman" w:cs="Times New Roman"/>
          <w:color w:val="FF0000"/>
          <w:sz w:val="24"/>
          <w:szCs w:val="24"/>
        </w:rPr>
        <w:t xml:space="preserve"> c; e, f, g </w:t>
      </w:r>
      <w:r>
        <w:rPr>
          <w:rFonts w:ascii="Times New Roman" w:eastAsia="Times New Roman" w:hAnsi="Times New Roman" w:cs="Times New Roman"/>
          <w:i/>
          <w:color w:val="FF0000"/>
          <w:sz w:val="24"/>
          <w:szCs w:val="24"/>
        </w:rPr>
        <w:t>vs</w:t>
      </w:r>
      <w:r>
        <w:rPr>
          <w:rFonts w:ascii="Times New Roman" w:eastAsia="Times New Roman" w:hAnsi="Times New Roman" w:cs="Times New Roman"/>
          <w:color w:val="FF0000"/>
          <w:sz w:val="24"/>
          <w:szCs w:val="24"/>
        </w:rPr>
        <w:t xml:space="preserve"> d; e, f </w:t>
      </w:r>
      <w:r>
        <w:rPr>
          <w:rFonts w:ascii="Times New Roman" w:eastAsia="Times New Roman" w:hAnsi="Times New Roman" w:cs="Times New Roman"/>
          <w:i/>
          <w:color w:val="FF0000"/>
          <w:sz w:val="24"/>
          <w:szCs w:val="24"/>
        </w:rPr>
        <w:t>vs</w:t>
      </w:r>
      <w:r>
        <w:rPr>
          <w:rFonts w:ascii="Times New Roman" w:eastAsia="Times New Roman" w:hAnsi="Times New Roman" w:cs="Times New Roman"/>
          <w:color w:val="FF0000"/>
          <w:sz w:val="24"/>
          <w:szCs w:val="24"/>
        </w:rPr>
        <w:t xml:space="preserve"> g; i, j, k </w:t>
      </w:r>
      <w:r>
        <w:rPr>
          <w:rFonts w:ascii="Times New Roman" w:eastAsia="Times New Roman" w:hAnsi="Times New Roman" w:cs="Times New Roman"/>
          <w:i/>
          <w:color w:val="FF0000"/>
          <w:sz w:val="24"/>
          <w:szCs w:val="24"/>
        </w:rPr>
        <w:t>vs</w:t>
      </w:r>
      <w:r>
        <w:rPr>
          <w:rFonts w:ascii="Times New Roman" w:eastAsia="Times New Roman" w:hAnsi="Times New Roman" w:cs="Times New Roman"/>
          <w:color w:val="FF0000"/>
          <w:sz w:val="24"/>
          <w:szCs w:val="24"/>
        </w:rPr>
        <w:t xml:space="preserve"> h; k </w:t>
      </w:r>
      <w:r>
        <w:rPr>
          <w:rFonts w:ascii="Times New Roman" w:eastAsia="Times New Roman" w:hAnsi="Times New Roman" w:cs="Times New Roman"/>
          <w:i/>
          <w:color w:val="FF0000"/>
          <w:sz w:val="24"/>
          <w:szCs w:val="24"/>
        </w:rPr>
        <w:t>vs</w:t>
      </w:r>
      <w:r>
        <w:rPr>
          <w:rFonts w:ascii="Times New Roman" w:eastAsia="Times New Roman" w:hAnsi="Times New Roman" w:cs="Times New Roman"/>
          <w:color w:val="FF0000"/>
          <w:sz w:val="24"/>
          <w:szCs w:val="24"/>
        </w:rPr>
        <w:t xml:space="preserve"> i. In C </w:t>
      </w:r>
      <w:r>
        <w:rPr>
          <w:rFonts w:ascii="Times New Roman" w:eastAsia="Times New Roman" w:hAnsi="Times New Roman" w:cs="Times New Roman"/>
          <w:i/>
          <w:color w:val="FF0000"/>
          <w:sz w:val="24"/>
          <w:szCs w:val="24"/>
        </w:rPr>
        <w:t>p</w:t>
      </w:r>
      <w:r>
        <w:rPr>
          <w:rFonts w:ascii="Times New Roman" w:eastAsia="Times New Roman" w:hAnsi="Times New Roman" w:cs="Times New Roman"/>
          <w:color w:val="FF0000"/>
          <w:sz w:val="24"/>
          <w:szCs w:val="24"/>
        </w:rPr>
        <w:t xml:space="preserve">&lt;0.05: a, b, e, f, i, j </w:t>
      </w:r>
      <w:r>
        <w:rPr>
          <w:rFonts w:ascii="Times New Roman" w:eastAsia="Times New Roman" w:hAnsi="Times New Roman" w:cs="Times New Roman"/>
          <w:i/>
          <w:color w:val="FF0000"/>
          <w:sz w:val="24"/>
          <w:szCs w:val="24"/>
        </w:rPr>
        <w:t>vs</w:t>
      </w:r>
      <w:r>
        <w:rPr>
          <w:rFonts w:ascii="Times New Roman" w:eastAsia="Times New Roman" w:hAnsi="Times New Roman" w:cs="Times New Roman"/>
          <w:color w:val="FF0000"/>
          <w:sz w:val="24"/>
          <w:szCs w:val="24"/>
        </w:rPr>
        <w:t xml:space="preserve"> control (line 0%); d, e, f </w:t>
      </w:r>
      <w:r>
        <w:rPr>
          <w:rFonts w:ascii="Times New Roman" w:eastAsia="Times New Roman" w:hAnsi="Times New Roman" w:cs="Times New Roman"/>
          <w:i/>
          <w:color w:val="FF0000"/>
          <w:sz w:val="24"/>
          <w:szCs w:val="24"/>
        </w:rPr>
        <w:t>vs</w:t>
      </w:r>
      <w:r>
        <w:rPr>
          <w:rFonts w:ascii="Times New Roman" w:eastAsia="Times New Roman" w:hAnsi="Times New Roman" w:cs="Times New Roman"/>
          <w:color w:val="FF0000"/>
          <w:sz w:val="24"/>
          <w:szCs w:val="24"/>
        </w:rPr>
        <w:t xml:space="preserve"> c; d, e </w:t>
      </w:r>
      <w:r>
        <w:rPr>
          <w:rFonts w:ascii="Times New Roman" w:eastAsia="Times New Roman" w:hAnsi="Times New Roman" w:cs="Times New Roman"/>
          <w:i/>
          <w:color w:val="FF0000"/>
          <w:sz w:val="24"/>
          <w:szCs w:val="24"/>
        </w:rPr>
        <w:t>vs</w:t>
      </w:r>
      <w:r>
        <w:rPr>
          <w:rFonts w:ascii="Times New Roman" w:eastAsia="Times New Roman" w:hAnsi="Times New Roman" w:cs="Times New Roman"/>
          <w:color w:val="FF0000"/>
          <w:sz w:val="24"/>
          <w:szCs w:val="24"/>
        </w:rPr>
        <w:t xml:space="preserve"> f; h, i, j </w:t>
      </w:r>
      <w:r>
        <w:rPr>
          <w:rFonts w:ascii="Times New Roman" w:eastAsia="Times New Roman" w:hAnsi="Times New Roman" w:cs="Times New Roman"/>
          <w:i/>
          <w:color w:val="FF0000"/>
          <w:sz w:val="24"/>
          <w:szCs w:val="24"/>
        </w:rPr>
        <w:t>vs</w:t>
      </w:r>
      <w:r>
        <w:rPr>
          <w:rFonts w:ascii="Times New Roman" w:eastAsia="Times New Roman" w:hAnsi="Times New Roman" w:cs="Times New Roman"/>
          <w:color w:val="FF0000"/>
          <w:sz w:val="24"/>
          <w:szCs w:val="24"/>
        </w:rPr>
        <w:t xml:space="preserve"> g; h, i </w:t>
      </w:r>
      <w:r>
        <w:rPr>
          <w:rFonts w:ascii="Times New Roman" w:eastAsia="Times New Roman" w:hAnsi="Times New Roman" w:cs="Times New Roman"/>
          <w:i/>
          <w:color w:val="FF0000"/>
          <w:sz w:val="24"/>
          <w:szCs w:val="24"/>
        </w:rPr>
        <w:t>vs</w:t>
      </w:r>
      <w:r>
        <w:rPr>
          <w:rFonts w:ascii="Times New Roman" w:eastAsia="Times New Roman" w:hAnsi="Times New Roman" w:cs="Times New Roman"/>
          <w:color w:val="FF0000"/>
          <w:sz w:val="24"/>
          <w:szCs w:val="24"/>
        </w:rPr>
        <w:t xml:space="preserve"> j; f, j </w:t>
      </w:r>
      <w:r>
        <w:rPr>
          <w:rFonts w:ascii="Times New Roman" w:eastAsia="Times New Roman" w:hAnsi="Times New Roman" w:cs="Times New Roman"/>
          <w:i/>
          <w:color w:val="FF0000"/>
          <w:sz w:val="24"/>
          <w:szCs w:val="24"/>
        </w:rPr>
        <w:t>vs</w:t>
      </w:r>
      <w:r>
        <w:rPr>
          <w:rFonts w:ascii="Times New Roman" w:eastAsia="Times New Roman" w:hAnsi="Times New Roman" w:cs="Times New Roman"/>
          <w:color w:val="FF0000"/>
          <w:sz w:val="24"/>
          <w:szCs w:val="24"/>
        </w:rPr>
        <w:t xml:space="preserve"> b</w:t>
      </w:r>
      <w:r>
        <w:rPr>
          <w:rFonts w:ascii="Times New Roman" w:eastAsia="Times New Roman" w:hAnsi="Times New Roman" w:cs="Times New Roman"/>
          <w:sz w:val="24"/>
          <w:szCs w:val="24"/>
        </w:rPr>
        <w:t>.</w:t>
      </w:r>
    </w:p>
    <w:p w:rsidR="00732FE9" w:rsidRDefault="00732FE9">
      <w:pPr>
        <w:spacing w:line="480" w:lineRule="auto"/>
        <w:jc w:val="both"/>
      </w:pPr>
    </w:p>
    <w:p w:rsidR="00732FE9" w:rsidRDefault="00732FE9">
      <w:pPr>
        <w:spacing w:line="480" w:lineRule="auto"/>
        <w:jc w:val="both"/>
      </w:pPr>
    </w:p>
    <w:p w:rsidR="00732FE9" w:rsidRDefault="00732FE9">
      <w:pPr>
        <w:spacing w:line="480" w:lineRule="auto"/>
        <w:jc w:val="both"/>
      </w:pPr>
    </w:p>
    <w:sectPr w:rsidR="00732FE9" w:rsidSect="006E6530">
      <w:pgSz w:w="11909" w:h="16834"/>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hyphenationZone w:val="283"/>
  <w:characterSpacingControl w:val="doNotCompress"/>
  <w:compat/>
  <w:docVars>
    <w:docVar w:name="Total_Editing_Time" w:val="0"/>
  </w:docVars>
  <w:rsids>
    <w:rsidRoot w:val="00732FE9"/>
    <w:rsid w:val="001A4C17"/>
    <w:rsid w:val="005D7D52"/>
    <w:rsid w:val="006E6530"/>
    <w:rsid w:val="00732FE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sz w:val="22"/>
        <w:szCs w:val="22"/>
        <w:lang w:val="it-IT" w:eastAsia="it-IT"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E6530"/>
  </w:style>
  <w:style w:type="paragraph" w:styleId="Heading1">
    <w:name w:val="heading 1"/>
    <w:basedOn w:val="Normal"/>
    <w:next w:val="Normal"/>
    <w:rsid w:val="006E6530"/>
    <w:pPr>
      <w:keepNext/>
      <w:keepLines/>
      <w:spacing w:before="400" w:after="120"/>
      <w:outlineLvl w:val="0"/>
    </w:pPr>
    <w:rPr>
      <w:sz w:val="40"/>
      <w:szCs w:val="40"/>
    </w:rPr>
  </w:style>
  <w:style w:type="paragraph" w:styleId="Heading2">
    <w:name w:val="heading 2"/>
    <w:basedOn w:val="Normal"/>
    <w:next w:val="Normal"/>
    <w:rsid w:val="006E6530"/>
    <w:pPr>
      <w:keepNext/>
      <w:keepLines/>
      <w:spacing w:before="360" w:after="120"/>
      <w:outlineLvl w:val="1"/>
    </w:pPr>
    <w:rPr>
      <w:sz w:val="32"/>
      <w:szCs w:val="32"/>
    </w:rPr>
  </w:style>
  <w:style w:type="paragraph" w:styleId="Heading3">
    <w:name w:val="heading 3"/>
    <w:basedOn w:val="Normal"/>
    <w:next w:val="Normal"/>
    <w:rsid w:val="006E6530"/>
    <w:pPr>
      <w:keepNext/>
      <w:keepLines/>
      <w:spacing w:before="320" w:after="80"/>
      <w:outlineLvl w:val="2"/>
    </w:pPr>
    <w:rPr>
      <w:color w:val="434343"/>
      <w:sz w:val="28"/>
      <w:szCs w:val="28"/>
    </w:rPr>
  </w:style>
  <w:style w:type="paragraph" w:styleId="Heading4">
    <w:name w:val="heading 4"/>
    <w:basedOn w:val="Normal"/>
    <w:next w:val="Normal"/>
    <w:rsid w:val="006E6530"/>
    <w:pPr>
      <w:keepNext/>
      <w:keepLines/>
      <w:spacing w:before="280" w:after="80"/>
      <w:outlineLvl w:val="3"/>
    </w:pPr>
    <w:rPr>
      <w:color w:val="666666"/>
      <w:sz w:val="24"/>
      <w:szCs w:val="24"/>
    </w:rPr>
  </w:style>
  <w:style w:type="paragraph" w:styleId="Heading5">
    <w:name w:val="heading 5"/>
    <w:basedOn w:val="Normal"/>
    <w:next w:val="Normal"/>
    <w:rsid w:val="006E6530"/>
    <w:pPr>
      <w:keepNext/>
      <w:keepLines/>
      <w:spacing w:before="240" w:after="80"/>
      <w:outlineLvl w:val="4"/>
    </w:pPr>
    <w:rPr>
      <w:color w:val="666666"/>
    </w:rPr>
  </w:style>
  <w:style w:type="paragraph" w:styleId="Heading6">
    <w:name w:val="heading 6"/>
    <w:basedOn w:val="Normal"/>
    <w:next w:val="Normal"/>
    <w:rsid w:val="006E6530"/>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rsid w:val="006E6530"/>
    <w:tblPr>
      <w:tblCellMar>
        <w:top w:w="0" w:type="dxa"/>
        <w:left w:w="0" w:type="dxa"/>
        <w:bottom w:w="0" w:type="dxa"/>
        <w:right w:w="0" w:type="dxa"/>
      </w:tblCellMar>
    </w:tblPr>
  </w:style>
  <w:style w:type="paragraph" w:styleId="Title">
    <w:name w:val="Title"/>
    <w:basedOn w:val="Normal"/>
    <w:next w:val="Normal"/>
    <w:rsid w:val="006E6530"/>
    <w:pPr>
      <w:keepNext/>
      <w:keepLines/>
      <w:spacing w:after="60"/>
    </w:pPr>
    <w:rPr>
      <w:sz w:val="52"/>
      <w:szCs w:val="52"/>
    </w:rPr>
  </w:style>
  <w:style w:type="paragraph" w:styleId="Subtitle">
    <w:name w:val="Subtitle"/>
    <w:basedOn w:val="Normal"/>
    <w:next w:val="Normal"/>
    <w:rsid w:val="006E6530"/>
    <w:pPr>
      <w:keepNext/>
      <w:keepLines/>
      <w:spacing w:after="320"/>
    </w:pPr>
    <w:rPr>
      <w:i/>
      <w:color w:val="666666"/>
      <w:sz w:val="30"/>
      <w:szCs w:val="30"/>
    </w:rPr>
  </w:style>
  <w:style w:type="paragraph" w:styleId="BalloonText">
    <w:name w:val="Balloon Text"/>
    <w:basedOn w:val="Normal"/>
    <w:link w:val="BalloonTextChar"/>
    <w:uiPriority w:val="99"/>
    <w:semiHidden/>
    <w:unhideWhenUsed/>
    <w:rsid w:val="005D7D5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7D5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832</Words>
  <Characters>3924</Characters>
  <Application>Microsoft Office Word</Application>
  <DocSecurity>0</DocSecurity>
  <Lines>78</Lines>
  <Paragraphs>19</Paragraphs>
  <ScaleCrop>false</ScaleCrop>
  <Company>SPi Global</Company>
  <LinksUpToDate>false</LinksUpToDate>
  <CharactersWithSpaces>4737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Fundador, Charlene</dc:creator>
  <cp:lastModifiedBy>CFUNDADOR</cp:lastModifiedBy>
  <cp:revision>2</cp:revision>
  <dcterms:created xsi:type="dcterms:W3CDTF">2016-10-04T12:47:00Z</dcterms:created>
  <dcterms:modified xsi:type="dcterms:W3CDTF">2016-10-04T12:47:00Z</dcterms:modified>
</cp:coreProperties>
</file>