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899" w:rsidRDefault="00D70899" w:rsidP="00D70899">
      <w:pPr>
        <w:rPr>
          <w:b/>
          <w:bCs/>
        </w:rPr>
      </w:pPr>
    </w:p>
    <w:p w:rsidR="00D70899" w:rsidRPr="002A60CF" w:rsidRDefault="00D70899" w:rsidP="00D70899">
      <w:pPr>
        <w:keepNext/>
        <w:spacing w:line="36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</w:rPr>
      </w:pPr>
      <w:r w:rsidRPr="002A60CF">
        <w:rPr>
          <w:rFonts w:asciiTheme="majorBidi" w:eastAsia="Calibri" w:hAnsiTheme="majorBidi" w:cstheme="majorBidi"/>
          <w:b/>
          <w:bCs/>
          <w:sz w:val="24"/>
          <w:szCs w:val="24"/>
        </w:rPr>
        <w:t>Supplement table</w:t>
      </w:r>
      <w:proofErr w:type="gramStart"/>
      <w:r w:rsidRPr="002A60CF">
        <w:rPr>
          <w:rFonts w:asciiTheme="majorBidi" w:eastAsia="Calibri" w:hAnsiTheme="majorBidi" w:cstheme="majorBidi"/>
          <w:b/>
          <w:bCs/>
          <w:sz w:val="24"/>
          <w:szCs w:val="24"/>
        </w:rPr>
        <w:t>.  Summary of clinical and diagnostic aspects of gluten</w:t>
      </w:r>
      <w:r>
        <w:rPr>
          <w:rFonts w:asciiTheme="majorBidi" w:eastAsia="Calibri" w:hAnsiTheme="majorBidi" w:cstheme="majorBidi"/>
          <w:b/>
          <w:bCs/>
          <w:sz w:val="24"/>
          <w:szCs w:val="24"/>
        </w:rPr>
        <w:t>-</w:t>
      </w:r>
      <w:r w:rsidRPr="002A60CF">
        <w:rPr>
          <w:rFonts w:asciiTheme="majorBidi" w:eastAsia="Calibri" w:hAnsiTheme="majorBidi" w:cstheme="majorBidi"/>
          <w:b/>
          <w:bCs/>
          <w:sz w:val="24"/>
          <w:szCs w:val="24"/>
        </w:rPr>
        <w:t>related disorders.</w:t>
      </w:r>
      <w:proofErr w:type="gramEnd"/>
    </w:p>
    <w:tbl>
      <w:tblPr>
        <w:tblStyle w:val="TableGrid"/>
        <w:tblW w:w="11407" w:type="dxa"/>
        <w:tblInd w:w="-1152" w:type="dxa"/>
        <w:tblLayout w:type="fixed"/>
        <w:tblLook w:val="04A0" w:firstRow="1" w:lastRow="0" w:firstColumn="1" w:lastColumn="0" w:noHBand="0" w:noVBand="1"/>
      </w:tblPr>
      <w:tblGrid>
        <w:gridCol w:w="1057"/>
        <w:gridCol w:w="990"/>
        <w:gridCol w:w="900"/>
        <w:gridCol w:w="1440"/>
        <w:gridCol w:w="1170"/>
        <w:gridCol w:w="1350"/>
        <w:gridCol w:w="990"/>
        <w:gridCol w:w="1440"/>
        <w:gridCol w:w="990"/>
        <w:gridCol w:w="1080"/>
      </w:tblGrid>
      <w:tr w:rsidR="00D70899" w:rsidRPr="002A60CF" w:rsidTr="005C1D5C">
        <w:trPr>
          <w:trHeight w:val="562"/>
        </w:trPr>
        <w:tc>
          <w:tcPr>
            <w:tcW w:w="1057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0" w:type="dxa"/>
          </w:tcPr>
          <w:p w:rsidR="00D70899" w:rsidRPr="002A60CF" w:rsidRDefault="00D70899" w:rsidP="005C1D5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Incidence</w:t>
            </w:r>
          </w:p>
        </w:tc>
        <w:tc>
          <w:tcPr>
            <w:tcW w:w="900" w:type="dxa"/>
          </w:tcPr>
          <w:p w:rsidR="00D70899" w:rsidRPr="002A60CF" w:rsidRDefault="00D70899" w:rsidP="005C1D5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Gender</w:t>
            </w:r>
          </w:p>
        </w:tc>
        <w:tc>
          <w:tcPr>
            <w:tcW w:w="1440" w:type="dxa"/>
          </w:tcPr>
          <w:p w:rsidR="00D70899" w:rsidRPr="002A60CF" w:rsidRDefault="00D70899" w:rsidP="005C1D5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Clinical features</w:t>
            </w:r>
          </w:p>
        </w:tc>
        <w:tc>
          <w:tcPr>
            <w:tcW w:w="1170" w:type="dxa"/>
          </w:tcPr>
          <w:p w:rsidR="00D70899" w:rsidRPr="002A60CF" w:rsidRDefault="00D70899" w:rsidP="005C1D5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Associated disorders</w:t>
            </w:r>
          </w:p>
        </w:tc>
        <w:tc>
          <w:tcPr>
            <w:tcW w:w="1350" w:type="dxa"/>
          </w:tcPr>
          <w:p w:rsidR="00D70899" w:rsidRPr="002A60CF" w:rsidRDefault="00D70899" w:rsidP="005C1D5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Serology</w:t>
            </w:r>
          </w:p>
        </w:tc>
        <w:tc>
          <w:tcPr>
            <w:tcW w:w="990" w:type="dxa"/>
          </w:tcPr>
          <w:p w:rsidR="00D70899" w:rsidRPr="002A60CF" w:rsidRDefault="00D70899" w:rsidP="005C1D5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Genetic</w:t>
            </w:r>
          </w:p>
        </w:tc>
        <w:tc>
          <w:tcPr>
            <w:tcW w:w="1440" w:type="dxa"/>
          </w:tcPr>
          <w:p w:rsidR="00D70899" w:rsidRPr="002A60CF" w:rsidRDefault="00D70899" w:rsidP="005C1D5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Histology</w:t>
            </w:r>
          </w:p>
        </w:tc>
        <w:tc>
          <w:tcPr>
            <w:tcW w:w="990" w:type="dxa"/>
          </w:tcPr>
          <w:p w:rsidR="00D70899" w:rsidRPr="002A60CF" w:rsidRDefault="00D70899" w:rsidP="005C1D5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Skin tests</w:t>
            </w:r>
          </w:p>
        </w:tc>
        <w:tc>
          <w:tcPr>
            <w:tcW w:w="1080" w:type="dxa"/>
          </w:tcPr>
          <w:p w:rsidR="00D70899" w:rsidRPr="002A60CF" w:rsidRDefault="00D70899" w:rsidP="005C1D5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Treatment</w:t>
            </w:r>
          </w:p>
        </w:tc>
      </w:tr>
      <w:tr w:rsidR="00D70899" w:rsidRPr="002A60CF" w:rsidTr="005C1D5C">
        <w:trPr>
          <w:trHeight w:val="3439"/>
        </w:trPr>
        <w:tc>
          <w:tcPr>
            <w:tcW w:w="1057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Celiac Disease</w:t>
            </w:r>
          </w:p>
        </w:tc>
        <w:tc>
          <w:tcPr>
            <w:tcW w:w="99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1-2% worldwide</w:t>
            </w:r>
          </w:p>
        </w:tc>
        <w:tc>
          <w:tcPr>
            <w:tcW w:w="90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Female &gt; Male</w:t>
            </w:r>
          </w:p>
        </w:tc>
        <w:tc>
          <w:tcPr>
            <w:tcW w:w="144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1. intestinal symptoms: diarrhea, </w:t>
            </w:r>
            <w:proofErr w:type="spell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malabsorption</w:t>
            </w:r>
            <w:proofErr w:type="spell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, abdominal pain, 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2. </w:t>
            </w:r>
            <w:proofErr w:type="gram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extra-intestinal</w:t>
            </w:r>
            <w:proofErr w:type="gram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symptoms: iron deficiency, neurological and psychological disorders, growth retardation, …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3. </w:t>
            </w:r>
            <w:proofErr w:type="gram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no</w:t>
            </w:r>
            <w:proofErr w:type="gram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symptoms.</w:t>
            </w:r>
          </w:p>
        </w:tc>
        <w:tc>
          <w:tcPr>
            <w:tcW w:w="117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1.genetic disorders: down syndrome, turner syndrome, Williams syndrome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2. </w:t>
            </w:r>
            <w:proofErr w:type="gram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autoimmune</w:t>
            </w:r>
            <w:proofErr w:type="gram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syndromes: DM1, IBS, thyroid disorders, …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3.neurological disorders: ataxia, epilepsy</w:t>
            </w:r>
          </w:p>
        </w:tc>
        <w:tc>
          <w:tcPr>
            <w:tcW w:w="135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1. ANTI-TTG: the most common marker with 95% sensitivity and 95% specificity.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2. ANTI-EMA: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One of the first line tools, but expensive with 96% sensitivity and close to 100% specificity.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3. AGA: it is not recommended because of low sensitivity (80%) and low specificity (80-90%)</w:t>
            </w:r>
          </w:p>
        </w:tc>
        <w:tc>
          <w:tcPr>
            <w:tcW w:w="99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HLA-DQ2 is found in 95% of CD patients and HLA-DQ8 is found in the other 5%.</w:t>
            </w:r>
          </w:p>
        </w:tc>
        <w:tc>
          <w:tcPr>
            <w:tcW w:w="144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Small intestinal biopsy is a gold standard for CD diagnosis that includes: crypt hyperplasia, flattening of intestinal villi, notching of mucosal folds, decreased enterocyte height, increased intestinal intraepithelial lymphocytes.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This method has </w:t>
            </w:r>
            <w:proofErr w:type="gram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a 96</w:t>
            </w:r>
            <w:proofErr w:type="gram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>% sensitivity.</w:t>
            </w:r>
          </w:p>
        </w:tc>
        <w:tc>
          <w:tcPr>
            <w:tcW w:w="99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Not used.</w:t>
            </w:r>
          </w:p>
        </w:tc>
        <w:tc>
          <w:tcPr>
            <w:tcW w:w="108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Gluten free diet.</w:t>
            </w:r>
          </w:p>
        </w:tc>
      </w:tr>
      <w:tr w:rsidR="00D70899" w:rsidRPr="002A60CF" w:rsidTr="005C1D5C">
        <w:trPr>
          <w:trHeight w:val="562"/>
        </w:trPr>
        <w:tc>
          <w:tcPr>
            <w:tcW w:w="1057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Non-Celiac Gluten Sensitivity</w:t>
            </w:r>
          </w:p>
        </w:tc>
        <w:tc>
          <w:tcPr>
            <w:tcW w:w="99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0.6-13%</w:t>
            </w:r>
          </w:p>
        </w:tc>
        <w:tc>
          <w:tcPr>
            <w:tcW w:w="90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More common in females than males (F/M 6:1)</w:t>
            </w:r>
          </w:p>
        </w:tc>
        <w:tc>
          <w:tcPr>
            <w:tcW w:w="144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1. Intestinal symptoms: abdominal pain, diarrhea, constipation,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2. Extra-intestinal symptoms: malaise, anemia, psychological symptoms.</w:t>
            </w:r>
          </w:p>
        </w:tc>
        <w:tc>
          <w:tcPr>
            <w:tcW w:w="117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IBS, other autoimmune disease.</w:t>
            </w:r>
          </w:p>
        </w:tc>
        <w:tc>
          <w:tcPr>
            <w:tcW w:w="135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It is diagnosed after rul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ing</w:t>
            </w:r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out celiac disease and wheat allergy.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DBPC gluten challenge in the diagnostic gold standard.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1. ANTI-AGA: its prevalence is lower than in CD.</w:t>
            </w:r>
          </w:p>
        </w:tc>
        <w:tc>
          <w:tcPr>
            <w:tcW w:w="99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HLA-DQ2/DQ8 is found in 50% of NCGS patients.</w:t>
            </w:r>
          </w:p>
        </w:tc>
        <w:tc>
          <w:tcPr>
            <w:tcW w:w="144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The intestinal biopsy includes: increased level of TLR-1, </w:t>
            </w:r>
            <w:proofErr w:type="gram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2 receptor, CD3, intraepithelial lymphocytes</w:t>
            </w:r>
            <w:proofErr w:type="gram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. </w:t>
            </w:r>
          </w:p>
        </w:tc>
        <w:tc>
          <w:tcPr>
            <w:tcW w:w="99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Not used.</w:t>
            </w:r>
          </w:p>
        </w:tc>
        <w:tc>
          <w:tcPr>
            <w:tcW w:w="108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Gluten free diet.</w:t>
            </w:r>
          </w:p>
        </w:tc>
      </w:tr>
      <w:tr w:rsidR="00D70899" w:rsidRPr="002A60CF" w:rsidTr="005C1D5C">
        <w:trPr>
          <w:trHeight w:val="289"/>
        </w:trPr>
        <w:tc>
          <w:tcPr>
            <w:tcW w:w="1057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Wheat </w:t>
            </w:r>
            <w:r w:rsidRPr="002A60CF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lastRenderedPageBreak/>
              <w:t>allergy</w:t>
            </w:r>
          </w:p>
        </w:tc>
        <w:tc>
          <w:tcPr>
            <w:tcW w:w="99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0.5-1%</w:t>
            </w:r>
          </w:p>
        </w:tc>
        <w:tc>
          <w:tcPr>
            <w:tcW w:w="90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44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proofErr w:type="gram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1.IGE</w:t>
            </w:r>
            <w:proofErr w:type="gram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-mediated </w:t>
            </w:r>
            <w:r w:rsidRPr="002A60CF">
              <w:rPr>
                <w:rFonts w:asciiTheme="majorBidi" w:hAnsiTheme="majorBidi" w:cstheme="majorBidi"/>
                <w:sz w:val="18"/>
                <w:szCs w:val="18"/>
              </w:rPr>
              <w:lastRenderedPageBreak/>
              <w:t xml:space="preserve">WA includes: food allergy, respiratory allergy, contact </w:t>
            </w:r>
            <w:proofErr w:type="spell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urticaria</w:t>
            </w:r>
            <w:proofErr w:type="spell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>, WDEIA, anaphylaxis.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proofErr w:type="gram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2.NON</w:t>
            </w:r>
            <w:proofErr w:type="gram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-IgE mediated WA includes: </w:t>
            </w:r>
            <w:proofErr w:type="spell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eosinophilic</w:t>
            </w:r>
            <w:proofErr w:type="spell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esophagitis, </w:t>
            </w:r>
            <w:proofErr w:type="spell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eosinophilic</w:t>
            </w:r>
            <w:proofErr w:type="spell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gastritis.</w:t>
            </w:r>
          </w:p>
        </w:tc>
        <w:tc>
          <w:tcPr>
            <w:tcW w:w="117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lastRenderedPageBreak/>
              <w:t xml:space="preserve">There is an </w:t>
            </w:r>
            <w:r w:rsidRPr="002A60CF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association with allergy to milk, egg, peanut, …</w:t>
            </w:r>
          </w:p>
        </w:tc>
        <w:tc>
          <w:tcPr>
            <w:tcW w:w="135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lastRenderedPageBreak/>
              <w:t xml:space="preserve">DBPCFC is the </w:t>
            </w:r>
            <w:r w:rsidRPr="002A60CF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diagnostic gold standard.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proofErr w:type="gram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1.ANTI</w:t>
            </w:r>
            <w:proofErr w:type="gram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>-IgE: with 83% sensitivity and 43% specificity.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proofErr w:type="gram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2.ANTI</w:t>
            </w:r>
            <w:proofErr w:type="gram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>-IGG/IGG4: it is not recommended as a diagnostic test.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3.BAT (</w:t>
            </w:r>
            <w:proofErr w:type="spell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flowcytometric</w:t>
            </w:r>
            <w:proofErr w:type="spell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basophil activation testing)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proofErr w:type="gram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4.Tri</w:t>
            </w:r>
            <w:proofErr w:type="gram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a 19, Tri a 36: useful in infants and WDEIA.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9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44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99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Skin prick </w:t>
            </w:r>
            <w:r w:rsidRPr="002A60CF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test (SPT)</w:t>
            </w:r>
            <w:proofErr w:type="gram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:is</w:t>
            </w:r>
            <w:proofErr w:type="gram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performed in the volar surface of forearm using the extract of wheat. A wheal size &gt;_ 3mm within 15min is considered positive. </w:t>
            </w:r>
            <w:proofErr w:type="gram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with</w:t>
            </w:r>
            <w:proofErr w:type="gram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73% sensitivity and 73% specificity.</w:t>
            </w:r>
          </w:p>
        </w:tc>
        <w:tc>
          <w:tcPr>
            <w:tcW w:w="108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lastRenderedPageBreak/>
              <w:t xml:space="preserve">1. Wheat </w:t>
            </w:r>
            <w:r w:rsidRPr="002A60CF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free diet.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2. EPINEPHRIN administration in case of exposure and anaphylaxis.</w:t>
            </w:r>
          </w:p>
        </w:tc>
      </w:tr>
      <w:tr w:rsidR="00D70899" w:rsidRPr="002A60CF" w:rsidTr="005C1D5C">
        <w:trPr>
          <w:trHeight w:val="271"/>
        </w:trPr>
        <w:tc>
          <w:tcPr>
            <w:tcW w:w="1057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lastRenderedPageBreak/>
              <w:t>Gluten-Ataxia</w:t>
            </w:r>
          </w:p>
        </w:tc>
        <w:tc>
          <w:tcPr>
            <w:tcW w:w="99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Common in the USA and Europe, rare in Asia.</w:t>
            </w:r>
          </w:p>
        </w:tc>
        <w:tc>
          <w:tcPr>
            <w:tcW w:w="90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Female=male</w:t>
            </w:r>
          </w:p>
        </w:tc>
        <w:tc>
          <w:tcPr>
            <w:tcW w:w="144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A cerebellar ataxia with Ocular signs like gaze-evoked </w:t>
            </w:r>
            <w:proofErr w:type="spell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nystagmus</w:t>
            </w:r>
            <w:proofErr w:type="spell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(84%), dysarthria (66%), gait ataxia (100%), upper limb ataxia (75%), lower limb ataxia (90%). 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Less than 10% of the patients have GI symptoms.</w:t>
            </w:r>
          </w:p>
        </w:tc>
        <w:tc>
          <w:tcPr>
            <w:tcW w:w="117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35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1. ANTI-GLIADIN ANTIBODY: this marker is neurotoxic and high in 12-41% of the patients with ataxia and 5-12% in normal people. THE LEVEL &gt;20 IS POSITIVE. Its specificity ranges between 82-95%.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2. ANTI-DGP.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3. ANTI-TG6: is more specific and sensitive.</w:t>
            </w:r>
          </w:p>
        </w:tc>
        <w:tc>
          <w:tcPr>
            <w:tcW w:w="99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There is no need to measure HLA-DQ2/DQ8.</w:t>
            </w:r>
          </w:p>
        </w:tc>
        <w:tc>
          <w:tcPr>
            <w:tcW w:w="144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The autopsies of the cerebellum include: patchy loss of Purkinje cells, </w:t>
            </w:r>
            <w:proofErr w:type="spell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astrocytic</w:t>
            </w:r>
            <w:proofErr w:type="spell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gliosis, </w:t>
            </w:r>
            <w:proofErr w:type="spellStart"/>
            <w:proofErr w:type="gram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vacuolation</w:t>
            </w:r>
            <w:proofErr w:type="spellEnd"/>
            <w:proofErr w:type="gram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of neutrophil and diffuse infiltration of T cells.</w:t>
            </w:r>
          </w:p>
        </w:tc>
        <w:tc>
          <w:tcPr>
            <w:tcW w:w="99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Not used.</w:t>
            </w:r>
          </w:p>
        </w:tc>
        <w:tc>
          <w:tcPr>
            <w:tcW w:w="108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1.gluten free diet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2.immunotherapy, especially IVIG therapy</w:t>
            </w:r>
          </w:p>
        </w:tc>
      </w:tr>
      <w:tr w:rsidR="00D70899" w:rsidRPr="002A60CF" w:rsidTr="005C1D5C">
        <w:trPr>
          <w:trHeight w:val="1016"/>
        </w:trPr>
        <w:tc>
          <w:tcPr>
            <w:tcW w:w="1057" w:type="dxa"/>
          </w:tcPr>
          <w:p w:rsidR="00D70899" w:rsidRPr="00787EF1" w:rsidRDefault="00D70899" w:rsidP="005C1D5C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87EF1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lastRenderedPageBreak/>
              <w:t xml:space="preserve">Dermatitis </w:t>
            </w:r>
            <w:proofErr w:type="spellStart"/>
            <w:r w:rsidRPr="00787EF1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herpetiformis</w:t>
            </w:r>
            <w:proofErr w:type="spellEnd"/>
          </w:p>
        </w:tc>
        <w:tc>
          <w:tcPr>
            <w:tcW w:w="99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More prevalent in Scandinavian counties and the UK.</w:t>
            </w:r>
          </w:p>
        </w:tc>
        <w:tc>
          <w:tcPr>
            <w:tcW w:w="90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Male&gt; female (3:2), but this ratio is reversed in younger ages.</w:t>
            </w:r>
          </w:p>
        </w:tc>
        <w:tc>
          <w:tcPr>
            <w:tcW w:w="144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The grouped </w:t>
            </w:r>
            <w:proofErr w:type="spell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vesicobullous</w:t>
            </w:r>
            <w:proofErr w:type="spell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lesions on the erythematous or </w:t>
            </w:r>
            <w:proofErr w:type="spell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erythematopapulous</w:t>
            </w:r>
            <w:proofErr w:type="spell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area on extensor surfaces. / Rarely involves the oral cavity. / Rarely present GI symptoms.</w:t>
            </w:r>
          </w:p>
        </w:tc>
        <w:tc>
          <w:tcPr>
            <w:tcW w:w="117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Autoimmune disorders and lymphoma.</w:t>
            </w:r>
          </w:p>
        </w:tc>
        <w:tc>
          <w:tcPr>
            <w:tcW w:w="135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1. ANTI-TTG: with 47-95% sensitivity and &gt;90% specificity.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2. ANTI-ETG: the key autoantibody of DH with 52-90% sensitivity and 92.8-100% specificity.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3. ANTI-EMA: Have 52-100% sensitivity and 100% specificity.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4. ANTI-AGA: its sensitivity is between 84-90% and useful in cases with negative anti-TTG.</w:t>
            </w:r>
          </w:p>
        </w:tc>
        <w:tc>
          <w:tcPr>
            <w:tcW w:w="99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HLA-DQ2/DQ8 has a role in the occurrence of DH with a high sensitivity close to 100% and a high negative predictive value.</w:t>
            </w:r>
          </w:p>
        </w:tc>
        <w:tc>
          <w:tcPr>
            <w:tcW w:w="144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2/3 of the patients have some degree of villous atrophy and 1/3 has intraepithelial lymphocytosis.</w:t>
            </w:r>
          </w:p>
        </w:tc>
        <w:tc>
          <w:tcPr>
            <w:tcW w:w="99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1. Direct immunofluorescence of </w:t>
            </w:r>
            <w:proofErr w:type="spell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perilesional</w:t>
            </w:r>
            <w:proofErr w:type="spell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areas (healthy skin); is the gold standard test and it includes granular IgA deposits along the dermal-epidermal junction and on the tip of the dermal papillae.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2. </w:t>
            </w:r>
            <w:proofErr w:type="spell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Histopathological</w:t>
            </w:r>
            <w:proofErr w:type="spell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analysis: skin biopsy of erythematous area beside the vesicle that shows sub epidermal cleft with neutrophils and </w:t>
            </w:r>
            <w:proofErr w:type="spell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eosinophils</w:t>
            </w:r>
            <w:proofErr w:type="spell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in the dermal papillae.</w:t>
            </w:r>
          </w:p>
        </w:tc>
        <w:tc>
          <w:tcPr>
            <w:tcW w:w="1080" w:type="dxa"/>
          </w:tcPr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>1. Gluten free diet.</w:t>
            </w:r>
          </w:p>
          <w:p w:rsidR="00D70899" w:rsidRPr="002A60CF" w:rsidRDefault="00D70899" w:rsidP="005C1D5C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2. </w:t>
            </w:r>
            <w:proofErr w:type="gram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medication</w:t>
            </w:r>
            <w:proofErr w:type="gram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like </w:t>
            </w:r>
            <w:proofErr w:type="spellStart"/>
            <w:r w:rsidRPr="002A60CF">
              <w:rPr>
                <w:rFonts w:asciiTheme="majorBidi" w:hAnsiTheme="majorBidi" w:cstheme="majorBidi"/>
                <w:sz w:val="18"/>
                <w:szCs w:val="18"/>
              </w:rPr>
              <w:t>dapsone</w:t>
            </w:r>
            <w:proofErr w:type="spellEnd"/>
            <w:r w:rsidRPr="002A60CF">
              <w:rPr>
                <w:rFonts w:asciiTheme="majorBidi" w:hAnsiTheme="majorBidi" w:cstheme="majorBidi"/>
                <w:sz w:val="18"/>
                <w:szCs w:val="18"/>
              </w:rPr>
              <w:t xml:space="preserve"> and sulfonamides.</w:t>
            </w:r>
          </w:p>
        </w:tc>
      </w:tr>
    </w:tbl>
    <w:p w:rsidR="00D70899" w:rsidRPr="005F04B7" w:rsidRDefault="00D70899" w:rsidP="00D70899">
      <w:pPr>
        <w:rPr>
          <w:b/>
          <w:bCs/>
        </w:rPr>
      </w:pPr>
    </w:p>
    <w:p w:rsidR="00C865EF" w:rsidRDefault="00C865EF">
      <w:bookmarkStart w:id="0" w:name="_GoBack"/>
      <w:bookmarkEnd w:id="0"/>
    </w:p>
    <w:sectPr w:rsidR="00C865EF" w:rsidSect="00CD4C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899"/>
    <w:rsid w:val="00986A4D"/>
    <w:rsid w:val="00C865EF"/>
    <w:rsid w:val="00CC0626"/>
    <w:rsid w:val="00D7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08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08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RAMANTE</dc:creator>
  <cp:lastModifiedBy>RAMANTE</cp:lastModifiedBy>
  <cp:revision>1</cp:revision>
  <dcterms:created xsi:type="dcterms:W3CDTF">2020-07-21T16:58:00Z</dcterms:created>
  <dcterms:modified xsi:type="dcterms:W3CDTF">2020-07-21T16:59:00Z</dcterms:modified>
</cp:coreProperties>
</file>