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EFAB2" w14:textId="497916BD" w:rsidR="00F86BE9" w:rsidRPr="00F86BE9" w:rsidRDefault="00F86BE9" w:rsidP="00F86BE9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86BE9">
        <w:rPr>
          <w:rFonts w:ascii="Times New Roman" w:hAnsi="Times New Roman" w:cs="Times New Roman" w:hint="eastAsia"/>
          <w:b/>
          <w:sz w:val="28"/>
        </w:rPr>
        <w:t>S</w:t>
      </w:r>
      <w:r w:rsidR="00477F51">
        <w:rPr>
          <w:rFonts w:ascii="Times New Roman" w:hAnsi="Times New Roman" w:cs="Times New Roman" w:hint="eastAsia"/>
          <w:b/>
          <w:sz w:val="28"/>
        </w:rPr>
        <w:t>upplementary</w:t>
      </w:r>
      <w:r w:rsidR="005313C9">
        <w:rPr>
          <w:rFonts w:ascii="Times New Roman" w:hAnsi="Times New Roman" w:cs="Times New Roman"/>
          <w:b/>
          <w:sz w:val="28"/>
        </w:rPr>
        <w:t xml:space="preserve"> materials</w:t>
      </w:r>
    </w:p>
    <w:p w14:paraId="3634287A" w14:textId="77777777" w:rsidR="00477F51" w:rsidRDefault="00477F51" w:rsidP="00F86BE9">
      <w:pPr>
        <w:spacing w:line="480" w:lineRule="auto"/>
        <w:rPr>
          <w:rFonts w:ascii="Times New Roman" w:hAnsi="Times New Roman" w:cs="Times New Roman"/>
          <w:b/>
          <w:sz w:val="28"/>
        </w:rPr>
      </w:pPr>
      <w:bookmarkStart w:id="1" w:name="_Hlk33425438"/>
    </w:p>
    <w:bookmarkEnd w:id="1"/>
    <w:p w14:paraId="0A019170" w14:textId="34939BD7" w:rsidR="00477F51" w:rsidRPr="00477F51" w:rsidRDefault="00477F51" w:rsidP="00477F51">
      <w:pPr>
        <w:spacing w:line="480" w:lineRule="auto"/>
        <w:rPr>
          <w:rFonts w:ascii="Times New Roman" w:hAnsi="Times New Roman"/>
          <w:b/>
          <w:sz w:val="24"/>
        </w:rPr>
      </w:pPr>
      <w:r w:rsidRPr="00477F51">
        <w:rPr>
          <w:rFonts w:ascii="Times New Roman" w:hAnsi="Times New Roman"/>
          <w:b/>
          <w:sz w:val="24"/>
        </w:rPr>
        <w:t xml:space="preserve">Ten-day bismuth-containing quadruple therapy versus 7-day proton pump inhibitor-clarithromycin containing triple therapy as first-line empirical therapy for the </w:t>
      </w:r>
      <w:r w:rsidRPr="00477F51">
        <w:rPr>
          <w:rFonts w:ascii="Times New Roman" w:hAnsi="Times New Roman"/>
          <w:b/>
          <w:i/>
          <w:sz w:val="24"/>
        </w:rPr>
        <w:t xml:space="preserve">Helicobacter pylori </w:t>
      </w:r>
      <w:r w:rsidRPr="00477F51">
        <w:rPr>
          <w:rFonts w:ascii="Times New Roman" w:hAnsi="Times New Roman"/>
          <w:b/>
          <w:sz w:val="24"/>
        </w:rPr>
        <w:t>infection</w:t>
      </w:r>
      <w:r w:rsidRPr="00477F51">
        <w:rPr>
          <w:rFonts w:ascii="Times New Roman" w:hAnsi="Times New Roman"/>
          <w:b/>
          <w:i/>
          <w:sz w:val="24"/>
        </w:rPr>
        <w:t xml:space="preserve"> </w:t>
      </w:r>
      <w:r w:rsidRPr="00477F51">
        <w:rPr>
          <w:rFonts w:ascii="Times New Roman" w:hAnsi="Times New Roman"/>
          <w:b/>
          <w:sz w:val="24"/>
        </w:rPr>
        <w:t>in Korea: A randomized open-label trial</w:t>
      </w:r>
    </w:p>
    <w:p w14:paraId="7935233E" w14:textId="77777777" w:rsidR="00F86BE9" w:rsidRDefault="00F86BE9" w:rsidP="003B58D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95EC26" w14:textId="148C1AB9" w:rsidR="00477F51" w:rsidRPr="00AF7262" w:rsidRDefault="00477F51" w:rsidP="00477F51">
      <w:pPr>
        <w:rPr>
          <w:rFonts w:ascii="Times New Roman" w:hAnsi="Times New Roman"/>
        </w:rPr>
      </w:pPr>
      <w:r w:rsidRPr="00AF7262">
        <w:rPr>
          <w:rFonts w:ascii="Times New Roman" w:hAnsi="Times New Roman"/>
          <w:bCs/>
        </w:rPr>
        <w:lastRenderedPageBreak/>
        <w:t xml:space="preserve">Supplementary table 1. </w:t>
      </w:r>
      <w:bookmarkStart w:id="2" w:name="_Hlk56673925"/>
      <w:r w:rsidRPr="00AF7262">
        <w:rPr>
          <w:rFonts w:ascii="Times New Roman" w:hAnsi="Times New Roman"/>
        </w:rPr>
        <w:t>Definition of</w:t>
      </w:r>
      <w:r w:rsidR="00454843" w:rsidRPr="00AF7262">
        <w:rPr>
          <w:rFonts w:ascii="Times New Roman" w:hAnsi="Times New Roman"/>
        </w:rPr>
        <w:t xml:space="preserve"> severity for adverse events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456"/>
      </w:tblGrid>
      <w:tr w:rsidR="00454843" w:rsidRPr="00AF7262" w14:paraId="0A99A7C2" w14:textId="77777777" w:rsidTr="00913882"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87A54" w14:textId="4CFC552B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>S</w:t>
            </w:r>
            <w:r w:rsidRPr="00AF7262">
              <w:rPr>
                <w:rFonts w:ascii="Times New Roman" w:hAnsi="Times New Roman"/>
              </w:rPr>
              <w:t xml:space="preserve">everity of adverse </w:t>
            </w:r>
            <w:proofErr w:type="spellStart"/>
            <w:r w:rsidRPr="00AF7262">
              <w:rPr>
                <w:rFonts w:ascii="Times New Roman" w:hAnsi="Times New Roman"/>
              </w:rPr>
              <w:t>event</w:t>
            </w:r>
            <w:r w:rsidR="00E77FBC" w:rsidRPr="00AF7262">
              <w:rPr>
                <w:rFonts w:ascii="Times New Roman" w:hAnsi="Times New Roman"/>
                <w:b/>
                <w:bCs/>
                <w:vertAlign w:val="superscript"/>
              </w:rPr>
              <w:t>a</w:t>
            </w:r>
            <w:proofErr w:type="spellEnd"/>
          </w:p>
        </w:tc>
      </w:tr>
      <w:tr w:rsidR="00454843" w:rsidRPr="00AF7262" w14:paraId="5E6C1D66" w14:textId="77777777" w:rsidTr="00913882">
        <w:trPr>
          <w:trHeight w:val="207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EC1508D" w14:textId="60032606" w:rsidR="00454843" w:rsidRPr="00AF7262" w:rsidRDefault="00454843" w:rsidP="00913882">
            <w:pPr>
              <w:spacing w:after="0" w:line="480" w:lineRule="auto"/>
              <w:ind w:firstLineChars="200" w:firstLine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>G</w:t>
            </w:r>
            <w:r w:rsidRPr="00AF7262">
              <w:rPr>
                <w:rFonts w:ascii="Times New Roman" w:hAnsi="Times New Roman"/>
              </w:rPr>
              <w:t>rade 1</w:t>
            </w:r>
          </w:p>
        </w:tc>
        <w:tc>
          <w:tcPr>
            <w:tcW w:w="7456" w:type="dxa"/>
            <w:tcBorders>
              <w:top w:val="single" w:sz="4" w:space="0" w:color="auto"/>
            </w:tcBorders>
            <w:vAlign w:val="center"/>
          </w:tcPr>
          <w:p w14:paraId="6B23FB49" w14:textId="14F94693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  <w:b/>
                <w:bCs/>
              </w:rPr>
              <w:t>Mild</w:t>
            </w:r>
            <w:r w:rsidRPr="00AF7262">
              <w:rPr>
                <w:rFonts w:ascii="Times New Roman" w:hAnsi="Times New Roman" w:hint="eastAsia"/>
              </w:rPr>
              <w:t>; asymptomatic or mild symptoms; clinical or diagnostic observations only; intervention not indicated.</w:t>
            </w:r>
          </w:p>
        </w:tc>
      </w:tr>
      <w:tr w:rsidR="00454843" w:rsidRPr="00AF7262" w14:paraId="6ECAEDCB" w14:textId="77777777" w:rsidTr="00913882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0F8A0CF" w14:textId="4BF74D80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 xml:space="preserve"> </w:t>
            </w:r>
            <w:r w:rsidRPr="00AF7262">
              <w:rPr>
                <w:rFonts w:ascii="Times New Roman" w:hAnsi="Times New Roman"/>
              </w:rPr>
              <w:t xml:space="preserve">   Grade 2</w:t>
            </w:r>
          </w:p>
        </w:tc>
        <w:tc>
          <w:tcPr>
            <w:tcW w:w="7456" w:type="dxa"/>
            <w:tcBorders>
              <w:top w:val="single" w:sz="4" w:space="0" w:color="auto"/>
            </w:tcBorders>
            <w:vAlign w:val="center"/>
          </w:tcPr>
          <w:p w14:paraId="44EDB87A" w14:textId="745669B1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  <w:b/>
                <w:bCs/>
              </w:rPr>
              <w:t>Moderate</w:t>
            </w:r>
            <w:r w:rsidRPr="00AF7262">
              <w:rPr>
                <w:rFonts w:ascii="Times New Roman" w:hAnsi="Times New Roman" w:hint="eastAsia"/>
              </w:rPr>
              <w:t>; minimal, local or noninvasive intervention indicated; limiting age-appropriate instrumental activities of daily living.</w:t>
            </w:r>
            <w:r w:rsidRPr="00AF7262">
              <w:rPr>
                <w:rFonts w:ascii="Times New Roman" w:hAnsi="Times New Roman"/>
              </w:rPr>
              <w:t xml:space="preserve"> (Instrumental </w:t>
            </w:r>
            <w:r w:rsidRPr="00AF7262">
              <w:rPr>
                <w:rFonts w:ascii="Times New Roman" w:hAnsi="Times New Roman" w:hint="eastAsia"/>
              </w:rPr>
              <w:t>activities of daily living</w:t>
            </w:r>
            <w:r w:rsidRPr="00AF7262">
              <w:rPr>
                <w:rFonts w:ascii="Times New Roman" w:hAnsi="Times New Roman"/>
              </w:rPr>
              <w:t xml:space="preserve"> refer to preparing meals,</w:t>
            </w:r>
            <w:r w:rsidR="00D92305" w:rsidRPr="00AF7262">
              <w:rPr>
                <w:rFonts w:ascii="Times New Roman" w:hAnsi="Times New Roman"/>
              </w:rPr>
              <w:t xml:space="preserve"> </w:t>
            </w:r>
            <w:r w:rsidRPr="00AF7262">
              <w:rPr>
                <w:rFonts w:ascii="Times New Roman" w:hAnsi="Times New Roman"/>
              </w:rPr>
              <w:t>shopping for groceries or clothes, using the</w:t>
            </w:r>
            <w:r w:rsidR="00D92305" w:rsidRPr="00AF7262">
              <w:rPr>
                <w:rFonts w:ascii="Times New Roman" w:hAnsi="Times New Roman"/>
              </w:rPr>
              <w:t xml:space="preserve"> </w:t>
            </w:r>
            <w:r w:rsidRPr="00AF7262">
              <w:rPr>
                <w:rFonts w:ascii="Times New Roman" w:hAnsi="Times New Roman"/>
              </w:rPr>
              <w:t>telephone, managing money, etc.</w:t>
            </w:r>
            <w:r w:rsidR="00D92305" w:rsidRPr="00AF7262">
              <w:rPr>
                <w:rFonts w:ascii="Times New Roman" w:hAnsi="Times New Roman"/>
              </w:rPr>
              <w:t>)</w:t>
            </w:r>
          </w:p>
        </w:tc>
      </w:tr>
      <w:tr w:rsidR="00454843" w:rsidRPr="00AF7262" w14:paraId="0C17FC2F" w14:textId="77777777" w:rsidTr="00913882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D416CF2" w14:textId="4745B55B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 xml:space="preserve"> </w:t>
            </w:r>
            <w:r w:rsidRPr="00AF7262">
              <w:rPr>
                <w:rFonts w:ascii="Times New Roman" w:hAnsi="Times New Roman"/>
              </w:rPr>
              <w:t xml:space="preserve">   Grade 3</w:t>
            </w:r>
          </w:p>
        </w:tc>
        <w:tc>
          <w:tcPr>
            <w:tcW w:w="7456" w:type="dxa"/>
            <w:tcBorders>
              <w:top w:val="single" w:sz="4" w:space="0" w:color="auto"/>
            </w:tcBorders>
            <w:vAlign w:val="center"/>
          </w:tcPr>
          <w:p w14:paraId="7A117DE7" w14:textId="460F74B5" w:rsidR="00454843" w:rsidRPr="00AF7262" w:rsidRDefault="00913882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  <w:b/>
                <w:bCs/>
              </w:rPr>
              <w:t>Severe or medically significant but not immediately life-threatening</w:t>
            </w:r>
            <w:r w:rsidRPr="00AF7262">
              <w:rPr>
                <w:rFonts w:ascii="Times New Roman" w:hAnsi="Times New Roman" w:hint="eastAsia"/>
              </w:rPr>
              <w:t>; hospitalization or prolongation of hospitalization indicated; disabling; limiting self care activities of daily living</w:t>
            </w:r>
            <w:r w:rsidRPr="00AF7262">
              <w:rPr>
                <w:rFonts w:ascii="Times New Roman" w:hAnsi="Times New Roman"/>
              </w:rPr>
              <w:t xml:space="preserve">. (Self care </w:t>
            </w:r>
            <w:r w:rsidRPr="00AF7262">
              <w:rPr>
                <w:rFonts w:ascii="Times New Roman" w:hAnsi="Times New Roman" w:hint="eastAsia"/>
              </w:rPr>
              <w:t>activities of daily living</w:t>
            </w:r>
            <w:r w:rsidRPr="00AF7262">
              <w:rPr>
                <w:rFonts w:ascii="Times New Roman" w:hAnsi="Times New Roman"/>
              </w:rPr>
              <w:t xml:space="preserve"> refer to bathing, dressing and undressing, feeding self, using the toilet, taking medications, and not bedridden.)</w:t>
            </w:r>
          </w:p>
        </w:tc>
      </w:tr>
      <w:tr w:rsidR="00454843" w:rsidRPr="00AF7262" w14:paraId="18EF830D" w14:textId="77777777" w:rsidTr="00913882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005055C" w14:textId="79DE8B51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 xml:space="preserve"> </w:t>
            </w:r>
            <w:r w:rsidRPr="00AF7262">
              <w:rPr>
                <w:rFonts w:ascii="Times New Roman" w:hAnsi="Times New Roman"/>
              </w:rPr>
              <w:t xml:space="preserve">   Grade 4</w:t>
            </w:r>
          </w:p>
        </w:tc>
        <w:tc>
          <w:tcPr>
            <w:tcW w:w="7456" w:type="dxa"/>
            <w:tcBorders>
              <w:top w:val="single" w:sz="4" w:space="0" w:color="auto"/>
            </w:tcBorders>
            <w:vAlign w:val="center"/>
          </w:tcPr>
          <w:p w14:paraId="0F3254E5" w14:textId="1DB4177D" w:rsidR="00454843" w:rsidRPr="00AF7262" w:rsidRDefault="00913882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  <w:b/>
                <w:bCs/>
              </w:rPr>
              <w:t>Life-threatening consequences</w:t>
            </w:r>
            <w:r w:rsidRPr="00AF7262">
              <w:rPr>
                <w:rFonts w:ascii="Times New Roman" w:hAnsi="Times New Roman" w:hint="eastAsia"/>
              </w:rPr>
              <w:t>; urgent intervention indicated.</w:t>
            </w:r>
          </w:p>
        </w:tc>
      </w:tr>
      <w:tr w:rsidR="00454843" w:rsidRPr="00AF7262" w14:paraId="0BB6C514" w14:textId="77777777" w:rsidTr="00913882">
        <w:trPr>
          <w:trHeight w:val="205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A2FCD33" w14:textId="13900296" w:rsidR="00454843" w:rsidRPr="00AF7262" w:rsidRDefault="00454843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</w:rPr>
              <w:t xml:space="preserve"> </w:t>
            </w:r>
            <w:r w:rsidRPr="00AF7262">
              <w:rPr>
                <w:rFonts w:ascii="Times New Roman" w:hAnsi="Times New Roman"/>
              </w:rPr>
              <w:t xml:space="preserve">   Grade 5</w:t>
            </w:r>
          </w:p>
        </w:tc>
        <w:tc>
          <w:tcPr>
            <w:tcW w:w="7456" w:type="dxa"/>
            <w:tcBorders>
              <w:top w:val="single" w:sz="4" w:space="0" w:color="auto"/>
            </w:tcBorders>
            <w:vAlign w:val="center"/>
          </w:tcPr>
          <w:p w14:paraId="76E00899" w14:textId="52439D3C" w:rsidR="00454843" w:rsidRPr="00AF7262" w:rsidRDefault="00913882" w:rsidP="00913882">
            <w:pPr>
              <w:spacing w:after="0" w:line="480" w:lineRule="auto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 w:hint="eastAsia"/>
                <w:b/>
                <w:bCs/>
              </w:rPr>
              <w:t xml:space="preserve">Death related to </w:t>
            </w:r>
            <w:r w:rsidRPr="00AF7262">
              <w:rPr>
                <w:rFonts w:ascii="Times New Roman" w:hAnsi="Times New Roman"/>
                <w:b/>
                <w:bCs/>
              </w:rPr>
              <w:t>adverse event</w:t>
            </w:r>
            <w:r w:rsidRPr="00AF7262">
              <w:rPr>
                <w:rFonts w:ascii="Times New Roman" w:hAnsi="Times New Roman"/>
              </w:rPr>
              <w:t xml:space="preserve">. </w:t>
            </w:r>
          </w:p>
        </w:tc>
      </w:tr>
      <w:tr w:rsidR="00913882" w:rsidRPr="00AF7262" w14:paraId="3B8BD596" w14:textId="77777777" w:rsidTr="00454843">
        <w:tc>
          <w:tcPr>
            <w:tcW w:w="9016" w:type="dxa"/>
            <w:gridSpan w:val="2"/>
            <w:tcBorders>
              <w:top w:val="single" w:sz="4" w:space="0" w:color="auto"/>
            </w:tcBorders>
          </w:tcPr>
          <w:p w14:paraId="12D975E0" w14:textId="03BB2D72" w:rsidR="00913882" w:rsidRPr="00AF7262" w:rsidRDefault="00E77FBC" w:rsidP="00AF7262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AF7262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  <w:r w:rsidR="00913882" w:rsidRPr="00AF7262">
              <w:rPr>
                <w:rFonts w:ascii="Times New Roman" w:hAnsi="Times New Roman" w:cs="Times New Roman"/>
              </w:rPr>
              <w:t>The</w:t>
            </w:r>
            <w:proofErr w:type="spellEnd"/>
            <w:r w:rsidR="00913882" w:rsidRPr="00AF7262">
              <w:rPr>
                <w:rFonts w:ascii="Times New Roman" w:hAnsi="Times New Roman" w:cs="Times New Roman"/>
              </w:rPr>
              <w:t xml:space="preserve"> definitions of severity grades for adverse events are based on the general guideline of the common terminology criteria for adverse events (CTCAE) version 4.0. </w:t>
            </w:r>
          </w:p>
        </w:tc>
      </w:tr>
      <w:bookmarkEnd w:id="2"/>
    </w:tbl>
    <w:p w14:paraId="5A2BD352" w14:textId="77777777" w:rsidR="00477F51" w:rsidRPr="001B44CA" w:rsidRDefault="00477F51" w:rsidP="00477F51">
      <w:pPr>
        <w:spacing w:line="480" w:lineRule="auto"/>
        <w:rPr>
          <w:rFonts w:ascii="Times New Roman" w:hAnsi="Times New Roman"/>
        </w:rPr>
      </w:pPr>
    </w:p>
    <w:p w14:paraId="5E56DB43" w14:textId="22A19532" w:rsidR="00AF7262" w:rsidRDefault="00AF7262" w:rsidP="00477F5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1BA3362" w14:textId="309ACCDA" w:rsidR="00AF7262" w:rsidRDefault="00AF7262" w:rsidP="00AF7262">
      <w:pPr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 xml:space="preserve">Supplementary table 2. </w:t>
      </w:r>
      <w:r>
        <w:rPr>
          <w:rFonts w:ascii="Times New Roman" w:hAnsi="Times New Roman"/>
        </w:rPr>
        <w:t>Definition of serious adverse events in the present trial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F7262" w14:paraId="1ACD5466" w14:textId="77777777" w:rsidTr="00AF7262"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1F414" w14:textId="34E1773E" w:rsidR="00AF7262" w:rsidRDefault="00AF7262">
            <w:pPr>
              <w:spacing w:after="0"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Serious adverse events related to the study drugs were defined as following </w:t>
            </w:r>
            <w:proofErr w:type="spellStart"/>
            <w:r>
              <w:rPr>
                <w:rFonts w:ascii="Times New Roman" w:hAnsi="Times New Roman"/>
              </w:rPr>
              <w:t>conditions</w:t>
            </w:r>
            <w:r w:rsidRPr="00AF7262">
              <w:rPr>
                <w:rFonts w:ascii="Times New Roman" w:hAnsi="Times New Roman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660D91AC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>Death</w:t>
            </w:r>
          </w:p>
          <w:p w14:paraId="319A69F2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>Life-threatening condition</w:t>
            </w:r>
          </w:p>
          <w:p w14:paraId="0BDF496D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 xml:space="preserve">Hospitalization </w:t>
            </w:r>
          </w:p>
          <w:p w14:paraId="10108C47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>Prolongation of existing hospitalization</w:t>
            </w:r>
          </w:p>
          <w:p w14:paraId="65E243AD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 xml:space="preserve">Persistent or significant disability or incapacity </w:t>
            </w:r>
          </w:p>
          <w:p w14:paraId="344B336B" w14:textId="77777777" w:rsidR="00AF7262" w:rsidRP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>Congenital anomaly or birth defect</w:t>
            </w:r>
          </w:p>
          <w:p w14:paraId="7F592AD6" w14:textId="7E2E66A7" w:rsidR="00AF7262" w:rsidRDefault="00AF7262" w:rsidP="00AF7262">
            <w:pPr>
              <w:spacing w:after="0" w:line="480" w:lineRule="auto"/>
              <w:ind w:leftChars="200" w:left="400"/>
              <w:rPr>
                <w:rFonts w:ascii="Times New Roman" w:hAnsi="Times New Roman"/>
              </w:rPr>
            </w:pPr>
            <w:r w:rsidRPr="00AF7262">
              <w:rPr>
                <w:rFonts w:ascii="Times New Roman" w:hAnsi="Times New Roman"/>
              </w:rPr>
              <w:t>Medically important event or reactions</w:t>
            </w:r>
          </w:p>
        </w:tc>
      </w:tr>
      <w:tr w:rsidR="00AF7262" w14:paraId="72246A0A" w14:textId="77777777" w:rsidTr="00AF7262">
        <w:tc>
          <w:tcPr>
            <w:tcW w:w="9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E6062" w14:textId="23F62476" w:rsidR="00AF7262" w:rsidRDefault="00AF7262">
            <w:pPr>
              <w:spacing w:after="0" w:line="480" w:lineRule="auto"/>
              <w:rPr>
                <w:rFonts w:ascii="Times New Roman" w:hAnsi="Times New Roman"/>
              </w:rPr>
            </w:pPr>
            <w:proofErr w:type="spellStart"/>
            <w:r w:rsidRPr="00AF7262">
              <w:rPr>
                <w:rFonts w:ascii="Times New Roman" w:hAnsi="Times New Roman" w:hint="eastAsia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>Serious</w:t>
            </w:r>
            <w:proofErr w:type="spellEnd"/>
            <w:r>
              <w:rPr>
                <w:rFonts w:ascii="Times New Roman" w:hAnsi="Times New Roman"/>
              </w:rPr>
              <w:t xml:space="preserve"> adverse events were assessed for 30 days after the start of study drugs.</w:t>
            </w:r>
          </w:p>
        </w:tc>
      </w:tr>
    </w:tbl>
    <w:p w14:paraId="522B7BE2" w14:textId="77777777" w:rsidR="00AF7262" w:rsidRDefault="00AF7262" w:rsidP="00AF7262">
      <w:pPr>
        <w:spacing w:line="480" w:lineRule="auto"/>
        <w:rPr>
          <w:rFonts w:ascii="Times New Roman" w:hAnsi="Times New Roman"/>
        </w:rPr>
      </w:pPr>
    </w:p>
    <w:p w14:paraId="2BE57509" w14:textId="77777777" w:rsidR="00477F51" w:rsidRPr="00AF7262" w:rsidRDefault="00477F51" w:rsidP="00477F51">
      <w:pPr>
        <w:rPr>
          <w:rFonts w:ascii="Times New Roman" w:hAnsi="Times New Roman"/>
        </w:rPr>
      </w:pPr>
    </w:p>
    <w:p w14:paraId="7AEFFFD7" w14:textId="15EF761D" w:rsidR="00AF7262" w:rsidRDefault="00AF7262" w:rsidP="00477F51">
      <w:pPr>
        <w:rPr>
          <w:rFonts w:ascii="Times New Roman" w:hAnsi="Times New Roman"/>
        </w:rPr>
      </w:pPr>
    </w:p>
    <w:p w14:paraId="1E92E3DF" w14:textId="77777777" w:rsidR="00AF7262" w:rsidRDefault="00AF7262" w:rsidP="00477F51">
      <w:pPr>
        <w:rPr>
          <w:rFonts w:ascii="Times New Roman" w:hAnsi="Times New Roman"/>
        </w:rPr>
      </w:pPr>
    </w:p>
    <w:p w14:paraId="6E31CE55" w14:textId="5C98BB55" w:rsidR="00E77FBC" w:rsidRDefault="00E77FBC" w:rsidP="00477F51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9D29178" w14:textId="119A475B" w:rsidR="00E77FBC" w:rsidRDefault="00E77FBC" w:rsidP="00477F51">
      <w:pPr>
        <w:rPr>
          <w:rFonts w:ascii="Times New Roman" w:eastAsia="맑은 고딕" w:hAnsi="Times New Roman" w:cs="Times New Roman"/>
          <w:b/>
          <w:bCs/>
          <w:kern w:val="0"/>
          <w:szCs w:val="20"/>
          <w:vertAlign w:val="superscript"/>
        </w:rPr>
      </w:pPr>
      <w:bookmarkStart w:id="3" w:name="_Hlk56681610"/>
      <w:r w:rsidRPr="00AF7262">
        <w:rPr>
          <w:rFonts w:ascii="Times New Roman" w:eastAsia="맑은 고딕" w:hAnsi="Times New Roman" w:cs="Times New Roman"/>
          <w:kern w:val="0"/>
          <w:szCs w:val="20"/>
        </w:rPr>
        <w:lastRenderedPageBreak/>
        <w:t xml:space="preserve">Supplementary table </w:t>
      </w:r>
      <w:r w:rsidR="00AF7262">
        <w:rPr>
          <w:rFonts w:ascii="Times New Roman" w:eastAsia="맑은 고딕" w:hAnsi="Times New Roman" w:cs="Times New Roman"/>
          <w:kern w:val="0"/>
          <w:szCs w:val="20"/>
        </w:rPr>
        <w:t>3</w:t>
      </w:r>
      <w:r w:rsidRPr="00AF7262">
        <w:rPr>
          <w:rFonts w:ascii="Times New Roman" w:eastAsia="맑은 고딕" w:hAnsi="Times New Roman" w:cs="Times New Roman"/>
          <w:kern w:val="0"/>
          <w:szCs w:val="20"/>
        </w:rPr>
        <w:t xml:space="preserve">. Severity of adverse events associated with first-line </w:t>
      </w:r>
      <w:proofErr w:type="spellStart"/>
      <w:r w:rsidRPr="00AF7262">
        <w:rPr>
          <w:rFonts w:ascii="Times New Roman" w:eastAsia="맑은 고딕" w:hAnsi="Times New Roman" w:cs="Times New Roman"/>
          <w:kern w:val="0"/>
          <w:szCs w:val="20"/>
        </w:rPr>
        <w:t>treatment</w:t>
      </w:r>
      <w:r w:rsidRPr="00AF7262">
        <w:rPr>
          <w:rFonts w:ascii="Times New Roman" w:eastAsia="맑은 고딕" w:hAnsi="Times New Roman" w:cs="Times New Roman"/>
          <w:b/>
          <w:bCs/>
          <w:kern w:val="0"/>
          <w:szCs w:val="20"/>
          <w:vertAlign w:val="superscript"/>
        </w:rPr>
        <w:t>a</w:t>
      </w:r>
      <w:proofErr w:type="spellEnd"/>
    </w:p>
    <w:tbl>
      <w:tblPr>
        <w:tblW w:w="9000" w:type="dxa"/>
        <w:tblInd w:w="20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7"/>
        <w:gridCol w:w="1134"/>
        <w:gridCol w:w="993"/>
        <w:gridCol w:w="992"/>
        <w:gridCol w:w="226"/>
        <w:gridCol w:w="978"/>
        <w:gridCol w:w="1205"/>
        <w:gridCol w:w="1205"/>
      </w:tblGrid>
      <w:tr w:rsidR="00AF7262" w14:paraId="3CF1CC78" w14:textId="77777777" w:rsidTr="00AF7262">
        <w:trPr>
          <w:trHeight w:val="255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7080" w14:textId="77777777" w:rsidR="00AF7262" w:rsidRDefault="00AF7262">
            <w:pPr>
              <w:widowControl/>
              <w:wordWrap/>
              <w:autoSpaceDE/>
              <w:autoSpaceDN/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EB21F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7-day STT</w:t>
            </w: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541E0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102F42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10-day BQT</w:t>
            </w:r>
          </w:p>
        </w:tc>
      </w:tr>
      <w:tr w:rsidR="00AF7262" w14:paraId="767699EB" w14:textId="77777777" w:rsidTr="00AF7262">
        <w:trPr>
          <w:trHeight w:val="255"/>
        </w:trPr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DFB1A" w14:textId="77777777" w:rsidR="00AF7262" w:rsidRDefault="00AF7262">
            <w:pP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6D05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(n=164)</w:t>
            </w:r>
          </w:p>
        </w:tc>
        <w:tc>
          <w:tcPr>
            <w:tcW w:w="226" w:type="dxa"/>
            <w:noWrap/>
            <w:vAlign w:val="center"/>
          </w:tcPr>
          <w:p w14:paraId="1B026BE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3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314E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(n=160)</w:t>
            </w:r>
          </w:p>
        </w:tc>
      </w:tr>
      <w:tr w:rsidR="00AF7262" w14:paraId="1DB31CFF" w14:textId="77777777" w:rsidTr="00AF7262">
        <w:trPr>
          <w:trHeight w:val="255"/>
        </w:trPr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BB3B3" w14:textId="77777777" w:rsidR="00AF7262" w:rsidRDefault="00AF7262">
            <w:pP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29A01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F3F7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Grade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2790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Grade 2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CA796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05F8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D823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Grade 1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9D02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Grade 2</w:t>
            </w:r>
          </w:p>
        </w:tc>
      </w:tr>
      <w:tr w:rsidR="00AF7262" w14:paraId="78C32FDB" w14:textId="77777777" w:rsidTr="00AF7262">
        <w:trPr>
          <w:trHeight w:val="255"/>
        </w:trPr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C1848" w14:textId="77777777" w:rsidR="00AF7262" w:rsidRDefault="00AF7262">
            <w:pPr>
              <w:widowControl/>
              <w:wordWrap/>
              <w:autoSpaceDE/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Adverse events, no.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8474" w14:textId="77777777" w:rsidR="00AF7262" w:rsidRDefault="00AF7262">
            <w:pP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2518D" w14:textId="77777777" w:rsidR="00AF7262" w:rsidRDefault="00AF7262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47FF" w14:textId="77777777" w:rsidR="00AF7262" w:rsidRDefault="00AF7262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19B6D7" w14:textId="77777777" w:rsidR="00AF7262" w:rsidRDefault="00AF7262">
            <w:pPr>
              <w:widowControl/>
              <w:wordWrap/>
              <w:autoSpaceDE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8083C" w14:textId="77777777" w:rsidR="00AF7262" w:rsidRDefault="00AF7262">
            <w:pPr>
              <w:widowControl/>
              <w:wordWrap/>
              <w:autoSpaceDE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AD22" w14:textId="77777777" w:rsidR="00AF7262" w:rsidRDefault="00AF7262">
            <w:pPr>
              <w:rPr>
                <w:rFonts w:eastAsia="맑은 고딕" w:hAnsi="맑은 고딕"/>
                <w:kern w:val="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A1D4" w14:textId="77777777" w:rsidR="00AF7262" w:rsidRDefault="00AF7262">
            <w:pPr>
              <w:widowControl/>
              <w:wordWrap/>
              <w:autoSpaceDE/>
              <w:autoSpaceDN/>
              <w:spacing w:after="0"/>
              <w:rPr>
                <w:rFonts w:eastAsia="맑은 고딕" w:hAnsi="맑은 고딕"/>
                <w:kern w:val="0"/>
                <w:szCs w:val="20"/>
              </w:rPr>
            </w:pPr>
          </w:p>
        </w:tc>
      </w:tr>
      <w:tr w:rsidR="00AF7262" w14:paraId="5A5459C8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730FEFB3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Taste alteration</w:t>
            </w:r>
          </w:p>
        </w:tc>
        <w:tc>
          <w:tcPr>
            <w:tcW w:w="1134" w:type="dxa"/>
            <w:noWrap/>
            <w:vAlign w:val="center"/>
            <w:hideMark/>
          </w:tcPr>
          <w:p w14:paraId="456B8BB4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47 (28.7)</w:t>
            </w:r>
          </w:p>
        </w:tc>
        <w:tc>
          <w:tcPr>
            <w:tcW w:w="993" w:type="dxa"/>
            <w:noWrap/>
            <w:vAlign w:val="center"/>
            <w:hideMark/>
          </w:tcPr>
          <w:p w14:paraId="49DB64F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 (27.4)</w:t>
            </w:r>
          </w:p>
        </w:tc>
        <w:tc>
          <w:tcPr>
            <w:tcW w:w="992" w:type="dxa"/>
            <w:noWrap/>
            <w:vAlign w:val="center"/>
            <w:hideMark/>
          </w:tcPr>
          <w:p w14:paraId="00BD12C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(1.2)</w:t>
            </w:r>
          </w:p>
        </w:tc>
        <w:tc>
          <w:tcPr>
            <w:tcW w:w="226" w:type="dxa"/>
            <w:noWrap/>
            <w:vAlign w:val="center"/>
          </w:tcPr>
          <w:p w14:paraId="708614DC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62DB4172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(4.4)</w:t>
            </w:r>
          </w:p>
        </w:tc>
        <w:tc>
          <w:tcPr>
            <w:tcW w:w="1205" w:type="dxa"/>
            <w:noWrap/>
            <w:vAlign w:val="center"/>
            <w:hideMark/>
          </w:tcPr>
          <w:p w14:paraId="106A8BA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(4.4)</w:t>
            </w:r>
          </w:p>
        </w:tc>
        <w:tc>
          <w:tcPr>
            <w:tcW w:w="1205" w:type="dxa"/>
            <w:noWrap/>
            <w:vAlign w:val="center"/>
            <w:hideMark/>
          </w:tcPr>
          <w:p w14:paraId="627C6C5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</w:tr>
      <w:tr w:rsidR="00AF7262" w14:paraId="66465444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71053F3F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Nausea</w:t>
            </w:r>
          </w:p>
        </w:tc>
        <w:tc>
          <w:tcPr>
            <w:tcW w:w="1134" w:type="dxa"/>
            <w:noWrap/>
            <w:vAlign w:val="center"/>
            <w:hideMark/>
          </w:tcPr>
          <w:p w14:paraId="71583BCF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 (8.5)</w:t>
            </w:r>
          </w:p>
        </w:tc>
        <w:tc>
          <w:tcPr>
            <w:tcW w:w="993" w:type="dxa"/>
            <w:noWrap/>
            <w:vAlign w:val="center"/>
            <w:hideMark/>
          </w:tcPr>
          <w:p w14:paraId="60FB720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 (7.9)</w:t>
            </w:r>
          </w:p>
        </w:tc>
        <w:tc>
          <w:tcPr>
            <w:tcW w:w="992" w:type="dxa"/>
            <w:noWrap/>
            <w:vAlign w:val="center"/>
            <w:hideMark/>
          </w:tcPr>
          <w:p w14:paraId="2951694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226" w:type="dxa"/>
            <w:noWrap/>
            <w:vAlign w:val="center"/>
          </w:tcPr>
          <w:p w14:paraId="3341A01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7A85D0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38 (23.8)</w:t>
            </w:r>
          </w:p>
        </w:tc>
        <w:tc>
          <w:tcPr>
            <w:tcW w:w="1205" w:type="dxa"/>
            <w:noWrap/>
            <w:vAlign w:val="center"/>
            <w:hideMark/>
          </w:tcPr>
          <w:p w14:paraId="11052C30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 (19.4)</w:t>
            </w:r>
          </w:p>
        </w:tc>
        <w:tc>
          <w:tcPr>
            <w:tcW w:w="1205" w:type="dxa"/>
            <w:noWrap/>
            <w:vAlign w:val="center"/>
            <w:hideMark/>
          </w:tcPr>
          <w:p w14:paraId="0E7CD6B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(4.4)</w:t>
            </w:r>
          </w:p>
        </w:tc>
      </w:tr>
      <w:tr w:rsidR="00AF7262" w14:paraId="55026020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331BA579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Vomiting</w:t>
            </w:r>
          </w:p>
        </w:tc>
        <w:tc>
          <w:tcPr>
            <w:tcW w:w="1134" w:type="dxa"/>
            <w:noWrap/>
            <w:vAlign w:val="center"/>
            <w:hideMark/>
          </w:tcPr>
          <w:p w14:paraId="46A7D49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3" w:type="dxa"/>
            <w:noWrap/>
            <w:vAlign w:val="center"/>
            <w:hideMark/>
          </w:tcPr>
          <w:p w14:paraId="2F93A98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2" w:type="dxa"/>
            <w:noWrap/>
            <w:vAlign w:val="center"/>
            <w:hideMark/>
          </w:tcPr>
          <w:p w14:paraId="4EDC7A5C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7B4F0A1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2242F910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 (6.3)</w:t>
            </w:r>
          </w:p>
        </w:tc>
        <w:tc>
          <w:tcPr>
            <w:tcW w:w="1205" w:type="dxa"/>
            <w:noWrap/>
            <w:vAlign w:val="center"/>
            <w:hideMark/>
          </w:tcPr>
          <w:p w14:paraId="7E59931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 (6.3)</w:t>
            </w:r>
          </w:p>
        </w:tc>
        <w:tc>
          <w:tcPr>
            <w:tcW w:w="1205" w:type="dxa"/>
            <w:noWrap/>
            <w:vAlign w:val="center"/>
            <w:hideMark/>
          </w:tcPr>
          <w:p w14:paraId="4D6C764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</w:tr>
      <w:tr w:rsidR="00AF7262" w14:paraId="40458F73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572E9FC3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Diarrhea</w:t>
            </w:r>
          </w:p>
        </w:tc>
        <w:tc>
          <w:tcPr>
            <w:tcW w:w="1134" w:type="dxa"/>
            <w:noWrap/>
            <w:vAlign w:val="center"/>
            <w:hideMark/>
          </w:tcPr>
          <w:p w14:paraId="32B3EA8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 (15.2)</w:t>
            </w:r>
          </w:p>
        </w:tc>
        <w:tc>
          <w:tcPr>
            <w:tcW w:w="993" w:type="dxa"/>
            <w:noWrap/>
            <w:vAlign w:val="center"/>
            <w:hideMark/>
          </w:tcPr>
          <w:p w14:paraId="3B3861E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22 (13.4)</w:t>
            </w:r>
          </w:p>
        </w:tc>
        <w:tc>
          <w:tcPr>
            <w:tcW w:w="992" w:type="dxa"/>
            <w:noWrap/>
            <w:vAlign w:val="center"/>
            <w:hideMark/>
          </w:tcPr>
          <w:p w14:paraId="7D11C61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(1.8)</w:t>
            </w:r>
          </w:p>
        </w:tc>
        <w:tc>
          <w:tcPr>
            <w:tcW w:w="226" w:type="dxa"/>
            <w:noWrap/>
            <w:vAlign w:val="center"/>
          </w:tcPr>
          <w:p w14:paraId="2DE9705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6F88A47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28 (17.5)</w:t>
            </w:r>
          </w:p>
        </w:tc>
        <w:tc>
          <w:tcPr>
            <w:tcW w:w="1205" w:type="dxa"/>
            <w:noWrap/>
            <w:vAlign w:val="center"/>
            <w:hideMark/>
          </w:tcPr>
          <w:p w14:paraId="681AF6D2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 (16.3)</w:t>
            </w:r>
          </w:p>
        </w:tc>
        <w:tc>
          <w:tcPr>
            <w:tcW w:w="1205" w:type="dxa"/>
            <w:noWrap/>
            <w:vAlign w:val="center"/>
            <w:hideMark/>
          </w:tcPr>
          <w:p w14:paraId="6D7BC51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</w:tr>
      <w:tr w:rsidR="00AF7262" w14:paraId="30750369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479D0552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Abdominal discomfort</w:t>
            </w:r>
          </w:p>
        </w:tc>
        <w:tc>
          <w:tcPr>
            <w:tcW w:w="1134" w:type="dxa"/>
            <w:noWrap/>
            <w:vAlign w:val="center"/>
            <w:hideMark/>
          </w:tcPr>
          <w:p w14:paraId="6DE1ECC2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25 (15.2)</w:t>
            </w:r>
          </w:p>
        </w:tc>
        <w:tc>
          <w:tcPr>
            <w:tcW w:w="993" w:type="dxa"/>
            <w:noWrap/>
            <w:vAlign w:val="center"/>
            <w:hideMark/>
          </w:tcPr>
          <w:p w14:paraId="0F44C3B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 (11.6)</w:t>
            </w:r>
          </w:p>
        </w:tc>
        <w:tc>
          <w:tcPr>
            <w:tcW w:w="992" w:type="dxa"/>
            <w:noWrap/>
            <w:vAlign w:val="center"/>
            <w:hideMark/>
          </w:tcPr>
          <w:p w14:paraId="5C160DD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(3.7)</w:t>
            </w:r>
          </w:p>
        </w:tc>
        <w:tc>
          <w:tcPr>
            <w:tcW w:w="226" w:type="dxa"/>
            <w:noWrap/>
            <w:vAlign w:val="center"/>
          </w:tcPr>
          <w:p w14:paraId="551DC55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227E14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35 (21.9)</w:t>
            </w:r>
          </w:p>
        </w:tc>
        <w:tc>
          <w:tcPr>
            <w:tcW w:w="1205" w:type="dxa"/>
            <w:noWrap/>
            <w:vAlign w:val="center"/>
            <w:hideMark/>
          </w:tcPr>
          <w:p w14:paraId="7EFA8914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31 (19.4)</w:t>
            </w:r>
          </w:p>
        </w:tc>
        <w:tc>
          <w:tcPr>
            <w:tcW w:w="1205" w:type="dxa"/>
            <w:noWrap/>
            <w:vAlign w:val="center"/>
            <w:hideMark/>
          </w:tcPr>
          <w:p w14:paraId="6C69C344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(2.5)</w:t>
            </w:r>
          </w:p>
        </w:tc>
      </w:tr>
      <w:tr w:rsidR="00AF7262" w14:paraId="7884B2BA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1410A8CA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Skin rash or urticaria</w:t>
            </w:r>
          </w:p>
        </w:tc>
        <w:tc>
          <w:tcPr>
            <w:tcW w:w="1134" w:type="dxa"/>
            <w:noWrap/>
            <w:vAlign w:val="center"/>
            <w:hideMark/>
          </w:tcPr>
          <w:p w14:paraId="5E28187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(1.2)</w:t>
            </w:r>
          </w:p>
        </w:tc>
        <w:tc>
          <w:tcPr>
            <w:tcW w:w="993" w:type="dxa"/>
            <w:noWrap/>
            <w:vAlign w:val="center"/>
            <w:hideMark/>
          </w:tcPr>
          <w:p w14:paraId="433F40D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(1.2)</w:t>
            </w:r>
          </w:p>
        </w:tc>
        <w:tc>
          <w:tcPr>
            <w:tcW w:w="992" w:type="dxa"/>
            <w:noWrap/>
            <w:vAlign w:val="center"/>
            <w:hideMark/>
          </w:tcPr>
          <w:p w14:paraId="6CA7F12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01DBCFC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68BE879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 (3.8)</w:t>
            </w:r>
          </w:p>
        </w:tc>
        <w:tc>
          <w:tcPr>
            <w:tcW w:w="1205" w:type="dxa"/>
            <w:noWrap/>
            <w:vAlign w:val="center"/>
            <w:hideMark/>
          </w:tcPr>
          <w:p w14:paraId="7065841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(2.5)</w:t>
            </w:r>
          </w:p>
        </w:tc>
        <w:tc>
          <w:tcPr>
            <w:tcW w:w="1205" w:type="dxa"/>
            <w:noWrap/>
            <w:vAlign w:val="center"/>
            <w:hideMark/>
          </w:tcPr>
          <w:p w14:paraId="0188CF4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</w:tr>
      <w:tr w:rsidR="00AF7262" w14:paraId="04CCF6D3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15C984E8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Dizziness</w:t>
            </w:r>
          </w:p>
        </w:tc>
        <w:tc>
          <w:tcPr>
            <w:tcW w:w="1134" w:type="dxa"/>
            <w:noWrap/>
            <w:vAlign w:val="center"/>
            <w:hideMark/>
          </w:tcPr>
          <w:p w14:paraId="6EFC768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 (5.5)</w:t>
            </w:r>
          </w:p>
        </w:tc>
        <w:tc>
          <w:tcPr>
            <w:tcW w:w="993" w:type="dxa"/>
            <w:noWrap/>
            <w:vAlign w:val="center"/>
            <w:hideMark/>
          </w:tcPr>
          <w:p w14:paraId="665CB08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 (5.5)</w:t>
            </w:r>
          </w:p>
        </w:tc>
        <w:tc>
          <w:tcPr>
            <w:tcW w:w="992" w:type="dxa"/>
            <w:noWrap/>
            <w:vAlign w:val="center"/>
            <w:hideMark/>
          </w:tcPr>
          <w:p w14:paraId="0CECF29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7923C35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6C094EFF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15 (9.4)</w:t>
            </w:r>
          </w:p>
        </w:tc>
        <w:tc>
          <w:tcPr>
            <w:tcW w:w="1205" w:type="dxa"/>
            <w:noWrap/>
            <w:vAlign w:val="center"/>
            <w:hideMark/>
          </w:tcPr>
          <w:p w14:paraId="3C28729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 (8.1)</w:t>
            </w:r>
          </w:p>
        </w:tc>
        <w:tc>
          <w:tcPr>
            <w:tcW w:w="1205" w:type="dxa"/>
            <w:noWrap/>
            <w:vAlign w:val="center"/>
            <w:hideMark/>
          </w:tcPr>
          <w:p w14:paraId="76C1D31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</w:tr>
      <w:tr w:rsidR="00AF7262" w14:paraId="798407C1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4625B6B9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Headache</w:t>
            </w:r>
          </w:p>
        </w:tc>
        <w:tc>
          <w:tcPr>
            <w:tcW w:w="1134" w:type="dxa"/>
            <w:noWrap/>
            <w:vAlign w:val="center"/>
            <w:hideMark/>
          </w:tcPr>
          <w:p w14:paraId="2FDFA84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(3.0)</w:t>
            </w:r>
          </w:p>
        </w:tc>
        <w:tc>
          <w:tcPr>
            <w:tcW w:w="993" w:type="dxa"/>
            <w:noWrap/>
            <w:vAlign w:val="center"/>
            <w:hideMark/>
          </w:tcPr>
          <w:p w14:paraId="32479A2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(2.4)</w:t>
            </w:r>
          </w:p>
        </w:tc>
        <w:tc>
          <w:tcPr>
            <w:tcW w:w="992" w:type="dxa"/>
            <w:noWrap/>
            <w:vAlign w:val="center"/>
            <w:hideMark/>
          </w:tcPr>
          <w:p w14:paraId="7FF2061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226" w:type="dxa"/>
            <w:noWrap/>
            <w:vAlign w:val="center"/>
          </w:tcPr>
          <w:p w14:paraId="02E0691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62D3F6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 (11.9)</w:t>
            </w:r>
          </w:p>
        </w:tc>
        <w:tc>
          <w:tcPr>
            <w:tcW w:w="1205" w:type="dxa"/>
            <w:noWrap/>
            <w:vAlign w:val="center"/>
            <w:hideMark/>
          </w:tcPr>
          <w:p w14:paraId="40E5F8EF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 (10.6)</w:t>
            </w:r>
          </w:p>
        </w:tc>
        <w:tc>
          <w:tcPr>
            <w:tcW w:w="1205" w:type="dxa"/>
            <w:noWrap/>
            <w:vAlign w:val="center"/>
            <w:hideMark/>
          </w:tcPr>
          <w:p w14:paraId="518BC150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</w:tr>
      <w:tr w:rsidR="00AF7262" w14:paraId="1D26AB32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592A7451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Insomnia</w:t>
            </w:r>
          </w:p>
        </w:tc>
        <w:tc>
          <w:tcPr>
            <w:tcW w:w="1134" w:type="dxa"/>
            <w:noWrap/>
            <w:vAlign w:val="center"/>
            <w:hideMark/>
          </w:tcPr>
          <w:p w14:paraId="4CBD355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(3.0)</w:t>
            </w:r>
          </w:p>
        </w:tc>
        <w:tc>
          <w:tcPr>
            <w:tcW w:w="993" w:type="dxa"/>
            <w:noWrap/>
            <w:vAlign w:val="center"/>
            <w:hideMark/>
          </w:tcPr>
          <w:p w14:paraId="11B45CB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 (2.4)</w:t>
            </w:r>
          </w:p>
        </w:tc>
        <w:tc>
          <w:tcPr>
            <w:tcW w:w="992" w:type="dxa"/>
            <w:noWrap/>
            <w:vAlign w:val="center"/>
            <w:hideMark/>
          </w:tcPr>
          <w:p w14:paraId="4F55B9F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226" w:type="dxa"/>
            <w:noWrap/>
            <w:vAlign w:val="center"/>
          </w:tcPr>
          <w:p w14:paraId="26CBF84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A004A1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  <w:tc>
          <w:tcPr>
            <w:tcW w:w="1205" w:type="dxa"/>
            <w:noWrap/>
            <w:vAlign w:val="center"/>
            <w:hideMark/>
          </w:tcPr>
          <w:p w14:paraId="7827BBE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  <w:tc>
          <w:tcPr>
            <w:tcW w:w="1205" w:type="dxa"/>
            <w:noWrap/>
            <w:vAlign w:val="center"/>
            <w:hideMark/>
          </w:tcPr>
          <w:p w14:paraId="275FB16F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</w:tr>
      <w:tr w:rsidR="00AF7262" w14:paraId="0BD90315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6F8255A8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Dyspepsia</w:t>
            </w:r>
          </w:p>
        </w:tc>
        <w:tc>
          <w:tcPr>
            <w:tcW w:w="1134" w:type="dxa"/>
            <w:noWrap/>
            <w:vAlign w:val="center"/>
            <w:hideMark/>
          </w:tcPr>
          <w:p w14:paraId="761D0C9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 (10.4)</w:t>
            </w:r>
          </w:p>
        </w:tc>
        <w:tc>
          <w:tcPr>
            <w:tcW w:w="993" w:type="dxa"/>
            <w:noWrap/>
            <w:vAlign w:val="center"/>
            <w:hideMark/>
          </w:tcPr>
          <w:p w14:paraId="5378A86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 (8.5)</w:t>
            </w:r>
          </w:p>
        </w:tc>
        <w:tc>
          <w:tcPr>
            <w:tcW w:w="992" w:type="dxa"/>
            <w:noWrap/>
            <w:vAlign w:val="center"/>
            <w:hideMark/>
          </w:tcPr>
          <w:p w14:paraId="56E0CC5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(1.8)</w:t>
            </w:r>
          </w:p>
        </w:tc>
        <w:tc>
          <w:tcPr>
            <w:tcW w:w="226" w:type="dxa"/>
            <w:noWrap/>
            <w:vAlign w:val="center"/>
          </w:tcPr>
          <w:p w14:paraId="090BC81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240749A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33 (20.6)</w:t>
            </w:r>
          </w:p>
        </w:tc>
        <w:tc>
          <w:tcPr>
            <w:tcW w:w="1205" w:type="dxa"/>
            <w:noWrap/>
            <w:vAlign w:val="center"/>
            <w:hideMark/>
          </w:tcPr>
          <w:p w14:paraId="46A19A2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23 (14.4)</w:t>
            </w:r>
          </w:p>
        </w:tc>
        <w:tc>
          <w:tcPr>
            <w:tcW w:w="1205" w:type="dxa"/>
            <w:noWrap/>
            <w:vAlign w:val="center"/>
            <w:hideMark/>
          </w:tcPr>
          <w:p w14:paraId="40A4C2FC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 (6.3)</w:t>
            </w:r>
          </w:p>
        </w:tc>
      </w:tr>
      <w:tr w:rsidR="00AF7262" w14:paraId="7DD7F30C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1F5805B0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General weakness</w:t>
            </w:r>
          </w:p>
        </w:tc>
        <w:tc>
          <w:tcPr>
            <w:tcW w:w="1134" w:type="dxa"/>
            <w:noWrap/>
            <w:vAlign w:val="center"/>
            <w:hideMark/>
          </w:tcPr>
          <w:p w14:paraId="0EDEE83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(1.8)</w:t>
            </w:r>
          </w:p>
        </w:tc>
        <w:tc>
          <w:tcPr>
            <w:tcW w:w="993" w:type="dxa"/>
            <w:noWrap/>
            <w:vAlign w:val="center"/>
            <w:hideMark/>
          </w:tcPr>
          <w:p w14:paraId="18802196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(1.8)</w:t>
            </w:r>
          </w:p>
        </w:tc>
        <w:tc>
          <w:tcPr>
            <w:tcW w:w="992" w:type="dxa"/>
            <w:noWrap/>
            <w:vAlign w:val="center"/>
            <w:hideMark/>
          </w:tcPr>
          <w:p w14:paraId="06953E8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268C7C0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67E570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 (8.1)</w:t>
            </w:r>
          </w:p>
        </w:tc>
        <w:tc>
          <w:tcPr>
            <w:tcW w:w="1205" w:type="dxa"/>
            <w:noWrap/>
            <w:vAlign w:val="center"/>
            <w:hideMark/>
          </w:tcPr>
          <w:p w14:paraId="67DE975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 (6.3)</w:t>
            </w:r>
          </w:p>
        </w:tc>
        <w:tc>
          <w:tcPr>
            <w:tcW w:w="1205" w:type="dxa"/>
            <w:noWrap/>
            <w:vAlign w:val="center"/>
            <w:hideMark/>
          </w:tcPr>
          <w:p w14:paraId="6161BE8C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 (1.9)</w:t>
            </w:r>
          </w:p>
        </w:tc>
      </w:tr>
      <w:tr w:rsidR="00AF7262" w14:paraId="6269A982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60940CAB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Dyspnea</w:t>
            </w:r>
          </w:p>
        </w:tc>
        <w:tc>
          <w:tcPr>
            <w:tcW w:w="1134" w:type="dxa"/>
            <w:noWrap/>
            <w:vAlign w:val="center"/>
            <w:hideMark/>
          </w:tcPr>
          <w:p w14:paraId="2AB6D8F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993" w:type="dxa"/>
            <w:noWrap/>
            <w:vAlign w:val="center"/>
            <w:hideMark/>
          </w:tcPr>
          <w:p w14:paraId="43AE0AD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992" w:type="dxa"/>
            <w:noWrap/>
            <w:vAlign w:val="center"/>
            <w:hideMark/>
          </w:tcPr>
          <w:p w14:paraId="06E3B4A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6896218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62909D4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1205" w:type="dxa"/>
            <w:noWrap/>
            <w:vAlign w:val="center"/>
            <w:hideMark/>
          </w:tcPr>
          <w:p w14:paraId="60EF260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1205" w:type="dxa"/>
            <w:noWrap/>
            <w:vAlign w:val="center"/>
            <w:hideMark/>
          </w:tcPr>
          <w:p w14:paraId="5191D372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</w:tr>
      <w:tr w:rsidR="00AF7262" w14:paraId="0B197078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0A98CC0D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Anorexia</w:t>
            </w:r>
          </w:p>
        </w:tc>
        <w:tc>
          <w:tcPr>
            <w:tcW w:w="1134" w:type="dxa"/>
            <w:noWrap/>
            <w:vAlign w:val="center"/>
            <w:hideMark/>
          </w:tcPr>
          <w:p w14:paraId="22D8D0D0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3" w:type="dxa"/>
            <w:noWrap/>
            <w:vAlign w:val="center"/>
            <w:hideMark/>
          </w:tcPr>
          <w:p w14:paraId="72CF76F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2" w:type="dxa"/>
            <w:noWrap/>
            <w:vAlign w:val="center"/>
            <w:hideMark/>
          </w:tcPr>
          <w:p w14:paraId="1C14569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534AF62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7DD16C4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 (5.6)</w:t>
            </w:r>
          </w:p>
        </w:tc>
        <w:tc>
          <w:tcPr>
            <w:tcW w:w="1205" w:type="dxa"/>
            <w:noWrap/>
            <w:vAlign w:val="center"/>
            <w:hideMark/>
          </w:tcPr>
          <w:p w14:paraId="663428F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 (4.4)</w:t>
            </w:r>
          </w:p>
        </w:tc>
        <w:tc>
          <w:tcPr>
            <w:tcW w:w="1205" w:type="dxa"/>
            <w:noWrap/>
            <w:vAlign w:val="center"/>
            <w:hideMark/>
          </w:tcPr>
          <w:p w14:paraId="7A14CD6B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</w:tr>
      <w:tr w:rsidR="00AF7262" w14:paraId="3766BC6F" w14:textId="77777777" w:rsidTr="00AF7262">
        <w:trPr>
          <w:trHeight w:val="255"/>
        </w:trPr>
        <w:tc>
          <w:tcPr>
            <w:tcW w:w="2267" w:type="dxa"/>
            <w:noWrap/>
            <w:vAlign w:val="center"/>
            <w:hideMark/>
          </w:tcPr>
          <w:p w14:paraId="69FC62F7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Dry mouth</w:t>
            </w:r>
          </w:p>
        </w:tc>
        <w:tc>
          <w:tcPr>
            <w:tcW w:w="1134" w:type="dxa"/>
            <w:noWrap/>
            <w:vAlign w:val="center"/>
            <w:hideMark/>
          </w:tcPr>
          <w:p w14:paraId="126D807D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(3.0)</w:t>
            </w:r>
          </w:p>
        </w:tc>
        <w:tc>
          <w:tcPr>
            <w:tcW w:w="993" w:type="dxa"/>
            <w:noWrap/>
            <w:vAlign w:val="center"/>
            <w:hideMark/>
          </w:tcPr>
          <w:p w14:paraId="0DE6FE5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 (3.0)</w:t>
            </w:r>
          </w:p>
        </w:tc>
        <w:tc>
          <w:tcPr>
            <w:tcW w:w="992" w:type="dxa"/>
            <w:noWrap/>
            <w:vAlign w:val="center"/>
            <w:hideMark/>
          </w:tcPr>
          <w:p w14:paraId="71B7717E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noWrap/>
            <w:vAlign w:val="center"/>
          </w:tcPr>
          <w:p w14:paraId="2589E995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vAlign w:val="center"/>
            <w:hideMark/>
          </w:tcPr>
          <w:p w14:paraId="36D2C7E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  <w:tc>
          <w:tcPr>
            <w:tcW w:w="1205" w:type="dxa"/>
            <w:noWrap/>
            <w:vAlign w:val="center"/>
            <w:hideMark/>
          </w:tcPr>
          <w:p w14:paraId="4F4AD8E8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  <w:tc>
          <w:tcPr>
            <w:tcW w:w="1205" w:type="dxa"/>
            <w:noWrap/>
            <w:vAlign w:val="center"/>
            <w:hideMark/>
          </w:tcPr>
          <w:p w14:paraId="057011C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</w:tr>
      <w:tr w:rsidR="00AF7262" w14:paraId="1337CD4E" w14:textId="77777777" w:rsidTr="00AF7262">
        <w:trPr>
          <w:trHeight w:val="255"/>
        </w:trPr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7D08D" w14:textId="77777777" w:rsidR="00AF7262" w:rsidRDefault="00AF7262">
            <w:pPr>
              <w:widowControl/>
              <w:wordWrap/>
              <w:autoSpaceDE/>
              <w:spacing w:after="0" w:line="48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Chest discomfort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E8B67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C0BC1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BCAF3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B58BF7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C76BB4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 (1.3)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BC4A9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4734A" w14:textId="77777777" w:rsidR="00AF7262" w:rsidRDefault="00AF7262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 (0.6)</w:t>
            </w:r>
          </w:p>
        </w:tc>
      </w:tr>
      <w:tr w:rsidR="00AF7262" w14:paraId="4E7582A3" w14:textId="77777777" w:rsidTr="00AF7262">
        <w:trPr>
          <w:trHeight w:val="255"/>
        </w:trPr>
        <w:tc>
          <w:tcPr>
            <w:tcW w:w="90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E0A2" w14:textId="77777777" w:rsidR="00AF7262" w:rsidRDefault="00AF7262">
            <w:pPr>
              <w:widowControl/>
              <w:wordWrap/>
              <w:autoSpaceDE/>
              <w:spacing w:after="0" w:line="48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STT, proton-pump inhibitor-clarithromycin containing standard triple therapy; BQT, bismuth-containing quadruple therapy.</w:t>
            </w:r>
          </w:p>
        </w:tc>
      </w:tr>
      <w:tr w:rsidR="00AF7262" w14:paraId="5C4F0601" w14:textId="77777777" w:rsidTr="00AF7262">
        <w:trPr>
          <w:trHeight w:val="255"/>
        </w:trPr>
        <w:tc>
          <w:tcPr>
            <w:tcW w:w="9000" w:type="dxa"/>
            <w:gridSpan w:val="8"/>
            <w:noWrap/>
            <w:vAlign w:val="center"/>
            <w:hideMark/>
          </w:tcPr>
          <w:p w14:paraId="0D21949D" w14:textId="77777777" w:rsidR="00AF7262" w:rsidRDefault="00AF7262">
            <w:pPr>
              <w:widowControl/>
              <w:wordWrap/>
              <w:autoSpaceDE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0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This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analysis was performed in the safety population, which included all participants who underwent randomization and received at least one dose allocated treatment. Thirteen participants in the 7-day PPI-clarithromycin containing triple therapy group and fifteen in the 10-day bismuth-containing quadruple therapy group were excluded in this analysis. Grades for adverse events were recorded according to the definitions of the common terminology criteria for adverse events (CTCAE) version 4.0. </w:t>
            </w:r>
          </w:p>
        </w:tc>
      </w:tr>
    </w:tbl>
    <w:p w14:paraId="66B018B1" w14:textId="77777777" w:rsidR="00AF7262" w:rsidRPr="00AF7262" w:rsidRDefault="00AF7262" w:rsidP="00477F51">
      <w:pPr>
        <w:rPr>
          <w:rFonts w:ascii="Times New Roman" w:hAnsi="Times New Roman"/>
        </w:rPr>
      </w:pPr>
    </w:p>
    <w:bookmarkEnd w:id="3"/>
    <w:p w14:paraId="2FB09A27" w14:textId="77777777" w:rsidR="00E77FBC" w:rsidRDefault="00E77FBC" w:rsidP="00477F51">
      <w:pPr>
        <w:rPr>
          <w:rFonts w:ascii="Times New Roman" w:hAnsi="Times New Roman"/>
          <w:bCs/>
        </w:rPr>
        <w:sectPr w:rsidR="00E77FBC" w:rsidSect="003847F2">
          <w:footerReference w:type="default" r:id="rId8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0CD14736" w14:textId="35ECED8C" w:rsidR="00477F51" w:rsidRPr="00477F51" w:rsidRDefault="00477F51" w:rsidP="00477F51">
      <w:pPr>
        <w:rPr>
          <w:rFonts w:ascii="Times New Roman" w:hAnsi="Times New Roman"/>
        </w:rPr>
      </w:pPr>
      <w:r w:rsidRPr="00477F51">
        <w:rPr>
          <w:rFonts w:ascii="Times New Roman" w:hAnsi="Times New Roman"/>
          <w:bCs/>
        </w:rPr>
        <w:lastRenderedPageBreak/>
        <w:t xml:space="preserve">Supplementary table </w:t>
      </w:r>
      <w:r w:rsidR="00AF7262">
        <w:rPr>
          <w:rFonts w:ascii="Times New Roman" w:hAnsi="Times New Roman"/>
          <w:bCs/>
        </w:rPr>
        <w:t>4</w:t>
      </w:r>
      <w:r w:rsidRPr="00477F51">
        <w:rPr>
          <w:rFonts w:ascii="Times New Roman" w:hAnsi="Times New Roman"/>
          <w:bCs/>
        </w:rPr>
        <w:t xml:space="preserve">. </w:t>
      </w:r>
      <w:r w:rsidRPr="00477F51">
        <w:rPr>
          <w:rFonts w:ascii="Times New Roman" w:hAnsi="Times New Roman"/>
        </w:rPr>
        <w:t xml:space="preserve">Adverse events and compliance to cross-over </w:t>
      </w:r>
      <w:proofErr w:type="spellStart"/>
      <w:r w:rsidRPr="00477F51">
        <w:rPr>
          <w:rFonts w:ascii="Times New Roman" w:hAnsi="Times New Roman"/>
        </w:rPr>
        <w:t>treatment</w:t>
      </w:r>
      <w:r w:rsidR="008C1E28" w:rsidRPr="009656D6">
        <w:rPr>
          <w:rFonts w:ascii="Times New Roman" w:hAnsi="Times New Roman" w:hint="eastAsia"/>
          <w:b/>
          <w:bCs/>
          <w:vertAlign w:val="superscript"/>
        </w:rPr>
        <w:t>a</w:t>
      </w:r>
      <w:proofErr w:type="spellEnd"/>
    </w:p>
    <w:tbl>
      <w:tblPr>
        <w:tblW w:w="91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0"/>
        <w:gridCol w:w="2240"/>
        <w:gridCol w:w="2240"/>
        <w:gridCol w:w="1080"/>
      </w:tblGrid>
      <w:tr w:rsidR="00477F51" w:rsidRPr="001B44CA" w14:paraId="76E1B4A4" w14:textId="77777777" w:rsidTr="00650FBA">
        <w:trPr>
          <w:trHeight w:val="510"/>
        </w:trPr>
        <w:tc>
          <w:tcPr>
            <w:tcW w:w="3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A58D07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Events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0180B" w14:textId="77777777" w:rsidR="00477F51" w:rsidRPr="001B44CA" w:rsidRDefault="00477F51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7-day 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STT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10F3" w14:textId="77777777" w:rsidR="00477F51" w:rsidRPr="001B44CA" w:rsidRDefault="00477F5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10-day 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BQT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620189" w14:textId="5FBA112A" w:rsidR="00477F51" w:rsidRPr="007C58EF" w:rsidRDefault="007C58EF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kern w:val="0"/>
                <w:szCs w:val="20"/>
              </w:rPr>
              <w:t xml:space="preserve">P </w:t>
            </w:r>
            <w:r>
              <w:rPr>
                <w:rFonts w:ascii="Times New Roman" w:hAnsi="Times New Roman"/>
                <w:iCs/>
                <w:color w:val="000000"/>
                <w:kern w:val="0"/>
                <w:szCs w:val="20"/>
              </w:rPr>
              <w:t>value</w:t>
            </w:r>
          </w:p>
        </w:tc>
      </w:tr>
      <w:tr w:rsidR="00477F51" w:rsidRPr="001B44CA" w14:paraId="44878913" w14:textId="77777777" w:rsidTr="00650FBA">
        <w:trPr>
          <w:trHeight w:val="330"/>
        </w:trPr>
        <w:tc>
          <w:tcPr>
            <w:tcW w:w="3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DBE98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9B5DF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(n=14)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1098D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(n=36)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835D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</w:tr>
      <w:tr w:rsidR="00477F51" w:rsidRPr="001B44CA" w14:paraId="527834CD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2684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Adverse events, no. (%)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86056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A194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788A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477F51" w:rsidRPr="001B44CA" w14:paraId="01571285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E812D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Taste alteration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E79FC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5 (35.7)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7BD5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 (5.6)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7890" w14:textId="54286511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0.0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14</w:t>
            </w:r>
          </w:p>
        </w:tc>
      </w:tr>
      <w:tr w:rsidR="00477F51" w:rsidRPr="001B44CA" w14:paraId="5B30B048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E2281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Nausea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6C75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8F5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10 (27.8)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E396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0.045</w:t>
            </w:r>
          </w:p>
        </w:tc>
      </w:tr>
      <w:tr w:rsidR="00477F51" w:rsidRPr="001B44CA" w14:paraId="4F6C4578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9C3C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Vomiting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1A115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831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 (5.6)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CDE2" w14:textId="2DC203BC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&gt;0.99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</w:t>
            </w:r>
          </w:p>
        </w:tc>
      </w:tr>
      <w:tr w:rsidR="00477F51" w:rsidRPr="001B44CA" w14:paraId="4AB7DC7B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FBC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Diarrhea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53D23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6 (42.9)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4FD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5 (13.9)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BD8E" w14:textId="7BC3D298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0.0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5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</w:t>
            </w:r>
          </w:p>
        </w:tc>
      </w:tr>
      <w:tr w:rsidR="00477F51" w:rsidRPr="001B44CA" w14:paraId="6D85645D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4A1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Abdominal discomfort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1A51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 (14.3)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D89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5 (13.9)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2C9E" w14:textId="5DB96E1C" w:rsidR="00477F51" w:rsidRPr="001B44CA" w:rsidRDefault="00372099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&gt;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0.9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99</w:t>
            </w:r>
          </w:p>
        </w:tc>
      </w:tr>
      <w:tr w:rsidR="00477F51" w:rsidRPr="001B44CA" w14:paraId="00D2336F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8421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Skin rash or urticaria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D35F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1FF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3641" w14:textId="7634DBB6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&gt;0.99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</w:t>
            </w:r>
          </w:p>
        </w:tc>
      </w:tr>
      <w:tr w:rsidR="00477F51" w:rsidRPr="001B44CA" w14:paraId="3DF13448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E3C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Dizziness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F3A0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 (7.1)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FB1C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3AB6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0.486</w:t>
            </w:r>
          </w:p>
        </w:tc>
      </w:tr>
      <w:tr w:rsidR="00477F51" w:rsidRPr="001B44CA" w14:paraId="44421ACB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F71AA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Headache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79D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53AD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4 (11.1)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BF3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0.566</w:t>
            </w:r>
          </w:p>
        </w:tc>
      </w:tr>
      <w:tr w:rsidR="00477F51" w:rsidRPr="001B44CA" w14:paraId="3DC0DEAC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A7DA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Dyspepsia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62253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929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8 (22.2)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36F2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0.087</w:t>
            </w:r>
          </w:p>
        </w:tc>
      </w:tr>
      <w:tr w:rsidR="00477F51" w:rsidRPr="001B44CA" w14:paraId="01A02474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B309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General weakness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41554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16C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3 (8.3)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986C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0.55</w:t>
            </w:r>
          </w:p>
        </w:tc>
      </w:tr>
      <w:tr w:rsidR="00477F51" w:rsidRPr="001B44CA" w14:paraId="58766E63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38F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Dyspnea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DA98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B721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4134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&gt; 0.99</w:t>
            </w:r>
          </w:p>
        </w:tc>
      </w:tr>
      <w:tr w:rsidR="00477F51" w:rsidRPr="001B44CA" w14:paraId="57EABEBC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5A79A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Anorexia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B9E6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BEFF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 (2.8)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ED7D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&gt; 0.99</w:t>
            </w:r>
          </w:p>
        </w:tc>
      </w:tr>
      <w:tr w:rsidR="00477F51" w:rsidRPr="001B44CA" w14:paraId="045A2BDF" w14:textId="77777777" w:rsidTr="00650FBA">
        <w:trPr>
          <w:trHeight w:val="33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0E15" w14:textId="0199A28E" w:rsidR="00477F51" w:rsidRPr="001B44CA" w:rsidRDefault="00477F51" w:rsidP="008C1E28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Any adverse </w:t>
            </w:r>
            <w:proofErr w:type="spellStart"/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event</w:t>
            </w:r>
            <w:proofErr w:type="gramStart"/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,</w:t>
            </w:r>
            <w:r w:rsidR="008C1E28" w:rsidRPr="008C1E28">
              <w:rPr>
                <w:rFonts w:ascii="Times New Roman" w:hAnsi="Times New Roman" w:hint="eastAsia"/>
                <w:color w:val="000000"/>
                <w:kern w:val="0"/>
                <w:szCs w:val="20"/>
                <w:vertAlign w:val="superscript"/>
              </w:rPr>
              <w:t>b</w:t>
            </w:r>
            <w:proofErr w:type="spellEnd"/>
            <w:proofErr w:type="gramEnd"/>
            <w:r w:rsidR="008C1E28"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 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no. (%)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D2907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7 (50.0)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BAC84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24 (66.7)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F58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0.276</w:t>
            </w:r>
          </w:p>
        </w:tc>
      </w:tr>
      <w:tr w:rsidR="00477F51" w:rsidRPr="001B44CA" w14:paraId="5221A57F" w14:textId="77777777" w:rsidTr="00650FBA">
        <w:trPr>
          <w:trHeight w:val="51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1B10D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Participant who took at least 80% of the Study medications, no. (%)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20B8C" w14:textId="2DC50D08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13 (92.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F32B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24 (66.7)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9561" w14:textId="6A690302" w:rsidR="00477F51" w:rsidRPr="001B44CA" w:rsidRDefault="00477F51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0.0</w:t>
            </w:r>
            <w:r w:rsidR="0037209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78</w:t>
            </w:r>
          </w:p>
        </w:tc>
      </w:tr>
      <w:tr w:rsidR="00477F51" w:rsidRPr="001B44CA" w14:paraId="19BA9451" w14:textId="77777777" w:rsidTr="00650FBA">
        <w:trPr>
          <w:trHeight w:val="870"/>
        </w:trPr>
        <w:tc>
          <w:tcPr>
            <w:tcW w:w="91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CB55" w14:textId="77777777" w:rsidR="000123A9" w:rsidRDefault="000123A9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roton-pump inhibitor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-clarithromycin containing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 standard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triple therapy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, STT; B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ismuth-containing quadruple therapy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, BQT.</w:t>
            </w:r>
            <w:r w:rsidDel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 </w:t>
            </w:r>
          </w:p>
          <w:p w14:paraId="1E435FB0" w14:textId="0B1AC6EF" w:rsidR="00477F51" w:rsidRPr="008C1E28" w:rsidRDefault="008C1E28" w:rsidP="008C1E28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656D6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0"/>
                <w:vertAlign w:val="superscript"/>
              </w:rPr>
              <w:t>a</w:t>
            </w:r>
            <w:r w:rsidR="00477F51" w:rsidRPr="008C1E28">
              <w:rPr>
                <w:rFonts w:ascii="Times New Roman" w:hAnsi="Times New Roman"/>
                <w:color w:val="000000"/>
                <w:kern w:val="0"/>
                <w:szCs w:val="20"/>
              </w:rPr>
              <w:t>In</w:t>
            </w:r>
            <w:proofErr w:type="spellEnd"/>
            <w:r w:rsidR="00477F51" w:rsidRPr="008C1E28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this analysis, all participants who received at least one dose cross-over treatment were included. Two participants who received bismuth-containing quadruple therapy and two participants who received 7-day PPI-clarithromycin containing triple therapy were excluded in this analysis, because of follow-up loss.  </w:t>
            </w:r>
          </w:p>
        </w:tc>
      </w:tr>
      <w:tr w:rsidR="00477F51" w:rsidRPr="001B44CA" w14:paraId="05C3532A" w14:textId="77777777" w:rsidTr="00650FBA">
        <w:trPr>
          <w:trHeight w:val="33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B5CD" w14:textId="66BA37AD" w:rsidR="00477F51" w:rsidRPr="001B44CA" w:rsidRDefault="008C1E28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9656D6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0"/>
                <w:vertAlign w:val="superscript"/>
              </w:rPr>
              <w:t>b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There</w:t>
            </w:r>
            <w:proofErr w:type="spellEnd"/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was no participant who had any serious adverse events.   </w:t>
            </w:r>
          </w:p>
        </w:tc>
      </w:tr>
    </w:tbl>
    <w:p w14:paraId="315A35FF" w14:textId="77777777" w:rsidR="00477F51" w:rsidRPr="001B44CA" w:rsidRDefault="00477F51" w:rsidP="00477F51">
      <w:pPr>
        <w:spacing w:line="480" w:lineRule="auto"/>
        <w:rPr>
          <w:rFonts w:ascii="Times New Roman" w:hAnsi="Times New Roman"/>
        </w:rPr>
      </w:pPr>
    </w:p>
    <w:p w14:paraId="6CD632E7" w14:textId="77777777" w:rsidR="00477F51" w:rsidRPr="001B44CA" w:rsidRDefault="00477F51" w:rsidP="00477F51">
      <w:pPr>
        <w:spacing w:line="480" w:lineRule="auto"/>
        <w:rPr>
          <w:rFonts w:ascii="Times New Roman" w:hAnsi="Times New Roman"/>
        </w:rPr>
      </w:pPr>
    </w:p>
    <w:p w14:paraId="706BBBC1" w14:textId="77777777" w:rsidR="00477F51" w:rsidRPr="001B44CA" w:rsidRDefault="00477F51" w:rsidP="00477F51">
      <w:pPr>
        <w:rPr>
          <w:rFonts w:ascii="Times New Roman" w:hAnsi="Times New Roman"/>
        </w:rPr>
        <w:sectPr w:rsidR="00477F51" w:rsidRPr="001B44CA" w:rsidSect="003847F2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700ED46B" w14:textId="107E627D" w:rsidR="00477F51" w:rsidRPr="00477F51" w:rsidRDefault="00477F51" w:rsidP="00477F51">
      <w:pPr>
        <w:rPr>
          <w:rFonts w:ascii="Times New Roman" w:hAnsi="Times New Roman"/>
        </w:rPr>
      </w:pPr>
      <w:r w:rsidRPr="00477F51">
        <w:rPr>
          <w:rFonts w:ascii="Times New Roman" w:hAnsi="Times New Roman"/>
          <w:bCs/>
        </w:rPr>
        <w:lastRenderedPageBreak/>
        <w:t xml:space="preserve">Supplementary table </w:t>
      </w:r>
      <w:r w:rsidR="00AF7262">
        <w:rPr>
          <w:rFonts w:ascii="Times New Roman" w:hAnsi="Times New Roman"/>
          <w:bCs/>
        </w:rPr>
        <w:t>5</w:t>
      </w:r>
      <w:r w:rsidRPr="00477F51">
        <w:rPr>
          <w:rFonts w:ascii="Times New Roman" w:hAnsi="Times New Roman"/>
          <w:bCs/>
        </w:rPr>
        <w:t xml:space="preserve">. </w:t>
      </w:r>
      <w:r w:rsidRPr="00477F51">
        <w:rPr>
          <w:rFonts w:ascii="Times New Roman" w:hAnsi="Times New Roman"/>
        </w:rPr>
        <w:t>Eradication rates</w:t>
      </w:r>
      <w:r w:rsidR="000123A9">
        <w:rPr>
          <w:rFonts w:ascii="Times New Roman" w:hAnsi="Times New Roman" w:hint="eastAsia"/>
        </w:rPr>
        <w:t xml:space="preserve"> with the first-line therapy</w:t>
      </w:r>
      <w:r w:rsidRPr="00477F51">
        <w:rPr>
          <w:rFonts w:ascii="Times New Roman" w:hAnsi="Times New Roman"/>
        </w:rPr>
        <w:t xml:space="preserve"> according to drug compliance</w:t>
      </w:r>
    </w:p>
    <w:tbl>
      <w:tblPr>
        <w:tblW w:w="4972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33"/>
        <w:gridCol w:w="2601"/>
        <w:gridCol w:w="3238"/>
      </w:tblGrid>
      <w:tr w:rsidR="00477F51" w:rsidRPr="001B44CA" w14:paraId="2B679740" w14:textId="77777777" w:rsidTr="00650FBA">
        <w:trPr>
          <w:trHeight w:val="536"/>
        </w:trPr>
        <w:tc>
          <w:tcPr>
            <w:tcW w:w="181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1013" w14:textId="77777777" w:rsidR="00477F51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Eradication success, % </w:t>
            </w:r>
          </w:p>
          <w:p w14:paraId="5E8D5E7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(no./total no.)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E4349" w14:textId="77777777" w:rsidR="00477F51" w:rsidRPr="001B44CA" w:rsidRDefault="00477F5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7-day 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STT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46F9" w14:textId="77777777" w:rsidR="00477F51" w:rsidRPr="001B44CA" w:rsidRDefault="00477F51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10-day 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BQT</w:t>
            </w:r>
          </w:p>
        </w:tc>
      </w:tr>
      <w:tr w:rsidR="00477F51" w:rsidRPr="001B44CA" w14:paraId="30E271BB" w14:textId="77777777" w:rsidTr="00650FBA">
        <w:trPr>
          <w:trHeight w:val="268"/>
        </w:trPr>
        <w:tc>
          <w:tcPr>
            <w:tcW w:w="1817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222F1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7213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(n=147)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324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kern w:val="0"/>
                <w:szCs w:val="20"/>
              </w:rPr>
              <w:t>(n=149)</w:t>
            </w:r>
          </w:p>
        </w:tc>
      </w:tr>
      <w:tr w:rsidR="00477F51" w:rsidRPr="001B44CA" w14:paraId="014DA9AA" w14:textId="77777777" w:rsidTr="00650FBA">
        <w:trPr>
          <w:trHeight w:val="268"/>
        </w:trPr>
        <w:tc>
          <w:tcPr>
            <w:tcW w:w="18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DA6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Compliance</w:t>
            </w:r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F94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4B33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477F51" w:rsidRPr="001B44CA" w14:paraId="5538B48B" w14:textId="77777777" w:rsidTr="00650FBA">
        <w:trPr>
          <w:trHeight w:val="283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92D6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&lt;</w:t>
            </w:r>
            <w:r w:rsidRPr="001B44CA">
              <w:rPr>
                <w:color w:val="000000"/>
                <w:kern w:val="0"/>
                <w:szCs w:val="20"/>
              </w:rPr>
              <w:t xml:space="preserve"> 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D87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(0/1)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049C" w14:textId="3492D102" w:rsidR="00477F51" w:rsidRPr="001B44CA" w:rsidRDefault="00372099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66.7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(2/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3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286E2A8A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0ED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10% - &lt; 20%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94F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(0/1)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A492" w14:textId="77777777" w:rsidR="00477F51" w:rsidRPr="001B44CA" w:rsidRDefault="00477F51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/2)</w:t>
            </w:r>
          </w:p>
        </w:tc>
      </w:tr>
      <w:tr w:rsidR="00477F51" w:rsidRPr="001B44CA" w14:paraId="5A07356D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BE23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20% - &lt; 30%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FB9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0 (0/2)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9BA8" w14:textId="77777777" w:rsidR="00477F51" w:rsidRPr="001B44CA" w:rsidRDefault="00477F51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66.7 (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3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7131DBFB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75A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30% - &lt; 40%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814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7928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75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.0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6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8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58614981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0E1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40% - &lt; 50%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57F6" w14:textId="77777777" w:rsidR="00477F51" w:rsidRPr="001B44CA" w:rsidRDefault="00477F51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100 (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41A7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2AA339E6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CFA7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50% - &lt; 60%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01D2" w14:textId="7BDE81D4" w:rsidR="00477F51" w:rsidRPr="001B44CA" w:rsidRDefault="00372099" w:rsidP="0037209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50.0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1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 w:rsidR="000123A9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D26B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87.5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7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8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26DD1A3B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FD07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60% - &lt; 70%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D28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6ED7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100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360B9D8E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1809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70% - &lt; 80%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D98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80.0 (4/5)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E13D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75.0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6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8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2B3A59AF" w14:textId="77777777" w:rsidTr="00650FBA">
        <w:trPr>
          <w:trHeight w:val="268"/>
        </w:trPr>
        <w:tc>
          <w:tcPr>
            <w:tcW w:w="18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137E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80% - &lt; 90%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D0D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100 (2/2)</w:t>
            </w:r>
          </w:p>
        </w:tc>
        <w:tc>
          <w:tcPr>
            <w:tcW w:w="1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C2EA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75.0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3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4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6D9698E0" w14:textId="77777777" w:rsidTr="00650FBA">
        <w:trPr>
          <w:trHeight w:val="283"/>
        </w:trPr>
        <w:tc>
          <w:tcPr>
            <w:tcW w:w="18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5DC5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90% - 100%</w:t>
            </w:r>
          </w:p>
        </w:tc>
        <w:tc>
          <w:tcPr>
            <w:tcW w:w="1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4E8C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69.7 (92/132)</w:t>
            </w:r>
          </w:p>
        </w:tc>
        <w:tc>
          <w:tcPr>
            <w:tcW w:w="17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0DA1" w14:textId="77777777" w:rsidR="00477F51" w:rsidRPr="001B44CA" w:rsidRDefault="000123A9" w:rsidP="000123A9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93.6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(10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2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/10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9</w:t>
            </w:r>
            <w:r w:rsidR="00477F51"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477F51" w:rsidRPr="001B44CA" w14:paraId="7980F2E8" w14:textId="77777777" w:rsidTr="00650FBA">
        <w:trPr>
          <w:trHeight w:val="268"/>
        </w:trPr>
        <w:tc>
          <w:tcPr>
            <w:tcW w:w="18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3BCD7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Total </w:t>
            </w:r>
          </w:p>
        </w:tc>
        <w:tc>
          <w:tcPr>
            <w:tcW w:w="14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5A80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68.7 (101/147)</w:t>
            </w:r>
          </w:p>
        </w:tc>
        <w:tc>
          <w:tcPr>
            <w:tcW w:w="17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CA488" w14:textId="77777777" w:rsidR="00477F51" w:rsidRPr="001B44CA" w:rsidRDefault="00477F51" w:rsidP="00650FBA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87.2 (130/149)</w:t>
            </w:r>
          </w:p>
        </w:tc>
      </w:tr>
      <w:tr w:rsidR="00477F51" w:rsidRPr="001B44CA" w14:paraId="3AE6AC72" w14:textId="77777777" w:rsidTr="00650FBA">
        <w:trPr>
          <w:trHeight w:val="268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F3B7FF" w14:textId="77777777" w:rsidR="00477F51" w:rsidRPr="001B44CA" w:rsidRDefault="000123A9" w:rsidP="00650FBA">
            <w:pPr>
              <w:spacing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P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roton-pump inhibitor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-clarithromycin containing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 standard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triple therapy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, STT; B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ismuth-containing quadruple therapy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, BQT.</w:t>
            </w:r>
          </w:p>
        </w:tc>
      </w:tr>
    </w:tbl>
    <w:p w14:paraId="3E726017" w14:textId="77777777" w:rsidR="00477F51" w:rsidRPr="001B44CA" w:rsidRDefault="00477F51" w:rsidP="00477F51">
      <w:pPr>
        <w:rPr>
          <w:rFonts w:ascii="Times New Roman" w:hAnsi="Times New Roman"/>
        </w:rPr>
      </w:pPr>
    </w:p>
    <w:p w14:paraId="44DD218E" w14:textId="77777777" w:rsidR="00477F51" w:rsidRPr="001B44CA" w:rsidRDefault="00477F51" w:rsidP="00477F51">
      <w:pPr>
        <w:spacing w:line="480" w:lineRule="auto"/>
        <w:rPr>
          <w:rFonts w:ascii="Times New Roman" w:hAnsi="Times New Roman"/>
          <w:b/>
          <w:bCs/>
          <w:iCs/>
          <w:sz w:val="28"/>
          <w:szCs w:val="32"/>
        </w:rPr>
      </w:pPr>
    </w:p>
    <w:p w14:paraId="725D1E33" w14:textId="77777777" w:rsidR="00477F51" w:rsidRPr="001B44CA" w:rsidRDefault="00477F51" w:rsidP="00477F51">
      <w:pPr>
        <w:spacing w:line="480" w:lineRule="auto"/>
        <w:rPr>
          <w:rFonts w:ascii="Times New Roman" w:hAnsi="Times New Roman"/>
          <w:b/>
          <w:bCs/>
          <w:iCs/>
          <w:sz w:val="28"/>
          <w:szCs w:val="32"/>
        </w:rPr>
      </w:pPr>
    </w:p>
    <w:p w14:paraId="42A7BB77" w14:textId="77777777" w:rsidR="00633979" w:rsidRDefault="00633979" w:rsidP="00477F51">
      <w:pPr>
        <w:spacing w:line="240" w:lineRule="auto"/>
        <w:sectPr w:rsidR="0063397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37CFA4D0" w14:textId="7F4C2097" w:rsidR="00633979" w:rsidRPr="00477F51" w:rsidRDefault="00633979" w:rsidP="00633979">
      <w:pPr>
        <w:spacing w:line="480" w:lineRule="auto"/>
        <w:rPr>
          <w:rFonts w:ascii="Times New Roman" w:hAnsi="Times New Roman"/>
        </w:rPr>
      </w:pPr>
      <w:r w:rsidRPr="00477F51">
        <w:rPr>
          <w:rFonts w:ascii="Times New Roman" w:hAnsi="Times New Roman"/>
          <w:bCs/>
        </w:rPr>
        <w:lastRenderedPageBreak/>
        <w:t xml:space="preserve">Supplementary table </w:t>
      </w:r>
      <w:r w:rsidR="00AF7262">
        <w:rPr>
          <w:rFonts w:ascii="Times New Roman" w:hAnsi="Times New Roman"/>
          <w:bCs/>
        </w:rPr>
        <w:t>6</w:t>
      </w:r>
      <w:r w:rsidRPr="00477F51"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 w:hint="eastAsia"/>
          <w:bCs/>
        </w:rPr>
        <w:t xml:space="preserve">Proportion of participants who decline to participate in the study or were lost to follow-up after randomization according to indications for </w:t>
      </w:r>
      <w:r w:rsidRPr="00E61465">
        <w:rPr>
          <w:rFonts w:ascii="Times New Roman" w:hAnsi="Times New Roman" w:hint="eastAsia"/>
          <w:bCs/>
          <w:i/>
        </w:rPr>
        <w:t>H. pylori</w:t>
      </w:r>
      <w:r>
        <w:rPr>
          <w:rFonts w:ascii="Times New Roman" w:hAnsi="Times New Roman" w:hint="eastAsia"/>
          <w:bCs/>
        </w:rPr>
        <w:t xml:space="preserve"> treatment </w:t>
      </w:r>
    </w:p>
    <w:tbl>
      <w:tblPr>
        <w:tblW w:w="497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8"/>
        <w:gridCol w:w="1642"/>
        <w:gridCol w:w="1642"/>
        <w:gridCol w:w="1640"/>
      </w:tblGrid>
      <w:tr w:rsidR="00B4187D" w:rsidRPr="001B44CA" w14:paraId="68BA79AF" w14:textId="77777777" w:rsidTr="00B4187D">
        <w:trPr>
          <w:trHeight w:val="545"/>
        </w:trPr>
        <w:tc>
          <w:tcPr>
            <w:tcW w:w="23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F29E93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BA2D2A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639433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7-day 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STT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950C2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10-day 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BQT</w:t>
            </w:r>
          </w:p>
        </w:tc>
      </w:tr>
      <w:tr w:rsidR="00B4187D" w:rsidRPr="001B44CA" w14:paraId="7C13D785" w14:textId="77777777" w:rsidTr="00B4187D">
        <w:trPr>
          <w:trHeight w:val="353"/>
        </w:trPr>
        <w:tc>
          <w:tcPr>
            <w:tcW w:w="23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B1E71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BB628" w14:textId="315C767D" w:rsidR="00B4187D" w:rsidRPr="001B44CA" w:rsidRDefault="00B4187D" w:rsidP="00BE434F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352</w:t>
            </w: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805F5" w14:textId="5C4B006B" w:rsidR="00B4187D" w:rsidRPr="001B44CA" w:rsidRDefault="00B4187D" w:rsidP="00BE434F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177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9515C" w14:textId="39FE5EDA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(n=</w:t>
            </w: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175</w:t>
            </w:r>
            <w:r w:rsidRPr="001B44CA">
              <w:rPr>
                <w:rFonts w:ascii="Times New Roman" w:hAnsi="Times New Roman"/>
                <w:color w:val="000000"/>
                <w:kern w:val="0"/>
                <w:szCs w:val="20"/>
              </w:rPr>
              <w:t>)</w:t>
            </w:r>
          </w:p>
        </w:tc>
      </w:tr>
      <w:tr w:rsidR="00B4187D" w:rsidRPr="001B44CA" w14:paraId="28C211BF" w14:textId="77777777" w:rsidTr="00B4187D">
        <w:trPr>
          <w:trHeight w:val="353"/>
        </w:trPr>
        <w:tc>
          <w:tcPr>
            <w:tcW w:w="2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FF836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Indications for </w:t>
            </w:r>
            <w:r w:rsidRPr="00CD5802">
              <w:rPr>
                <w:rFonts w:ascii="Times New Roman" w:hAnsi="Times New Roman"/>
                <w:i/>
                <w:iCs/>
                <w:color w:val="000000"/>
                <w:kern w:val="0"/>
                <w:szCs w:val="20"/>
              </w:rPr>
              <w:t>H. pylori</w:t>
            </w: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 treatment, no. (%)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202DD" w14:textId="77777777" w:rsidR="00B4187D" w:rsidRPr="001B44CA" w:rsidRDefault="00B4187D" w:rsidP="00BE434F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D4AA8F" w14:textId="77777777" w:rsidR="00B4187D" w:rsidRPr="001B44CA" w:rsidRDefault="00B4187D" w:rsidP="00BE434F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F45D" w14:textId="77777777" w:rsidR="00B4187D" w:rsidRPr="001B44CA" w:rsidRDefault="00B4187D" w:rsidP="00BE434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B4187D" w:rsidRPr="001B44CA" w14:paraId="3964A249" w14:textId="77777777" w:rsidTr="00B4187D">
        <w:trPr>
          <w:trHeight w:val="353"/>
        </w:trPr>
        <w:tc>
          <w:tcPr>
            <w:tcW w:w="2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A28E" w14:textId="77777777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Post-ESD for adenoma or gastric cancer </w:t>
            </w:r>
          </w:p>
        </w:tc>
        <w:tc>
          <w:tcPr>
            <w:tcW w:w="894" w:type="pct"/>
            <w:vAlign w:val="center"/>
          </w:tcPr>
          <w:p w14:paraId="167BF715" w14:textId="2EA3725A" w:rsidR="00B4187D" w:rsidRPr="001B44CA" w:rsidRDefault="00B4187D" w:rsidP="009748AD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7/106 (6.6)</w:t>
            </w:r>
          </w:p>
        </w:tc>
        <w:tc>
          <w:tcPr>
            <w:tcW w:w="894" w:type="pct"/>
            <w:vAlign w:val="center"/>
          </w:tcPr>
          <w:p w14:paraId="2CC29DC6" w14:textId="34933254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6/55 (10.9)</w:t>
            </w:r>
          </w:p>
        </w:tc>
        <w:tc>
          <w:tcPr>
            <w:tcW w:w="893" w:type="pct"/>
            <w:noWrap/>
            <w:vAlign w:val="center"/>
          </w:tcPr>
          <w:p w14:paraId="412B70CC" w14:textId="7BEA416D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1/51 (2.0)</w:t>
            </w:r>
          </w:p>
        </w:tc>
      </w:tr>
      <w:tr w:rsidR="00B4187D" w:rsidRPr="001B44CA" w14:paraId="173BB731" w14:textId="77777777" w:rsidTr="00B4187D">
        <w:trPr>
          <w:trHeight w:val="353"/>
        </w:trPr>
        <w:tc>
          <w:tcPr>
            <w:tcW w:w="23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B29C57" w14:textId="77777777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>Peptic ulcer disease</w:t>
            </w:r>
          </w:p>
        </w:tc>
        <w:tc>
          <w:tcPr>
            <w:tcW w:w="894" w:type="pct"/>
            <w:vAlign w:val="center"/>
          </w:tcPr>
          <w:p w14:paraId="33249CEF" w14:textId="0DF32DDD" w:rsidR="00B4187D" w:rsidRPr="001B44CA" w:rsidRDefault="00B4187D" w:rsidP="009748AD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6/49 (12.2)</w:t>
            </w:r>
          </w:p>
        </w:tc>
        <w:tc>
          <w:tcPr>
            <w:tcW w:w="894" w:type="pct"/>
            <w:vAlign w:val="center"/>
          </w:tcPr>
          <w:p w14:paraId="1EA542CF" w14:textId="594C71DF" w:rsidR="00B4187D" w:rsidRPr="001B44CA" w:rsidRDefault="00B4187D" w:rsidP="009748AD">
            <w:pPr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2/22 (9.1)</w:t>
            </w:r>
          </w:p>
        </w:tc>
        <w:tc>
          <w:tcPr>
            <w:tcW w:w="893" w:type="pct"/>
            <w:noWrap/>
            <w:vAlign w:val="center"/>
          </w:tcPr>
          <w:p w14:paraId="4500CBB3" w14:textId="33B6F32E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4/27 (14.8)</w:t>
            </w:r>
          </w:p>
        </w:tc>
      </w:tr>
      <w:tr w:rsidR="00B4187D" w:rsidRPr="001B44CA" w14:paraId="4495EBB3" w14:textId="77777777" w:rsidTr="00B4187D">
        <w:trPr>
          <w:trHeight w:val="353"/>
        </w:trPr>
        <w:tc>
          <w:tcPr>
            <w:tcW w:w="231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EF84B3" w14:textId="77777777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left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Chronic gastritis with non-ulcer dyspepsia 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vAlign w:val="center"/>
          </w:tcPr>
          <w:p w14:paraId="47C2C62E" w14:textId="2692451C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43/197 (21.8)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vAlign w:val="center"/>
          </w:tcPr>
          <w:p w14:paraId="1639B5EB" w14:textId="34D91B6A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22/100 (22.0)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F04BEBB" w14:textId="24508D16" w:rsidR="00B4187D" w:rsidRPr="001B44CA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Cs w:val="20"/>
              </w:rPr>
              <w:t>21/97 (21.6)</w:t>
            </w:r>
          </w:p>
        </w:tc>
      </w:tr>
      <w:tr w:rsidR="00B4187D" w:rsidRPr="001B44CA" w14:paraId="0F656457" w14:textId="77777777" w:rsidTr="00B4187D">
        <w:trPr>
          <w:trHeight w:val="353"/>
        </w:trPr>
        <w:tc>
          <w:tcPr>
            <w:tcW w:w="231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649E6" w14:textId="67AA7500" w:rsidR="00B4187D" w:rsidRPr="00B4187D" w:rsidRDefault="007C58EF" w:rsidP="00B4187D">
            <w:pPr>
              <w:widowControl/>
              <w:wordWrap/>
              <w:autoSpaceDE/>
              <w:autoSpaceDN/>
              <w:spacing w:after="0" w:line="480" w:lineRule="auto"/>
              <w:ind w:firstLineChars="100" w:firstLine="200"/>
              <w:jc w:val="center"/>
              <w:rPr>
                <w:rFonts w:ascii="Times New Roman" w:hAnsi="Times New Roman"/>
                <w:i/>
                <w:color w:val="000000"/>
                <w:kern w:val="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kern w:val="0"/>
                <w:szCs w:val="20"/>
              </w:rPr>
              <w:t>P</w:t>
            </w:r>
            <w:r w:rsidR="00B4187D">
              <w:rPr>
                <w:rFonts w:ascii="Times New Roman" w:hAnsi="Times New Roman" w:hint="eastAsia"/>
                <w:i/>
                <w:color w:val="000000"/>
                <w:kern w:val="0"/>
                <w:szCs w:val="20"/>
              </w:rPr>
              <w:t xml:space="preserve"> </w:t>
            </w:r>
            <w:r w:rsidR="00B4187D" w:rsidRPr="00B4187D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value</w:t>
            </w:r>
          </w:p>
        </w:tc>
        <w:tc>
          <w:tcPr>
            <w:tcW w:w="8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FDE095" w14:textId="2E4707DA" w:rsidR="00B4187D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0.001</w:t>
            </w:r>
          </w:p>
        </w:tc>
        <w:tc>
          <w:tcPr>
            <w:tcW w:w="8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DA0C6" w14:textId="7604FE33" w:rsidR="00B4187D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0.150</w:t>
            </w:r>
          </w:p>
        </w:tc>
        <w:tc>
          <w:tcPr>
            <w:tcW w:w="89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2DB44D" w14:textId="3898D9B9" w:rsidR="00B4187D" w:rsidRDefault="00B4187D" w:rsidP="009748AD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0"/>
              </w:rPr>
              <w:t>0.002</w:t>
            </w:r>
          </w:p>
        </w:tc>
      </w:tr>
      <w:tr w:rsidR="00B4187D" w:rsidRPr="001B44CA" w14:paraId="3A3CEAD8" w14:textId="77777777" w:rsidTr="00B4187D">
        <w:trPr>
          <w:trHeight w:val="35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5223" w14:textId="5D4AF621" w:rsidR="00B4187D" w:rsidRPr="00CD5802" w:rsidRDefault="00B4187D" w:rsidP="009748AD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CD5802">
              <w:rPr>
                <w:rFonts w:ascii="Times New Roman" w:hAnsi="Times New Roman" w:hint="eastAsia"/>
                <w:color w:val="000000"/>
                <w:kern w:val="0"/>
                <w:szCs w:val="20"/>
              </w:rPr>
              <w:t>STT, proton-pump inhibitor-clarithromycin containing standard triple therapy</w:t>
            </w:r>
            <w:r w:rsidRPr="00CD5802">
              <w:rPr>
                <w:rFonts w:ascii="Times New Roman" w:hAnsi="Times New Roman"/>
                <w:color w:val="000000"/>
                <w:kern w:val="0"/>
                <w:szCs w:val="20"/>
              </w:rPr>
              <w:t>;</w:t>
            </w:r>
            <w:r w:rsidRPr="00CD5802">
              <w:rPr>
                <w:rFonts w:ascii="Times New Roman" w:hAnsi="Times New Roman" w:hint="eastAsia"/>
                <w:color w:val="000000"/>
                <w:kern w:val="0"/>
                <w:szCs w:val="20"/>
              </w:rPr>
              <w:t xml:space="preserve"> BQT, bismuth-containing quadruple therapy</w:t>
            </w:r>
          </w:p>
        </w:tc>
      </w:tr>
    </w:tbl>
    <w:p w14:paraId="4E0A4552" w14:textId="77777777" w:rsidR="00633979" w:rsidRPr="001B44CA" w:rsidRDefault="00633979" w:rsidP="00633979">
      <w:pPr>
        <w:rPr>
          <w:rFonts w:ascii="Times New Roman" w:hAnsi="Times New Roman"/>
        </w:rPr>
      </w:pPr>
    </w:p>
    <w:p w14:paraId="7B12475B" w14:textId="77777777" w:rsidR="00633979" w:rsidRPr="001B44CA" w:rsidRDefault="00633979" w:rsidP="00633979">
      <w:pPr>
        <w:rPr>
          <w:rFonts w:ascii="Times New Roman" w:hAnsi="Times New Roman"/>
        </w:rPr>
      </w:pPr>
    </w:p>
    <w:p w14:paraId="795C6DA8" w14:textId="1F3B57E5" w:rsidR="00F72D16" w:rsidRPr="00633979" w:rsidRDefault="00F72D16" w:rsidP="00477F51">
      <w:pPr>
        <w:spacing w:line="240" w:lineRule="auto"/>
      </w:pPr>
    </w:p>
    <w:sectPr w:rsidR="00F72D16" w:rsidRPr="0063397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67FE6" w14:textId="77777777" w:rsidR="00493946" w:rsidRDefault="00493946" w:rsidP="00F86BE9">
      <w:pPr>
        <w:spacing w:after="0" w:line="240" w:lineRule="auto"/>
      </w:pPr>
      <w:r>
        <w:separator/>
      </w:r>
    </w:p>
  </w:endnote>
  <w:endnote w:type="continuationSeparator" w:id="0">
    <w:p w14:paraId="64718641" w14:textId="77777777" w:rsidR="00493946" w:rsidRDefault="00493946" w:rsidP="00F86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298517"/>
      <w:docPartObj>
        <w:docPartGallery w:val="Page Numbers (Bottom of Page)"/>
        <w:docPartUnique/>
      </w:docPartObj>
    </w:sdtPr>
    <w:sdtEndPr/>
    <w:sdtContent>
      <w:p w14:paraId="478E5D5F" w14:textId="77777777" w:rsidR="00A117EE" w:rsidRDefault="00A117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94" w:rsidRPr="008A4394">
          <w:rPr>
            <w:noProof/>
            <w:lang w:val="ko-KR"/>
          </w:rPr>
          <w:t>7</w:t>
        </w:r>
        <w:r>
          <w:fldChar w:fldCharType="end"/>
        </w:r>
      </w:p>
    </w:sdtContent>
  </w:sdt>
  <w:p w14:paraId="3BA0EF16" w14:textId="77777777" w:rsidR="00A117EE" w:rsidRDefault="00A117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99257B" w14:textId="77777777" w:rsidR="00493946" w:rsidRDefault="00493946" w:rsidP="00F86BE9">
      <w:pPr>
        <w:spacing w:after="0" w:line="240" w:lineRule="auto"/>
      </w:pPr>
      <w:r>
        <w:separator/>
      </w:r>
    </w:p>
  </w:footnote>
  <w:footnote w:type="continuationSeparator" w:id="0">
    <w:p w14:paraId="30E24E29" w14:textId="77777777" w:rsidR="00493946" w:rsidRDefault="00493946" w:rsidP="00F86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3C60"/>
    <w:multiLevelType w:val="hybridMultilevel"/>
    <w:tmpl w:val="1EC86660"/>
    <w:lvl w:ilvl="0" w:tplc="F404DEB4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>
    <w:nsid w:val="6108284A"/>
    <w:multiLevelType w:val="hybridMultilevel"/>
    <w:tmpl w:val="C9CC4348"/>
    <w:lvl w:ilvl="0" w:tplc="B540DE40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D6"/>
    <w:rsid w:val="000123A9"/>
    <w:rsid w:val="0015563C"/>
    <w:rsid w:val="001B58E8"/>
    <w:rsid w:val="002443E6"/>
    <w:rsid w:val="00357D59"/>
    <w:rsid w:val="00372099"/>
    <w:rsid w:val="0037566D"/>
    <w:rsid w:val="0038294F"/>
    <w:rsid w:val="003B58D6"/>
    <w:rsid w:val="00454843"/>
    <w:rsid w:val="00461EA9"/>
    <w:rsid w:val="00477F51"/>
    <w:rsid w:val="00493946"/>
    <w:rsid w:val="004A3815"/>
    <w:rsid w:val="004D0070"/>
    <w:rsid w:val="004E60AB"/>
    <w:rsid w:val="004E68A0"/>
    <w:rsid w:val="005313C9"/>
    <w:rsid w:val="005A5B36"/>
    <w:rsid w:val="00616A11"/>
    <w:rsid w:val="00633979"/>
    <w:rsid w:val="0067466A"/>
    <w:rsid w:val="006B14BB"/>
    <w:rsid w:val="006B4BB2"/>
    <w:rsid w:val="006D2846"/>
    <w:rsid w:val="006E027D"/>
    <w:rsid w:val="006F1739"/>
    <w:rsid w:val="00727709"/>
    <w:rsid w:val="007454A3"/>
    <w:rsid w:val="00772C87"/>
    <w:rsid w:val="00786438"/>
    <w:rsid w:val="007C58EF"/>
    <w:rsid w:val="007F1C17"/>
    <w:rsid w:val="00835E76"/>
    <w:rsid w:val="0086322D"/>
    <w:rsid w:val="008A4394"/>
    <w:rsid w:val="008C1E28"/>
    <w:rsid w:val="00913882"/>
    <w:rsid w:val="009147AE"/>
    <w:rsid w:val="009656D6"/>
    <w:rsid w:val="009748AD"/>
    <w:rsid w:val="009B098D"/>
    <w:rsid w:val="009B5119"/>
    <w:rsid w:val="009C3C77"/>
    <w:rsid w:val="00A117EE"/>
    <w:rsid w:val="00A72E5E"/>
    <w:rsid w:val="00AA5060"/>
    <w:rsid w:val="00AF0838"/>
    <w:rsid w:val="00AF7262"/>
    <w:rsid w:val="00B37C3B"/>
    <w:rsid w:val="00B4187D"/>
    <w:rsid w:val="00B469BA"/>
    <w:rsid w:val="00C16418"/>
    <w:rsid w:val="00C25D57"/>
    <w:rsid w:val="00CA18BD"/>
    <w:rsid w:val="00D02EA6"/>
    <w:rsid w:val="00D42E70"/>
    <w:rsid w:val="00D658A0"/>
    <w:rsid w:val="00D85866"/>
    <w:rsid w:val="00D92305"/>
    <w:rsid w:val="00DC7C93"/>
    <w:rsid w:val="00DF31B3"/>
    <w:rsid w:val="00E44F14"/>
    <w:rsid w:val="00E61465"/>
    <w:rsid w:val="00E77FBC"/>
    <w:rsid w:val="00EA406F"/>
    <w:rsid w:val="00EB247C"/>
    <w:rsid w:val="00EF5E86"/>
    <w:rsid w:val="00F21DE1"/>
    <w:rsid w:val="00F567EC"/>
    <w:rsid w:val="00F72D16"/>
    <w:rsid w:val="00F86BE9"/>
    <w:rsid w:val="00FD3910"/>
    <w:rsid w:val="00FD6277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88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86B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86BE9"/>
  </w:style>
  <w:style w:type="paragraph" w:styleId="a5">
    <w:name w:val="footer"/>
    <w:basedOn w:val="a"/>
    <w:link w:val="Char0"/>
    <w:uiPriority w:val="99"/>
    <w:unhideWhenUsed/>
    <w:rsid w:val="00F86B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86BE9"/>
  </w:style>
  <w:style w:type="character" w:customStyle="1" w:styleId="1">
    <w:name w:val="하이퍼링크1"/>
    <w:basedOn w:val="a0"/>
    <w:uiPriority w:val="99"/>
    <w:unhideWhenUsed/>
    <w:rsid w:val="00F86BE9"/>
    <w:rPr>
      <w:color w:val="0000FF"/>
      <w:u w:val="single"/>
    </w:rPr>
  </w:style>
  <w:style w:type="character" w:styleId="a6">
    <w:name w:val="Hyperlink"/>
    <w:basedOn w:val="a0"/>
    <w:uiPriority w:val="99"/>
    <w:unhideWhenUsed/>
    <w:rsid w:val="00477F51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77F51"/>
    <w:rPr>
      <w:sz w:val="18"/>
      <w:szCs w:val="18"/>
    </w:rPr>
  </w:style>
  <w:style w:type="paragraph" w:styleId="a8">
    <w:name w:val="annotation text"/>
    <w:aliases w:val="Char11"/>
    <w:basedOn w:val="a"/>
    <w:link w:val="Char1"/>
    <w:uiPriority w:val="99"/>
    <w:unhideWhenUsed/>
    <w:rsid w:val="00477F51"/>
    <w:pPr>
      <w:jc w:val="left"/>
    </w:pPr>
    <w:rPr>
      <w:rFonts w:ascii="맑은 고딕" w:eastAsia="맑은 고딕" w:hAnsi="맑은 고딕" w:cs="Times New Roman"/>
    </w:rPr>
  </w:style>
  <w:style w:type="character" w:customStyle="1" w:styleId="Char1">
    <w:name w:val="메모 텍스트 Char"/>
    <w:aliases w:val="Char11 Char"/>
    <w:basedOn w:val="a0"/>
    <w:link w:val="a8"/>
    <w:uiPriority w:val="99"/>
    <w:rsid w:val="00477F51"/>
    <w:rPr>
      <w:rFonts w:ascii="맑은 고딕" w:eastAsia="맑은 고딕" w:hAnsi="맑은 고딕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477F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477F5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77F51"/>
    <w:pPr>
      <w:ind w:leftChars="400" w:left="800"/>
    </w:pPr>
    <w:rPr>
      <w:rFonts w:ascii="맑은 고딕" w:eastAsia="맑은 고딕" w:hAnsi="맑은 고딕" w:cs="Times New Roman"/>
    </w:rPr>
  </w:style>
  <w:style w:type="paragraph" w:styleId="ab">
    <w:name w:val="annotation subject"/>
    <w:basedOn w:val="a8"/>
    <w:next w:val="a8"/>
    <w:link w:val="Char3"/>
    <w:uiPriority w:val="99"/>
    <w:semiHidden/>
    <w:unhideWhenUsed/>
    <w:rsid w:val="00AF0838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메모 주제 Char"/>
    <w:basedOn w:val="Char1"/>
    <w:link w:val="ab"/>
    <w:uiPriority w:val="99"/>
    <w:semiHidden/>
    <w:rsid w:val="00AF0838"/>
    <w:rPr>
      <w:rFonts w:ascii="맑은 고딕" w:eastAsia="맑은 고딕" w:hAnsi="맑은 고딕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8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86B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86BE9"/>
  </w:style>
  <w:style w:type="paragraph" w:styleId="a5">
    <w:name w:val="footer"/>
    <w:basedOn w:val="a"/>
    <w:link w:val="Char0"/>
    <w:uiPriority w:val="99"/>
    <w:unhideWhenUsed/>
    <w:rsid w:val="00F86B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86BE9"/>
  </w:style>
  <w:style w:type="character" w:customStyle="1" w:styleId="1">
    <w:name w:val="하이퍼링크1"/>
    <w:basedOn w:val="a0"/>
    <w:uiPriority w:val="99"/>
    <w:unhideWhenUsed/>
    <w:rsid w:val="00F86BE9"/>
    <w:rPr>
      <w:color w:val="0000FF"/>
      <w:u w:val="single"/>
    </w:rPr>
  </w:style>
  <w:style w:type="character" w:styleId="a6">
    <w:name w:val="Hyperlink"/>
    <w:basedOn w:val="a0"/>
    <w:uiPriority w:val="99"/>
    <w:unhideWhenUsed/>
    <w:rsid w:val="00477F51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477F51"/>
    <w:rPr>
      <w:sz w:val="18"/>
      <w:szCs w:val="18"/>
    </w:rPr>
  </w:style>
  <w:style w:type="paragraph" w:styleId="a8">
    <w:name w:val="annotation text"/>
    <w:aliases w:val="Char11"/>
    <w:basedOn w:val="a"/>
    <w:link w:val="Char1"/>
    <w:uiPriority w:val="99"/>
    <w:unhideWhenUsed/>
    <w:rsid w:val="00477F51"/>
    <w:pPr>
      <w:jc w:val="left"/>
    </w:pPr>
    <w:rPr>
      <w:rFonts w:ascii="맑은 고딕" w:eastAsia="맑은 고딕" w:hAnsi="맑은 고딕" w:cs="Times New Roman"/>
    </w:rPr>
  </w:style>
  <w:style w:type="character" w:customStyle="1" w:styleId="Char1">
    <w:name w:val="메모 텍스트 Char"/>
    <w:aliases w:val="Char11 Char"/>
    <w:basedOn w:val="a0"/>
    <w:link w:val="a8"/>
    <w:uiPriority w:val="99"/>
    <w:rsid w:val="00477F51"/>
    <w:rPr>
      <w:rFonts w:ascii="맑은 고딕" w:eastAsia="맑은 고딕" w:hAnsi="맑은 고딕" w:cs="Times New Roman"/>
    </w:rPr>
  </w:style>
  <w:style w:type="paragraph" w:styleId="a9">
    <w:name w:val="Balloon Text"/>
    <w:basedOn w:val="a"/>
    <w:link w:val="Char2"/>
    <w:uiPriority w:val="99"/>
    <w:semiHidden/>
    <w:unhideWhenUsed/>
    <w:rsid w:val="00477F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477F5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77F51"/>
    <w:pPr>
      <w:ind w:leftChars="400" w:left="800"/>
    </w:pPr>
    <w:rPr>
      <w:rFonts w:ascii="맑은 고딕" w:eastAsia="맑은 고딕" w:hAnsi="맑은 고딕" w:cs="Times New Roman"/>
    </w:rPr>
  </w:style>
  <w:style w:type="paragraph" w:styleId="ab">
    <w:name w:val="annotation subject"/>
    <w:basedOn w:val="a8"/>
    <w:next w:val="a8"/>
    <w:link w:val="Char3"/>
    <w:uiPriority w:val="99"/>
    <w:semiHidden/>
    <w:unhideWhenUsed/>
    <w:rsid w:val="00AF0838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메모 주제 Char"/>
    <w:basedOn w:val="Char1"/>
    <w:link w:val="ab"/>
    <w:uiPriority w:val="99"/>
    <w:semiHidden/>
    <w:rsid w:val="00AF0838"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Youngil Kim</dc:creator>
  <cp:lastModifiedBy>kimyoungil</cp:lastModifiedBy>
  <cp:revision>2</cp:revision>
  <dcterms:created xsi:type="dcterms:W3CDTF">2020-11-26T11:41:00Z</dcterms:created>
  <dcterms:modified xsi:type="dcterms:W3CDTF">2020-11-26T11:41:00Z</dcterms:modified>
</cp:coreProperties>
</file>