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34C" w:rsidRPr="00307AA5" w:rsidRDefault="0052634C" w:rsidP="0052634C">
      <w:pPr>
        <w:spacing w:line="480" w:lineRule="auto"/>
      </w:pPr>
    </w:p>
    <w:tbl>
      <w:tblPr>
        <w:tblW w:w="0" w:type="auto"/>
        <w:tblLayout w:type="fixed"/>
        <w:tblCellMar>
          <w:left w:w="0" w:type="dxa"/>
          <w:right w:w="0" w:type="dxa"/>
        </w:tblCellMar>
        <w:tblLook w:val="0000" w:firstRow="0" w:lastRow="0" w:firstColumn="0" w:lastColumn="0" w:noHBand="0" w:noVBand="0"/>
      </w:tblPr>
      <w:tblGrid>
        <w:gridCol w:w="3888"/>
        <w:gridCol w:w="1440"/>
        <w:gridCol w:w="1440"/>
        <w:gridCol w:w="1440"/>
        <w:gridCol w:w="1152"/>
        <w:gridCol w:w="288"/>
      </w:tblGrid>
      <w:tr w:rsidR="0052634C" w:rsidTr="00E0097A">
        <w:trPr>
          <w:gridAfter w:val="1"/>
          <w:wAfter w:w="288" w:type="dxa"/>
          <w:cantSplit/>
          <w:tblHeader/>
        </w:trPr>
        <w:tc>
          <w:tcPr>
            <w:tcW w:w="9360" w:type="dxa"/>
            <w:gridSpan w:val="5"/>
            <w:tcBorders>
              <w:top w:val="nil"/>
              <w:left w:val="nil"/>
              <w:bottom w:val="nil"/>
              <w:right w:val="nil"/>
            </w:tcBorders>
          </w:tcPr>
          <w:p w:rsidR="0052634C" w:rsidRDefault="0052634C" w:rsidP="00E0097A">
            <w:pPr>
              <w:spacing w:line="480" w:lineRule="auto"/>
              <w:jc w:val="center"/>
              <w:rPr>
                <w:rFonts w:ascii="Times New Roman" w:hAnsi="Times New Roman" w:cs="Times New Roman"/>
                <w:sz w:val="20"/>
                <w:szCs w:val="20"/>
              </w:rPr>
            </w:pPr>
            <w:r w:rsidRPr="001B737E">
              <w:t>Supplementary Table 1a</w:t>
            </w:r>
            <w:r>
              <w:t>.</w:t>
            </w:r>
            <w:r w:rsidRPr="001B737E">
              <w:t xml:space="preserve"> TARGET-IBD Labs/Imaging 24 Weeks Prior to Dose Changes of Biologic Therapy Due to Lack of Effect</w:t>
            </w:r>
          </w:p>
        </w:tc>
      </w:tr>
      <w:tr w:rsidR="0052634C" w:rsidTr="00E0097A">
        <w:trPr>
          <w:cantSplit/>
          <w:tblHeader/>
        </w:trPr>
        <w:tc>
          <w:tcPr>
            <w:tcW w:w="3888"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 xml:space="preserve">Lab/Imaging Done Within 24 Weeks Prior to Dose Change?, n (%)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All Participants</w:t>
            </w:r>
            <w:r>
              <w:rPr>
                <w:rFonts w:ascii="Times New Roman" w:hAnsi="Times New Roman" w:cs="Times New Roman"/>
                <w:b/>
                <w:bCs/>
                <w:sz w:val="20"/>
                <w:szCs w:val="20"/>
              </w:rPr>
              <w:br/>
              <w:t xml:space="preserve">(N=292)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t>Ulcerative Colitis</w:t>
            </w:r>
            <w:r>
              <w:rPr>
                <w:rFonts w:ascii="Times New Roman" w:hAnsi="Times New Roman" w:cs="Times New Roman"/>
                <w:b/>
                <w:bCs/>
                <w:sz w:val="20"/>
                <w:szCs w:val="20"/>
              </w:rPr>
              <w:br/>
              <w:t xml:space="preserve">(N=77)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Crohn's Disease</w:t>
            </w:r>
            <w:r>
              <w:rPr>
                <w:rFonts w:ascii="Times New Roman" w:hAnsi="Times New Roman" w:cs="Times New Roman"/>
                <w:b/>
                <w:bCs/>
                <w:sz w:val="20"/>
                <w:szCs w:val="20"/>
              </w:rPr>
              <w:br/>
              <w:t xml:space="preserve">(N=215) </w:t>
            </w:r>
            <w:r>
              <w:rPr>
                <w:rFonts w:ascii="Times New Roman" w:hAnsi="Times New Roman" w:cs="Times New Roman"/>
                <w:sz w:val="20"/>
                <w:szCs w:val="20"/>
              </w:rPr>
              <w:t xml:space="preserve"> </w:t>
            </w:r>
          </w:p>
        </w:tc>
        <w:tc>
          <w:tcPr>
            <w:tcW w:w="1440" w:type="dxa"/>
            <w:gridSpan w:val="2"/>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P-value</w:t>
            </w:r>
            <w:r>
              <w:rPr>
                <w:rFonts w:ascii="Times New Roman" w:hAnsi="Times New Roman" w:cs="Times New Roman"/>
                <w:b/>
                <w:bCs/>
                <w:sz w:val="20"/>
                <w:szCs w:val="20"/>
                <w:vertAlign w:val="superscript"/>
              </w:rPr>
              <w:t>1</w:t>
            </w:r>
            <w:r>
              <w:rPr>
                <w:rFonts w:ascii="Times New Roman" w:hAnsi="Times New Roman" w:cs="Times New Roman"/>
                <w:sz w:val="20"/>
                <w:szCs w:val="20"/>
              </w:rPr>
              <w:t xml:space="preserve">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Fecal Calprotectin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260 (89.0%) </w:t>
            </w:r>
            <w:r>
              <w:rPr>
                <w:rFonts w:ascii="Times New Roman" w:hAnsi="Times New Roman" w:cs="Times New Roman"/>
                <w:sz w:val="20"/>
                <w:szCs w:val="20"/>
              </w:rPr>
              <w:br/>
              <w:t xml:space="preserve">32 (11.0%)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64 (83.1%) </w:t>
            </w:r>
            <w:r>
              <w:rPr>
                <w:rFonts w:ascii="Times New Roman" w:hAnsi="Times New Roman" w:cs="Times New Roman"/>
                <w:sz w:val="20"/>
                <w:szCs w:val="20"/>
              </w:rPr>
              <w:br/>
              <w:t xml:space="preserve">13 (16.9%)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196 (91.2%) </w:t>
            </w:r>
            <w:r>
              <w:rPr>
                <w:rFonts w:ascii="Times New Roman" w:hAnsi="Times New Roman" w:cs="Times New Roman"/>
                <w:sz w:val="20"/>
                <w:szCs w:val="20"/>
              </w:rPr>
              <w:br/>
              <w:t xml:space="preserve">19 (8.8%)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0.0529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C-Reactive Protein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131 (44.9%) </w:t>
            </w:r>
            <w:r>
              <w:rPr>
                <w:rFonts w:ascii="Times New Roman" w:hAnsi="Times New Roman" w:cs="Times New Roman"/>
                <w:sz w:val="20"/>
                <w:szCs w:val="20"/>
              </w:rPr>
              <w:br/>
              <w:t xml:space="preserve">161 (55.1%)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27 (35.1%) </w:t>
            </w:r>
            <w:r>
              <w:rPr>
                <w:rFonts w:ascii="Times New Roman" w:hAnsi="Times New Roman" w:cs="Times New Roman"/>
                <w:sz w:val="20"/>
                <w:szCs w:val="20"/>
              </w:rPr>
              <w:br/>
              <w:t xml:space="preserve">50 (64.9%)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104 (48.4%) </w:t>
            </w:r>
            <w:r>
              <w:rPr>
                <w:rFonts w:ascii="Times New Roman" w:hAnsi="Times New Roman" w:cs="Times New Roman"/>
                <w:sz w:val="20"/>
                <w:szCs w:val="20"/>
              </w:rPr>
              <w:br/>
              <w:t xml:space="preserve">111 (51.6%)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0.0443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Therapeutic Drug Monitoring</w:t>
            </w:r>
            <w:r>
              <w:rPr>
                <w:rFonts w:ascii="Times New Roman" w:hAnsi="Times New Roman" w:cs="Times New Roman"/>
                <w:sz w:val="20"/>
                <w:szCs w:val="20"/>
                <w:vertAlign w:val="superscript"/>
              </w:rPr>
              <w:t>2</w:t>
            </w:r>
            <w:r>
              <w:rPr>
                <w:rFonts w:ascii="Times New Roman" w:hAnsi="Times New Roman" w:cs="Times New Roman"/>
                <w:sz w:val="20"/>
                <w:szCs w:val="20"/>
              </w:rPr>
              <w:br/>
              <w:t xml:space="preserve">     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228 </w:t>
            </w:r>
            <w:r>
              <w:rPr>
                <w:rFonts w:ascii="Times New Roman" w:hAnsi="Times New Roman" w:cs="Times New Roman"/>
                <w:sz w:val="20"/>
                <w:szCs w:val="20"/>
              </w:rPr>
              <w:br/>
              <w:t xml:space="preserve">145 (63.6%) </w:t>
            </w:r>
            <w:r>
              <w:rPr>
                <w:rFonts w:ascii="Times New Roman" w:hAnsi="Times New Roman" w:cs="Times New Roman"/>
                <w:sz w:val="20"/>
                <w:szCs w:val="20"/>
              </w:rPr>
              <w:br/>
              <w:t xml:space="preserve">83 (36.4%)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59 </w:t>
            </w:r>
            <w:r>
              <w:rPr>
                <w:rFonts w:ascii="Times New Roman" w:hAnsi="Times New Roman" w:cs="Times New Roman"/>
                <w:sz w:val="20"/>
                <w:szCs w:val="20"/>
              </w:rPr>
              <w:br/>
              <w:t xml:space="preserve">41 (69.5%) </w:t>
            </w:r>
            <w:r>
              <w:rPr>
                <w:rFonts w:ascii="Times New Roman" w:hAnsi="Times New Roman" w:cs="Times New Roman"/>
                <w:sz w:val="20"/>
                <w:szCs w:val="20"/>
              </w:rPr>
              <w:br/>
              <w:t xml:space="preserve">18 (30.5%)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169 </w:t>
            </w:r>
            <w:r>
              <w:rPr>
                <w:rFonts w:ascii="Times New Roman" w:hAnsi="Times New Roman" w:cs="Times New Roman"/>
                <w:sz w:val="20"/>
                <w:szCs w:val="20"/>
              </w:rPr>
              <w:br/>
              <w:t xml:space="preserve">104 (61.5%) </w:t>
            </w:r>
            <w:r>
              <w:rPr>
                <w:rFonts w:ascii="Times New Roman" w:hAnsi="Times New Roman" w:cs="Times New Roman"/>
                <w:sz w:val="20"/>
                <w:szCs w:val="20"/>
              </w:rPr>
              <w:br/>
              <w:t xml:space="preserve">65 (38.5%)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0.2754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Endoscopy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167 (57.2%) </w:t>
            </w:r>
            <w:r>
              <w:rPr>
                <w:rFonts w:ascii="Times New Roman" w:hAnsi="Times New Roman" w:cs="Times New Roman"/>
                <w:sz w:val="20"/>
                <w:szCs w:val="20"/>
              </w:rPr>
              <w:br/>
              <w:t xml:space="preserve">125 (42.8%)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38 (49.4%) </w:t>
            </w:r>
            <w:r>
              <w:rPr>
                <w:rFonts w:ascii="Times New Roman" w:hAnsi="Times New Roman" w:cs="Times New Roman"/>
                <w:sz w:val="20"/>
                <w:szCs w:val="20"/>
              </w:rPr>
              <w:br/>
              <w:t xml:space="preserve">39 (50.6%)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129 (60.0%) </w:t>
            </w:r>
            <w:r>
              <w:rPr>
                <w:rFonts w:ascii="Times New Roman" w:hAnsi="Times New Roman" w:cs="Times New Roman"/>
                <w:sz w:val="20"/>
                <w:szCs w:val="20"/>
              </w:rPr>
              <w:br/>
              <w:t xml:space="preserve">86 (40.0%)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0.1057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MRI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256 (87.7%) </w:t>
            </w:r>
            <w:r>
              <w:rPr>
                <w:rFonts w:ascii="Times New Roman" w:hAnsi="Times New Roman" w:cs="Times New Roman"/>
                <w:sz w:val="20"/>
                <w:szCs w:val="20"/>
              </w:rPr>
              <w:br/>
              <w:t xml:space="preserve">36 (12.3%)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71 (92.2%) </w:t>
            </w:r>
            <w:r>
              <w:rPr>
                <w:rFonts w:ascii="Times New Roman" w:hAnsi="Times New Roman" w:cs="Times New Roman"/>
                <w:sz w:val="20"/>
                <w:szCs w:val="20"/>
              </w:rPr>
              <w:br/>
              <w:t xml:space="preserve">6 (7.8%)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185 (86.0%) </w:t>
            </w:r>
            <w:r>
              <w:rPr>
                <w:rFonts w:ascii="Times New Roman" w:hAnsi="Times New Roman" w:cs="Times New Roman"/>
                <w:sz w:val="20"/>
                <w:szCs w:val="20"/>
              </w:rPr>
              <w:br/>
              <w:t xml:space="preserve">30 (14.0%)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0.1589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CT Scan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251 (86.0%) </w:t>
            </w:r>
            <w:r>
              <w:rPr>
                <w:rFonts w:ascii="Times New Roman" w:hAnsi="Times New Roman" w:cs="Times New Roman"/>
                <w:sz w:val="20"/>
                <w:szCs w:val="20"/>
              </w:rPr>
              <w:br/>
              <w:t xml:space="preserve">41 (14.0%)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70 (90.9%) </w:t>
            </w:r>
            <w:r>
              <w:rPr>
                <w:rFonts w:ascii="Times New Roman" w:hAnsi="Times New Roman" w:cs="Times New Roman"/>
                <w:sz w:val="20"/>
                <w:szCs w:val="20"/>
              </w:rPr>
              <w:br/>
              <w:t xml:space="preserve">7 (9.1%)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181 (84.2%) </w:t>
            </w:r>
            <w:r>
              <w:rPr>
                <w:rFonts w:ascii="Times New Roman" w:hAnsi="Times New Roman" w:cs="Times New Roman"/>
                <w:sz w:val="20"/>
                <w:szCs w:val="20"/>
              </w:rPr>
              <w:br/>
              <w:t xml:space="preserve">34 (15.8%)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0.1458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lastRenderedPageBreak/>
              <w:t xml:space="preserve">At Least One of the Above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63 (21.6%) </w:t>
            </w:r>
            <w:r>
              <w:rPr>
                <w:rFonts w:ascii="Times New Roman" w:hAnsi="Times New Roman" w:cs="Times New Roman"/>
                <w:sz w:val="20"/>
                <w:szCs w:val="20"/>
              </w:rPr>
              <w:br/>
              <w:t xml:space="preserve">229 (78.4%)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14 (18.2%) </w:t>
            </w:r>
            <w:r>
              <w:rPr>
                <w:rFonts w:ascii="Times New Roman" w:hAnsi="Times New Roman" w:cs="Times New Roman"/>
                <w:sz w:val="20"/>
                <w:szCs w:val="20"/>
              </w:rPr>
              <w:br/>
              <w:t xml:space="preserve">63 (81.8%)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49 (22.8%) </w:t>
            </w:r>
            <w:r>
              <w:rPr>
                <w:rFonts w:ascii="Times New Roman" w:hAnsi="Times New Roman" w:cs="Times New Roman"/>
                <w:sz w:val="20"/>
                <w:szCs w:val="20"/>
              </w:rPr>
              <w:br/>
              <w:t xml:space="preserve">166 (77.2%)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0.3997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At Least Two of the Above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137 (46.9%) </w:t>
            </w:r>
            <w:r>
              <w:rPr>
                <w:rFonts w:ascii="Times New Roman" w:hAnsi="Times New Roman" w:cs="Times New Roman"/>
                <w:sz w:val="20"/>
                <w:szCs w:val="20"/>
              </w:rPr>
              <w:br/>
              <w:t xml:space="preserve">155 (53.1%)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32 (41.6%) </w:t>
            </w:r>
            <w:r>
              <w:rPr>
                <w:rFonts w:ascii="Times New Roman" w:hAnsi="Times New Roman" w:cs="Times New Roman"/>
                <w:sz w:val="20"/>
                <w:szCs w:val="20"/>
              </w:rPr>
              <w:br/>
              <w:t xml:space="preserve">45 (58.4%)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105 (48.8%) </w:t>
            </w:r>
            <w:r>
              <w:rPr>
                <w:rFonts w:ascii="Times New Roman" w:hAnsi="Times New Roman" w:cs="Times New Roman"/>
                <w:sz w:val="20"/>
                <w:szCs w:val="20"/>
              </w:rPr>
              <w:br/>
              <w:t xml:space="preserve">110 (51.2%)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0.2729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vertAlign w:val="superscript"/>
              </w:rPr>
              <w:t>1</w:t>
            </w:r>
            <w:r>
              <w:rPr>
                <w:rFonts w:ascii="Times New Roman" w:hAnsi="Times New Roman" w:cs="Times New Roman"/>
                <w:sz w:val="18"/>
                <w:szCs w:val="18"/>
              </w:rPr>
              <w:t xml:space="preserve"> P-values are from general association tests for difference in objective disease activity assessment by disease type.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vertAlign w:val="superscript"/>
              </w:rPr>
              <w:t>2</w:t>
            </w:r>
            <w:r>
              <w:rPr>
                <w:rFonts w:ascii="Times New Roman" w:hAnsi="Times New Roman" w:cs="Times New Roman"/>
                <w:sz w:val="18"/>
                <w:szCs w:val="18"/>
              </w:rPr>
              <w:t xml:space="preserve"> Therapeutic drug monitoring includes antibodies or serum concentration labs for adalimumab or infliximab.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Note:  This table includes participants whose first recorded therapeutic change of a biologic due to lack of effect is a dose change, not a discontinuation. Only the first such change is analyzed. Participants who had a surgery within 12 weeks prior to this change are excluded.  </w:t>
            </w:r>
          </w:p>
        </w:tc>
      </w:tr>
    </w:tbl>
    <w:p w:rsidR="0052634C" w:rsidRDefault="0052634C" w:rsidP="0052634C">
      <w:pPr>
        <w:spacing w:line="480" w:lineRule="auto"/>
      </w:pPr>
    </w:p>
    <w:p w:rsidR="0052634C" w:rsidRDefault="0052634C" w:rsidP="0052634C">
      <w:pPr>
        <w:spacing w:line="480" w:lineRule="auto"/>
      </w:pPr>
    </w:p>
    <w:tbl>
      <w:tblPr>
        <w:tblW w:w="0" w:type="auto"/>
        <w:tblLayout w:type="fixed"/>
        <w:tblCellMar>
          <w:left w:w="0" w:type="dxa"/>
          <w:right w:w="0" w:type="dxa"/>
        </w:tblCellMar>
        <w:tblLook w:val="0000" w:firstRow="0" w:lastRow="0" w:firstColumn="0" w:lastColumn="0" w:noHBand="0" w:noVBand="0"/>
      </w:tblPr>
      <w:tblGrid>
        <w:gridCol w:w="3888"/>
        <w:gridCol w:w="1440"/>
        <w:gridCol w:w="1440"/>
        <w:gridCol w:w="1440"/>
        <w:gridCol w:w="1152"/>
        <w:gridCol w:w="288"/>
      </w:tblGrid>
      <w:tr w:rsidR="0052634C" w:rsidTr="00E0097A">
        <w:trPr>
          <w:gridAfter w:val="1"/>
          <w:wAfter w:w="288" w:type="dxa"/>
          <w:cantSplit/>
          <w:tblHeader/>
        </w:trPr>
        <w:tc>
          <w:tcPr>
            <w:tcW w:w="9360" w:type="dxa"/>
            <w:gridSpan w:val="5"/>
            <w:tcBorders>
              <w:top w:val="nil"/>
              <w:left w:val="nil"/>
              <w:bottom w:val="nil"/>
              <w:right w:val="nil"/>
            </w:tcBorders>
          </w:tcPr>
          <w:p w:rsidR="0052634C" w:rsidRDefault="0052634C" w:rsidP="00E0097A">
            <w:pPr>
              <w:spacing w:line="480" w:lineRule="auto"/>
              <w:jc w:val="center"/>
              <w:rPr>
                <w:rFonts w:ascii="Times New Roman" w:hAnsi="Times New Roman" w:cs="Times New Roman"/>
                <w:sz w:val="20"/>
                <w:szCs w:val="20"/>
              </w:rPr>
            </w:pPr>
            <w:r w:rsidRPr="001B737E">
              <w:lastRenderedPageBreak/>
              <w:t>Supplementary Table 1b</w:t>
            </w:r>
            <w:r>
              <w:t>.</w:t>
            </w:r>
            <w:r w:rsidRPr="001B737E">
              <w:t xml:space="preserve"> TARGET-IBD Labs/Imaging 24 Weeks Prior to Discontinuations of Biologic Therapy Due to Lack of Effect</w:t>
            </w:r>
            <w:r>
              <w:rPr>
                <w:rFonts w:ascii="Times New Roman" w:hAnsi="Times New Roman" w:cs="Times New Roman"/>
                <w:b/>
                <w:bCs/>
                <w:sz w:val="20"/>
                <w:szCs w:val="20"/>
              </w:rPr>
              <w:t xml:space="preserve"> </w:t>
            </w:r>
            <w:r>
              <w:rPr>
                <w:rFonts w:ascii="Times New Roman" w:hAnsi="Times New Roman" w:cs="Times New Roman"/>
                <w:sz w:val="20"/>
                <w:szCs w:val="20"/>
              </w:rPr>
              <w:t xml:space="preserve"> </w:t>
            </w:r>
          </w:p>
        </w:tc>
      </w:tr>
      <w:tr w:rsidR="0052634C" w:rsidTr="00E0097A">
        <w:trPr>
          <w:cantSplit/>
          <w:tblHeader/>
        </w:trPr>
        <w:tc>
          <w:tcPr>
            <w:tcW w:w="3888"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 xml:space="preserve">Lab/Imaging Done Within 24 Weeks Prior to Discontinuation?, n (%)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All Participants</w:t>
            </w:r>
            <w:r>
              <w:rPr>
                <w:rFonts w:ascii="Times New Roman" w:hAnsi="Times New Roman" w:cs="Times New Roman"/>
                <w:b/>
                <w:bCs/>
                <w:sz w:val="20"/>
                <w:szCs w:val="20"/>
              </w:rPr>
              <w:br/>
              <w:t xml:space="preserve">(N=233)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t>Ulcerative Colitis</w:t>
            </w:r>
            <w:r>
              <w:rPr>
                <w:rFonts w:ascii="Times New Roman" w:hAnsi="Times New Roman" w:cs="Times New Roman"/>
                <w:b/>
                <w:bCs/>
                <w:sz w:val="20"/>
                <w:szCs w:val="20"/>
              </w:rPr>
              <w:br/>
              <w:t xml:space="preserve">(N=73)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Crohn's Disease</w:t>
            </w:r>
            <w:r>
              <w:rPr>
                <w:rFonts w:ascii="Times New Roman" w:hAnsi="Times New Roman" w:cs="Times New Roman"/>
                <w:b/>
                <w:bCs/>
                <w:sz w:val="20"/>
                <w:szCs w:val="20"/>
              </w:rPr>
              <w:br/>
              <w:t xml:space="preserve">(N=160) </w:t>
            </w:r>
            <w:r>
              <w:rPr>
                <w:rFonts w:ascii="Times New Roman" w:hAnsi="Times New Roman" w:cs="Times New Roman"/>
                <w:sz w:val="20"/>
                <w:szCs w:val="20"/>
              </w:rPr>
              <w:t xml:space="preserve"> </w:t>
            </w:r>
          </w:p>
        </w:tc>
        <w:tc>
          <w:tcPr>
            <w:tcW w:w="1440" w:type="dxa"/>
            <w:gridSpan w:val="2"/>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P-value</w:t>
            </w:r>
            <w:r>
              <w:rPr>
                <w:rFonts w:ascii="Times New Roman" w:hAnsi="Times New Roman" w:cs="Times New Roman"/>
                <w:b/>
                <w:bCs/>
                <w:sz w:val="20"/>
                <w:szCs w:val="20"/>
                <w:vertAlign w:val="superscript"/>
              </w:rPr>
              <w:t>1</w:t>
            </w:r>
            <w:r>
              <w:rPr>
                <w:rFonts w:ascii="Times New Roman" w:hAnsi="Times New Roman" w:cs="Times New Roman"/>
                <w:sz w:val="20"/>
                <w:szCs w:val="20"/>
              </w:rPr>
              <w:t xml:space="preserve">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Fecal Calprotectin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206 (88.4%) </w:t>
            </w:r>
            <w:r>
              <w:rPr>
                <w:rFonts w:ascii="Times New Roman" w:hAnsi="Times New Roman" w:cs="Times New Roman"/>
                <w:sz w:val="20"/>
                <w:szCs w:val="20"/>
              </w:rPr>
              <w:br/>
              <w:t xml:space="preserve">27 (11.6%)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63 (86.3%) </w:t>
            </w:r>
            <w:r>
              <w:rPr>
                <w:rFonts w:ascii="Times New Roman" w:hAnsi="Times New Roman" w:cs="Times New Roman"/>
                <w:sz w:val="20"/>
                <w:szCs w:val="20"/>
              </w:rPr>
              <w:br/>
              <w:t xml:space="preserve">10 (13.7%)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143 (89.4%) </w:t>
            </w:r>
            <w:r>
              <w:rPr>
                <w:rFonts w:ascii="Times New Roman" w:hAnsi="Times New Roman" w:cs="Times New Roman"/>
                <w:sz w:val="20"/>
                <w:szCs w:val="20"/>
              </w:rPr>
              <w:br/>
              <w:t xml:space="preserve">17 (10.6%)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0.4975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C-Reactive Protein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112 (48.1%) </w:t>
            </w:r>
            <w:r>
              <w:rPr>
                <w:rFonts w:ascii="Times New Roman" w:hAnsi="Times New Roman" w:cs="Times New Roman"/>
                <w:sz w:val="20"/>
                <w:szCs w:val="20"/>
              </w:rPr>
              <w:br/>
              <w:t xml:space="preserve">121 (51.9%)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41 (56.2%) </w:t>
            </w:r>
            <w:r>
              <w:rPr>
                <w:rFonts w:ascii="Times New Roman" w:hAnsi="Times New Roman" w:cs="Times New Roman"/>
                <w:sz w:val="20"/>
                <w:szCs w:val="20"/>
              </w:rPr>
              <w:br/>
              <w:t xml:space="preserve">32 (43.8%)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71 (44.4%) </w:t>
            </w:r>
            <w:r>
              <w:rPr>
                <w:rFonts w:ascii="Times New Roman" w:hAnsi="Times New Roman" w:cs="Times New Roman"/>
                <w:sz w:val="20"/>
                <w:szCs w:val="20"/>
              </w:rPr>
              <w:br/>
              <w:t xml:space="preserve">89 (55.6%)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0.0955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Therapeutic Drug Monitoring</w:t>
            </w:r>
            <w:r>
              <w:rPr>
                <w:rFonts w:ascii="Times New Roman" w:hAnsi="Times New Roman" w:cs="Times New Roman"/>
                <w:sz w:val="20"/>
                <w:szCs w:val="20"/>
                <w:vertAlign w:val="superscript"/>
              </w:rPr>
              <w:t>2</w:t>
            </w:r>
            <w:r>
              <w:rPr>
                <w:rFonts w:ascii="Times New Roman" w:hAnsi="Times New Roman" w:cs="Times New Roman"/>
                <w:sz w:val="20"/>
                <w:szCs w:val="20"/>
              </w:rPr>
              <w:br/>
              <w:t xml:space="preserve">     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162 </w:t>
            </w:r>
            <w:r>
              <w:rPr>
                <w:rFonts w:ascii="Times New Roman" w:hAnsi="Times New Roman" w:cs="Times New Roman"/>
                <w:sz w:val="20"/>
                <w:szCs w:val="20"/>
              </w:rPr>
              <w:br/>
              <w:t xml:space="preserve">89 (54.9%) </w:t>
            </w:r>
            <w:r>
              <w:rPr>
                <w:rFonts w:ascii="Times New Roman" w:hAnsi="Times New Roman" w:cs="Times New Roman"/>
                <w:sz w:val="20"/>
                <w:szCs w:val="20"/>
              </w:rPr>
              <w:br/>
              <w:t xml:space="preserve">73 (45.1%)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62 </w:t>
            </w:r>
            <w:r>
              <w:rPr>
                <w:rFonts w:ascii="Times New Roman" w:hAnsi="Times New Roman" w:cs="Times New Roman"/>
                <w:sz w:val="20"/>
                <w:szCs w:val="20"/>
              </w:rPr>
              <w:br/>
              <w:t xml:space="preserve">30 (48.4%) </w:t>
            </w:r>
            <w:r>
              <w:rPr>
                <w:rFonts w:ascii="Times New Roman" w:hAnsi="Times New Roman" w:cs="Times New Roman"/>
                <w:sz w:val="20"/>
                <w:szCs w:val="20"/>
              </w:rPr>
              <w:br/>
              <w:t xml:space="preserve">32 (51.6%)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100 </w:t>
            </w:r>
            <w:r>
              <w:rPr>
                <w:rFonts w:ascii="Times New Roman" w:hAnsi="Times New Roman" w:cs="Times New Roman"/>
                <w:sz w:val="20"/>
                <w:szCs w:val="20"/>
              </w:rPr>
              <w:br/>
              <w:t xml:space="preserve">59 (59.0%) </w:t>
            </w:r>
            <w:r>
              <w:rPr>
                <w:rFonts w:ascii="Times New Roman" w:hAnsi="Times New Roman" w:cs="Times New Roman"/>
                <w:sz w:val="20"/>
                <w:szCs w:val="20"/>
              </w:rPr>
              <w:br/>
              <w:t xml:space="preserve">41 (41.0%)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0.1883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Endoscopy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123 (52.8%) </w:t>
            </w:r>
            <w:r>
              <w:rPr>
                <w:rFonts w:ascii="Times New Roman" w:hAnsi="Times New Roman" w:cs="Times New Roman"/>
                <w:sz w:val="20"/>
                <w:szCs w:val="20"/>
              </w:rPr>
              <w:br/>
              <w:t xml:space="preserve">110 (47.2%)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37 (50.7%) </w:t>
            </w:r>
            <w:r>
              <w:rPr>
                <w:rFonts w:ascii="Times New Roman" w:hAnsi="Times New Roman" w:cs="Times New Roman"/>
                <w:sz w:val="20"/>
                <w:szCs w:val="20"/>
              </w:rPr>
              <w:br/>
              <w:t xml:space="preserve">36 (49.3%)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86 (53.8%) </w:t>
            </w:r>
            <w:r>
              <w:rPr>
                <w:rFonts w:ascii="Times New Roman" w:hAnsi="Times New Roman" w:cs="Times New Roman"/>
                <w:sz w:val="20"/>
                <w:szCs w:val="20"/>
              </w:rPr>
              <w:br/>
              <w:t xml:space="preserve">74 (46.3%)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0.6645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MRI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202 (86.7%) </w:t>
            </w:r>
            <w:r>
              <w:rPr>
                <w:rFonts w:ascii="Times New Roman" w:hAnsi="Times New Roman" w:cs="Times New Roman"/>
                <w:sz w:val="20"/>
                <w:szCs w:val="20"/>
              </w:rPr>
              <w:br/>
              <w:t xml:space="preserve">31 (13.3%)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73 (100.0%) </w:t>
            </w:r>
            <w:r>
              <w:rPr>
                <w:rFonts w:ascii="Times New Roman" w:hAnsi="Times New Roman" w:cs="Times New Roman"/>
                <w:sz w:val="20"/>
                <w:szCs w:val="20"/>
              </w:rPr>
              <w:br/>
              <w:t xml:space="preserve">0 (0.0%)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129 (80.6%) </w:t>
            </w:r>
            <w:r>
              <w:rPr>
                <w:rFonts w:ascii="Times New Roman" w:hAnsi="Times New Roman" w:cs="Times New Roman"/>
                <w:sz w:val="20"/>
                <w:szCs w:val="20"/>
              </w:rPr>
              <w:br/>
              <w:t xml:space="preserve">31 (19.4%)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&lt;.0001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CT Scan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176 (75.5%) </w:t>
            </w:r>
            <w:r>
              <w:rPr>
                <w:rFonts w:ascii="Times New Roman" w:hAnsi="Times New Roman" w:cs="Times New Roman"/>
                <w:sz w:val="20"/>
                <w:szCs w:val="20"/>
              </w:rPr>
              <w:br/>
              <w:t xml:space="preserve">57 (24.5%)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64 (87.7%) </w:t>
            </w:r>
            <w:r>
              <w:rPr>
                <w:rFonts w:ascii="Times New Roman" w:hAnsi="Times New Roman" w:cs="Times New Roman"/>
                <w:sz w:val="20"/>
                <w:szCs w:val="20"/>
              </w:rPr>
              <w:br/>
              <w:t xml:space="preserve">9 (12.3%)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112 (70.0%) </w:t>
            </w:r>
            <w:r>
              <w:rPr>
                <w:rFonts w:ascii="Times New Roman" w:hAnsi="Times New Roman" w:cs="Times New Roman"/>
                <w:sz w:val="20"/>
                <w:szCs w:val="20"/>
              </w:rPr>
              <w:br/>
              <w:t xml:space="preserve">48 (30.0%)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0.0037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lastRenderedPageBreak/>
              <w:t xml:space="preserve">At Least One of the Above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30 (12.9%) </w:t>
            </w:r>
            <w:r>
              <w:rPr>
                <w:rFonts w:ascii="Times New Roman" w:hAnsi="Times New Roman" w:cs="Times New Roman"/>
                <w:sz w:val="20"/>
                <w:szCs w:val="20"/>
              </w:rPr>
              <w:br/>
              <w:t xml:space="preserve">203 (87.1%)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11 (15.1%) </w:t>
            </w:r>
            <w:r>
              <w:rPr>
                <w:rFonts w:ascii="Times New Roman" w:hAnsi="Times New Roman" w:cs="Times New Roman"/>
                <w:sz w:val="20"/>
                <w:szCs w:val="20"/>
              </w:rPr>
              <w:br/>
              <w:t xml:space="preserve">62 (84.9%)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19 (11.9%) </w:t>
            </w:r>
            <w:r>
              <w:rPr>
                <w:rFonts w:ascii="Times New Roman" w:hAnsi="Times New Roman" w:cs="Times New Roman"/>
                <w:sz w:val="20"/>
                <w:szCs w:val="20"/>
              </w:rPr>
              <w:br/>
              <w:t xml:space="preserve">141 (88.1%)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0.5005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At Least Two of the Above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92 (39.5%) </w:t>
            </w:r>
            <w:r>
              <w:rPr>
                <w:rFonts w:ascii="Times New Roman" w:hAnsi="Times New Roman" w:cs="Times New Roman"/>
                <w:sz w:val="20"/>
                <w:szCs w:val="20"/>
              </w:rPr>
              <w:br/>
              <w:t xml:space="preserve">141 (60.5%)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34 (46.6%) </w:t>
            </w:r>
            <w:r>
              <w:rPr>
                <w:rFonts w:ascii="Times New Roman" w:hAnsi="Times New Roman" w:cs="Times New Roman"/>
                <w:sz w:val="20"/>
                <w:szCs w:val="20"/>
              </w:rPr>
              <w:br/>
              <w:t xml:space="preserve">39 (53.4%)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58 (36.3%) </w:t>
            </w:r>
            <w:r>
              <w:rPr>
                <w:rFonts w:ascii="Times New Roman" w:hAnsi="Times New Roman" w:cs="Times New Roman"/>
                <w:sz w:val="20"/>
                <w:szCs w:val="20"/>
              </w:rPr>
              <w:br/>
              <w:t xml:space="preserve">102 (63.8%)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0.1356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vertAlign w:val="superscript"/>
              </w:rPr>
              <w:t>1</w:t>
            </w:r>
            <w:r>
              <w:rPr>
                <w:rFonts w:ascii="Times New Roman" w:hAnsi="Times New Roman" w:cs="Times New Roman"/>
                <w:sz w:val="18"/>
                <w:szCs w:val="18"/>
              </w:rPr>
              <w:t xml:space="preserve"> P-values are from general association tests for difference in objective disease activity assessment by disease type.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vertAlign w:val="superscript"/>
              </w:rPr>
              <w:t>2</w:t>
            </w:r>
            <w:r>
              <w:rPr>
                <w:rFonts w:ascii="Times New Roman" w:hAnsi="Times New Roman" w:cs="Times New Roman"/>
                <w:sz w:val="18"/>
                <w:szCs w:val="18"/>
              </w:rPr>
              <w:t xml:space="preserve"> Therapeutic drug monitoring includes antibodies or serum concentration labs for adalimumab or infliximab. Therapeutic drug monitoring is also considered to have occurred if the reason given for treatment discontinuation is Antibodies Developed, even if there is no lab data available.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Note:  This table includes participants whose first recorded therapeutic change of a biologic due to lack of effect is a discontinuation, not a dose change. Only the first such change is analyzed. Participants who had a surgery within 12 weeks prior to this change are excluded.  </w:t>
            </w:r>
          </w:p>
        </w:tc>
      </w:tr>
    </w:tbl>
    <w:p w:rsidR="0052634C" w:rsidRDefault="0052634C" w:rsidP="0052634C">
      <w:pPr>
        <w:spacing w:line="480" w:lineRule="auto"/>
      </w:pPr>
    </w:p>
    <w:p w:rsidR="0052634C" w:rsidRDefault="0052634C" w:rsidP="0052634C">
      <w:pPr>
        <w:spacing w:line="480" w:lineRule="auto"/>
      </w:pPr>
    </w:p>
    <w:tbl>
      <w:tblPr>
        <w:tblW w:w="0" w:type="auto"/>
        <w:tblLayout w:type="fixed"/>
        <w:tblCellMar>
          <w:left w:w="0" w:type="dxa"/>
          <w:right w:w="0" w:type="dxa"/>
        </w:tblCellMar>
        <w:tblLook w:val="0000" w:firstRow="0" w:lastRow="0" w:firstColumn="0" w:lastColumn="0" w:noHBand="0" w:noVBand="0"/>
      </w:tblPr>
      <w:tblGrid>
        <w:gridCol w:w="3888"/>
        <w:gridCol w:w="1440"/>
        <w:gridCol w:w="1440"/>
        <w:gridCol w:w="1440"/>
        <w:gridCol w:w="1152"/>
        <w:gridCol w:w="288"/>
      </w:tblGrid>
      <w:tr w:rsidR="0052634C" w:rsidTr="00E0097A">
        <w:trPr>
          <w:gridAfter w:val="1"/>
          <w:wAfter w:w="288" w:type="dxa"/>
          <w:cantSplit/>
          <w:tblHeader/>
        </w:trPr>
        <w:tc>
          <w:tcPr>
            <w:tcW w:w="9360" w:type="dxa"/>
            <w:gridSpan w:val="5"/>
            <w:tcBorders>
              <w:top w:val="nil"/>
              <w:left w:val="nil"/>
              <w:bottom w:val="nil"/>
              <w:right w:val="nil"/>
            </w:tcBorders>
          </w:tcPr>
          <w:p w:rsidR="0052634C" w:rsidRDefault="0052634C" w:rsidP="00E0097A">
            <w:pPr>
              <w:spacing w:line="480" w:lineRule="auto"/>
              <w:jc w:val="center"/>
              <w:rPr>
                <w:rFonts w:ascii="Times New Roman" w:hAnsi="Times New Roman" w:cs="Times New Roman"/>
                <w:sz w:val="20"/>
                <w:szCs w:val="20"/>
              </w:rPr>
            </w:pPr>
            <w:r w:rsidRPr="001B737E">
              <w:lastRenderedPageBreak/>
              <w:t>Supplementary Table 2a</w:t>
            </w:r>
            <w:r>
              <w:t>.</w:t>
            </w:r>
            <w:r w:rsidRPr="001B737E">
              <w:t xml:space="preserve"> TARGET-IBD Labs/Imaging within 12 Weeks Before or After Dose Changes of Biologic Therapy Due to Lack of Effect</w:t>
            </w:r>
            <w:r>
              <w:rPr>
                <w:rFonts w:ascii="Times New Roman" w:hAnsi="Times New Roman" w:cs="Times New Roman"/>
                <w:b/>
                <w:bCs/>
                <w:sz w:val="20"/>
                <w:szCs w:val="20"/>
              </w:rPr>
              <w:t xml:space="preserve"> </w:t>
            </w:r>
            <w:r>
              <w:rPr>
                <w:rFonts w:ascii="Times New Roman" w:hAnsi="Times New Roman" w:cs="Times New Roman"/>
                <w:sz w:val="20"/>
                <w:szCs w:val="20"/>
              </w:rPr>
              <w:t xml:space="preserve"> </w:t>
            </w:r>
          </w:p>
        </w:tc>
      </w:tr>
      <w:tr w:rsidR="0052634C" w:rsidTr="00E0097A">
        <w:trPr>
          <w:cantSplit/>
          <w:tblHeader/>
        </w:trPr>
        <w:tc>
          <w:tcPr>
            <w:tcW w:w="3888"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 xml:space="preserve">Lab/Imaging Done Within 12 Weeks Before to 12 Weeks After Dose Change?, n (%)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All Participants</w:t>
            </w:r>
            <w:r>
              <w:rPr>
                <w:rFonts w:ascii="Times New Roman" w:hAnsi="Times New Roman" w:cs="Times New Roman"/>
                <w:b/>
                <w:bCs/>
                <w:sz w:val="20"/>
                <w:szCs w:val="20"/>
              </w:rPr>
              <w:br/>
              <w:t xml:space="preserve">(N=292)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t>Ulcerative Colitis</w:t>
            </w:r>
            <w:r>
              <w:rPr>
                <w:rFonts w:ascii="Times New Roman" w:hAnsi="Times New Roman" w:cs="Times New Roman"/>
                <w:b/>
                <w:bCs/>
                <w:sz w:val="20"/>
                <w:szCs w:val="20"/>
              </w:rPr>
              <w:br/>
              <w:t xml:space="preserve">(N=77)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Crohn's Disease</w:t>
            </w:r>
            <w:r>
              <w:rPr>
                <w:rFonts w:ascii="Times New Roman" w:hAnsi="Times New Roman" w:cs="Times New Roman"/>
                <w:b/>
                <w:bCs/>
                <w:sz w:val="20"/>
                <w:szCs w:val="20"/>
              </w:rPr>
              <w:br/>
              <w:t xml:space="preserve">(N=215) </w:t>
            </w:r>
            <w:r>
              <w:rPr>
                <w:rFonts w:ascii="Times New Roman" w:hAnsi="Times New Roman" w:cs="Times New Roman"/>
                <w:sz w:val="20"/>
                <w:szCs w:val="20"/>
              </w:rPr>
              <w:t xml:space="preserve"> </w:t>
            </w:r>
          </w:p>
        </w:tc>
        <w:tc>
          <w:tcPr>
            <w:tcW w:w="1440" w:type="dxa"/>
            <w:gridSpan w:val="2"/>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P-value</w:t>
            </w:r>
            <w:r>
              <w:rPr>
                <w:rFonts w:ascii="Times New Roman" w:hAnsi="Times New Roman" w:cs="Times New Roman"/>
                <w:b/>
                <w:bCs/>
                <w:sz w:val="20"/>
                <w:szCs w:val="20"/>
                <w:vertAlign w:val="superscript"/>
              </w:rPr>
              <w:t>1</w:t>
            </w:r>
            <w:r>
              <w:rPr>
                <w:rFonts w:ascii="Times New Roman" w:hAnsi="Times New Roman" w:cs="Times New Roman"/>
                <w:sz w:val="20"/>
                <w:szCs w:val="20"/>
              </w:rPr>
              <w:t xml:space="preserve">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Fecal Calprotectin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260 (89.0%) </w:t>
            </w:r>
            <w:r>
              <w:rPr>
                <w:rFonts w:ascii="Times New Roman" w:hAnsi="Times New Roman" w:cs="Times New Roman"/>
                <w:sz w:val="20"/>
                <w:szCs w:val="20"/>
              </w:rPr>
              <w:br/>
              <w:t xml:space="preserve">32 (11.0%)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64 (83.1%) </w:t>
            </w:r>
            <w:r>
              <w:rPr>
                <w:rFonts w:ascii="Times New Roman" w:hAnsi="Times New Roman" w:cs="Times New Roman"/>
                <w:sz w:val="20"/>
                <w:szCs w:val="20"/>
              </w:rPr>
              <w:br/>
              <w:t xml:space="preserve">13 (16.9%)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196 (91.2%) </w:t>
            </w:r>
            <w:r>
              <w:rPr>
                <w:rFonts w:ascii="Times New Roman" w:hAnsi="Times New Roman" w:cs="Times New Roman"/>
                <w:sz w:val="20"/>
                <w:szCs w:val="20"/>
              </w:rPr>
              <w:br/>
              <w:t xml:space="preserve">19 (8.8%)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0.0529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C-Reactive Protein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135 (46.2%) </w:t>
            </w:r>
            <w:r>
              <w:rPr>
                <w:rFonts w:ascii="Times New Roman" w:hAnsi="Times New Roman" w:cs="Times New Roman"/>
                <w:sz w:val="20"/>
                <w:szCs w:val="20"/>
              </w:rPr>
              <w:br/>
              <w:t xml:space="preserve">157 (53.8%)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29 (37.7%) </w:t>
            </w:r>
            <w:r>
              <w:rPr>
                <w:rFonts w:ascii="Times New Roman" w:hAnsi="Times New Roman" w:cs="Times New Roman"/>
                <w:sz w:val="20"/>
                <w:szCs w:val="20"/>
              </w:rPr>
              <w:br/>
              <w:t xml:space="preserve">48 (62.3%)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106 (49.3%) </w:t>
            </w:r>
            <w:r>
              <w:rPr>
                <w:rFonts w:ascii="Times New Roman" w:hAnsi="Times New Roman" w:cs="Times New Roman"/>
                <w:sz w:val="20"/>
                <w:szCs w:val="20"/>
              </w:rPr>
              <w:br/>
              <w:t xml:space="preserve">109 (50.7%)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0.0793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Therapeutic Drug Monitoring</w:t>
            </w:r>
            <w:r>
              <w:rPr>
                <w:rFonts w:ascii="Times New Roman" w:hAnsi="Times New Roman" w:cs="Times New Roman"/>
                <w:sz w:val="20"/>
                <w:szCs w:val="20"/>
                <w:vertAlign w:val="superscript"/>
              </w:rPr>
              <w:t>2</w:t>
            </w:r>
            <w:r>
              <w:rPr>
                <w:rFonts w:ascii="Times New Roman" w:hAnsi="Times New Roman" w:cs="Times New Roman"/>
                <w:sz w:val="20"/>
                <w:szCs w:val="20"/>
              </w:rPr>
              <w:br/>
              <w:t xml:space="preserve">     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228 </w:t>
            </w:r>
            <w:r>
              <w:rPr>
                <w:rFonts w:ascii="Times New Roman" w:hAnsi="Times New Roman" w:cs="Times New Roman"/>
                <w:sz w:val="20"/>
                <w:szCs w:val="20"/>
              </w:rPr>
              <w:br/>
              <w:t xml:space="preserve">140 (61.4%) </w:t>
            </w:r>
            <w:r>
              <w:rPr>
                <w:rFonts w:ascii="Times New Roman" w:hAnsi="Times New Roman" w:cs="Times New Roman"/>
                <w:sz w:val="20"/>
                <w:szCs w:val="20"/>
              </w:rPr>
              <w:br/>
              <w:t xml:space="preserve">88 (38.6%)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59 </w:t>
            </w:r>
            <w:r>
              <w:rPr>
                <w:rFonts w:ascii="Times New Roman" w:hAnsi="Times New Roman" w:cs="Times New Roman"/>
                <w:sz w:val="20"/>
                <w:szCs w:val="20"/>
              </w:rPr>
              <w:br/>
              <w:t xml:space="preserve">34 (57.6%) </w:t>
            </w:r>
            <w:r>
              <w:rPr>
                <w:rFonts w:ascii="Times New Roman" w:hAnsi="Times New Roman" w:cs="Times New Roman"/>
                <w:sz w:val="20"/>
                <w:szCs w:val="20"/>
              </w:rPr>
              <w:br/>
              <w:t xml:space="preserve">25 (42.4%)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169 </w:t>
            </w:r>
            <w:r>
              <w:rPr>
                <w:rFonts w:ascii="Times New Roman" w:hAnsi="Times New Roman" w:cs="Times New Roman"/>
                <w:sz w:val="20"/>
                <w:szCs w:val="20"/>
              </w:rPr>
              <w:br/>
              <w:t xml:space="preserve">106 (62.7%) </w:t>
            </w:r>
            <w:r>
              <w:rPr>
                <w:rFonts w:ascii="Times New Roman" w:hAnsi="Times New Roman" w:cs="Times New Roman"/>
                <w:sz w:val="20"/>
                <w:szCs w:val="20"/>
              </w:rPr>
              <w:br/>
              <w:t xml:space="preserve">63 (37.3%)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0.4898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Endoscopy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190 (65.1%) </w:t>
            </w:r>
            <w:r>
              <w:rPr>
                <w:rFonts w:ascii="Times New Roman" w:hAnsi="Times New Roman" w:cs="Times New Roman"/>
                <w:sz w:val="20"/>
                <w:szCs w:val="20"/>
              </w:rPr>
              <w:br/>
              <w:t xml:space="preserve">102 (34.9%)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51 (66.2%) </w:t>
            </w:r>
            <w:r>
              <w:rPr>
                <w:rFonts w:ascii="Times New Roman" w:hAnsi="Times New Roman" w:cs="Times New Roman"/>
                <w:sz w:val="20"/>
                <w:szCs w:val="20"/>
              </w:rPr>
              <w:br/>
              <w:t xml:space="preserve">26 (33.8%)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139 (64.7%) </w:t>
            </w:r>
            <w:r>
              <w:rPr>
                <w:rFonts w:ascii="Times New Roman" w:hAnsi="Times New Roman" w:cs="Times New Roman"/>
                <w:sz w:val="20"/>
                <w:szCs w:val="20"/>
              </w:rPr>
              <w:br/>
              <w:t xml:space="preserve">76 (35.3%)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0.8030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MRI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252 (86.3%) </w:t>
            </w:r>
            <w:r>
              <w:rPr>
                <w:rFonts w:ascii="Times New Roman" w:hAnsi="Times New Roman" w:cs="Times New Roman"/>
                <w:sz w:val="20"/>
                <w:szCs w:val="20"/>
              </w:rPr>
              <w:br/>
              <w:t xml:space="preserve">40 (13.7%)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72 (93.5%) </w:t>
            </w:r>
            <w:r>
              <w:rPr>
                <w:rFonts w:ascii="Times New Roman" w:hAnsi="Times New Roman" w:cs="Times New Roman"/>
                <w:sz w:val="20"/>
                <w:szCs w:val="20"/>
              </w:rPr>
              <w:br/>
              <w:t xml:space="preserve">5 (6.5%)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180 (83.7%) </w:t>
            </w:r>
            <w:r>
              <w:rPr>
                <w:rFonts w:ascii="Times New Roman" w:hAnsi="Times New Roman" w:cs="Times New Roman"/>
                <w:sz w:val="20"/>
                <w:szCs w:val="20"/>
              </w:rPr>
              <w:br/>
              <w:t xml:space="preserve">35 (16.3%)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0.0324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CT Scan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255 (87.3%) </w:t>
            </w:r>
            <w:r>
              <w:rPr>
                <w:rFonts w:ascii="Times New Roman" w:hAnsi="Times New Roman" w:cs="Times New Roman"/>
                <w:sz w:val="20"/>
                <w:szCs w:val="20"/>
              </w:rPr>
              <w:br/>
              <w:t xml:space="preserve">37 (12.7%)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70 (90.9%) </w:t>
            </w:r>
            <w:r>
              <w:rPr>
                <w:rFonts w:ascii="Times New Roman" w:hAnsi="Times New Roman" w:cs="Times New Roman"/>
                <w:sz w:val="20"/>
                <w:szCs w:val="20"/>
              </w:rPr>
              <w:br/>
              <w:t xml:space="preserve">7 (9.1%)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185 (86.0%) </w:t>
            </w:r>
            <w:r>
              <w:rPr>
                <w:rFonts w:ascii="Times New Roman" w:hAnsi="Times New Roman" w:cs="Times New Roman"/>
                <w:sz w:val="20"/>
                <w:szCs w:val="20"/>
              </w:rPr>
              <w:br/>
              <w:t xml:space="preserve">30 (14.0%)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0.2719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lastRenderedPageBreak/>
              <w:t xml:space="preserve">At Least One of the Above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65 (22.3%) </w:t>
            </w:r>
            <w:r>
              <w:rPr>
                <w:rFonts w:ascii="Times New Roman" w:hAnsi="Times New Roman" w:cs="Times New Roman"/>
                <w:sz w:val="20"/>
                <w:szCs w:val="20"/>
              </w:rPr>
              <w:br/>
              <w:t xml:space="preserve">227 (77.7%)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18 (23.4%) </w:t>
            </w:r>
            <w:r>
              <w:rPr>
                <w:rFonts w:ascii="Times New Roman" w:hAnsi="Times New Roman" w:cs="Times New Roman"/>
                <w:sz w:val="20"/>
                <w:szCs w:val="20"/>
              </w:rPr>
              <w:br/>
              <w:t xml:space="preserve">59 (76.6%)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47 (21.9%) </w:t>
            </w:r>
            <w:r>
              <w:rPr>
                <w:rFonts w:ascii="Times New Roman" w:hAnsi="Times New Roman" w:cs="Times New Roman"/>
                <w:sz w:val="20"/>
                <w:szCs w:val="20"/>
              </w:rPr>
              <w:br/>
              <w:t xml:space="preserve">168 (78.1%)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0.7841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At Least Two of the Above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146 (50.0%) </w:t>
            </w:r>
            <w:r>
              <w:rPr>
                <w:rFonts w:ascii="Times New Roman" w:hAnsi="Times New Roman" w:cs="Times New Roman"/>
                <w:sz w:val="20"/>
                <w:szCs w:val="20"/>
              </w:rPr>
              <w:br/>
              <w:t xml:space="preserve">146 (50.0%)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37 (48.1%) </w:t>
            </w:r>
            <w:r>
              <w:rPr>
                <w:rFonts w:ascii="Times New Roman" w:hAnsi="Times New Roman" w:cs="Times New Roman"/>
                <w:sz w:val="20"/>
                <w:szCs w:val="20"/>
              </w:rPr>
              <w:br/>
              <w:t xml:space="preserve">40 (51.9%)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109 (50.7%) </w:t>
            </w:r>
            <w:r>
              <w:rPr>
                <w:rFonts w:ascii="Times New Roman" w:hAnsi="Times New Roman" w:cs="Times New Roman"/>
                <w:sz w:val="20"/>
                <w:szCs w:val="20"/>
              </w:rPr>
              <w:br/>
              <w:t xml:space="preserve">106 (49.3%)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0.6908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vertAlign w:val="superscript"/>
              </w:rPr>
              <w:t>1</w:t>
            </w:r>
            <w:r>
              <w:rPr>
                <w:rFonts w:ascii="Times New Roman" w:hAnsi="Times New Roman" w:cs="Times New Roman"/>
                <w:sz w:val="18"/>
                <w:szCs w:val="18"/>
              </w:rPr>
              <w:t xml:space="preserve"> P-values are from general association tests for difference in objective disease activity assessment by disease type.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vertAlign w:val="superscript"/>
              </w:rPr>
              <w:t>2</w:t>
            </w:r>
            <w:r>
              <w:rPr>
                <w:rFonts w:ascii="Times New Roman" w:hAnsi="Times New Roman" w:cs="Times New Roman"/>
                <w:sz w:val="18"/>
                <w:szCs w:val="18"/>
              </w:rPr>
              <w:t xml:space="preserve"> Therapeutic drug monitoring includes antibodies or serum concentration labs for adalimumab or infliximab.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Note:  This table includes participants whose first recorded therapeutic change of a biologic due to lack of effect is a dose change, not a discontinuation. Only the first such change is analyzed. Participants who had a surgery within 12 weeks prior to this change are excluded.  </w:t>
            </w:r>
          </w:p>
        </w:tc>
      </w:tr>
    </w:tbl>
    <w:p w:rsidR="0052634C" w:rsidRDefault="0052634C" w:rsidP="0052634C">
      <w:pPr>
        <w:spacing w:line="480" w:lineRule="auto"/>
      </w:pPr>
    </w:p>
    <w:p w:rsidR="0052634C" w:rsidRDefault="0052634C" w:rsidP="0052634C">
      <w:pPr>
        <w:spacing w:line="480" w:lineRule="auto"/>
      </w:pPr>
    </w:p>
    <w:tbl>
      <w:tblPr>
        <w:tblW w:w="0" w:type="auto"/>
        <w:tblLayout w:type="fixed"/>
        <w:tblCellMar>
          <w:left w:w="0" w:type="dxa"/>
          <w:right w:w="0" w:type="dxa"/>
        </w:tblCellMar>
        <w:tblLook w:val="0000" w:firstRow="0" w:lastRow="0" w:firstColumn="0" w:lastColumn="0" w:noHBand="0" w:noVBand="0"/>
      </w:tblPr>
      <w:tblGrid>
        <w:gridCol w:w="3888"/>
        <w:gridCol w:w="1440"/>
        <w:gridCol w:w="1440"/>
        <w:gridCol w:w="1440"/>
        <w:gridCol w:w="1152"/>
        <w:gridCol w:w="288"/>
      </w:tblGrid>
      <w:tr w:rsidR="0052634C" w:rsidTr="00E0097A">
        <w:trPr>
          <w:gridAfter w:val="1"/>
          <w:wAfter w:w="288" w:type="dxa"/>
          <w:cantSplit/>
          <w:tblHeader/>
        </w:trPr>
        <w:tc>
          <w:tcPr>
            <w:tcW w:w="9360" w:type="dxa"/>
            <w:gridSpan w:val="5"/>
            <w:tcBorders>
              <w:top w:val="nil"/>
              <w:left w:val="nil"/>
              <w:bottom w:val="nil"/>
              <w:right w:val="nil"/>
            </w:tcBorders>
          </w:tcPr>
          <w:p w:rsidR="0052634C" w:rsidRDefault="0052634C" w:rsidP="00E0097A">
            <w:pPr>
              <w:spacing w:line="480" w:lineRule="auto"/>
              <w:jc w:val="center"/>
              <w:rPr>
                <w:rFonts w:ascii="Times New Roman" w:hAnsi="Times New Roman" w:cs="Times New Roman"/>
                <w:sz w:val="20"/>
                <w:szCs w:val="20"/>
              </w:rPr>
            </w:pPr>
            <w:r w:rsidRPr="001B737E">
              <w:lastRenderedPageBreak/>
              <w:t>Supplementary Table 2b</w:t>
            </w:r>
            <w:r>
              <w:t>.</w:t>
            </w:r>
            <w:r w:rsidRPr="001B737E">
              <w:t xml:space="preserve"> TARGET-IBD Labs/Imaging within 12 Weeks Before or After Discontinuations of Biologic Therapy Due to Lack of Effect</w:t>
            </w:r>
            <w:r>
              <w:rPr>
                <w:rFonts w:ascii="Times New Roman" w:hAnsi="Times New Roman" w:cs="Times New Roman"/>
                <w:b/>
                <w:bCs/>
                <w:sz w:val="20"/>
                <w:szCs w:val="20"/>
              </w:rPr>
              <w:t xml:space="preserve"> </w:t>
            </w:r>
            <w:r>
              <w:rPr>
                <w:rFonts w:ascii="Times New Roman" w:hAnsi="Times New Roman" w:cs="Times New Roman"/>
                <w:sz w:val="20"/>
                <w:szCs w:val="20"/>
              </w:rPr>
              <w:t xml:space="preserve"> </w:t>
            </w:r>
          </w:p>
        </w:tc>
      </w:tr>
      <w:tr w:rsidR="0052634C" w:rsidTr="00E0097A">
        <w:trPr>
          <w:cantSplit/>
          <w:tblHeader/>
        </w:trPr>
        <w:tc>
          <w:tcPr>
            <w:tcW w:w="3888"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 xml:space="preserve">Lab/Imaging Done Within 12 Weeks Before to 12 Weeks After Discontinuation?, n (%)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All Participants</w:t>
            </w:r>
            <w:r>
              <w:rPr>
                <w:rFonts w:ascii="Times New Roman" w:hAnsi="Times New Roman" w:cs="Times New Roman"/>
                <w:b/>
                <w:bCs/>
                <w:sz w:val="20"/>
                <w:szCs w:val="20"/>
              </w:rPr>
              <w:br/>
              <w:t xml:space="preserve">(N=233)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t>Ulcerative Colitis</w:t>
            </w:r>
            <w:r>
              <w:rPr>
                <w:rFonts w:ascii="Times New Roman" w:hAnsi="Times New Roman" w:cs="Times New Roman"/>
                <w:b/>
                <w:bCs/>
                <w:sz w:val="20"/>
                <w:szCs w:val="20"/>
              </w:rPr>
              <w:br/>
              <w:t xml:space="preserve">(N=73) </w:t>
            </w:r>
            <w:r>
              <w:rPr>
                <w:rFonts w:ascii="Times New Roman" w:hAnsi="Times New Roman" w:cs="Times New Roman"/>
                <w:sz w:val="20"/>
                <w:szCs w:val="20"/>
              </w:rPr>
              <w:t xml:space="preserve"> </w:t>
            </w:r>
          </w:p>
        </w:tc>
        <w:tc>
          <w:tcPr>
            <w:tcW w:w="1440" w:type="dxa"/>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Crohn's Disease</w:t>
            </w:r>
            <w:r>
              <w:rPr>
                <w:rFonts w:ascii="Times New Roman" w:hAnsi="Times New Roman" w:cs="Times New Roman"/>
                <w:b/>
                <w:bCs/>
                <w:sz w:val="20"/>
                <w:szCs w:val="20"/>
              </w:rPr>
              <w:br/>
              <w:t xml:space="preserve">(N=160) </w:t>
            </w:r>
            <w:r>
              <w:rPr>
                <w:rFonts w:ascii="Times New Roman" w:hAnsi="Times New Roman" w:cs="Times New Roman"/>
                <w:sz w:val="20"/>
                <w:szCs w:val="20"/>
              </w:rPr>
              <w:t xml:space="preserve"> </w:t>
            </w:r>
          </w:p>
        </w:tc>
        <w:tc>
          <w:tcPr>
            <w:tcW w:w="1440" w:type="dxa"/>
            <w:gridSpan w:val="2"/>
            <w:tcBorders>
              <w:top w:val="single" w:sz="6" w:space="0" w:color="auto"/>
              <w:left w:val="single" w:sz="6" w:space="0" w:color="auto"/>
              <w:bottom w:val="single" w:sz="6" w:space="0" w:color="auto"/>
              <w:right w:val="single" w:sz="6" w:space="0" w:color="auto"/>
            </w:tcBorders>
            <w:shd w:val="clear" w:color="auto" w:fill="E0E0E0"/>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b/>
                <w:bCs/>
                <w:sz w:val="20"/>
                <w:szCs w:val="20"/>
              </w:rPr>
              <w:br/>
            </w:r>
            <w:r>
              <w:rPr>
                <w:rFonts w:ascii="Times New Roman" w:hAnsi="Times New Roman" w:cs="Times New Roman"/>
                <w:b/>
                <w:bCs/>
                <w:sz w:val="20"/>
                <w:szCs w:val="20"/>
              </w:rPr>
              <w:br/>
              <w:t>P-value</w:t>
            </w:r>
            <w:r>
              <w:rPr>
                <w:rFonts w:ascii="Times New Roman" w:hAnsi="Times New Roman" w:cs="Times New Roman"/>
                <w:b/>
                <w:bCs/>
                <w:sz w:val="20"/>
                <w:szCs w:val="20"/>
                <w:vertAlign w:val="superscript"/>
              </w:rPr>
              <w:t>1</w:t>
            </w:r>
            <w:r>
              <w:rPr>
                <w:rFonts w:ascii="Times New Roman" w:hAnsi="Times New Roman" w:cs="Times New Roman"/>
                <w:sz w:val="20"/>
                <w:szCs w:val="20"/>
              </w:rPr>
              <w:t xml:space="preserve">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Fecal Calprotectin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207 (88.8%) </w:t>
            </w:r>
            <w:r>
              <w:rPr>
                <w:rFonts w:ascii="Times New Roman" w:hAnsi="Times New Roman" w:cs="Times New Roman"/>
                <w:sz w:val="20"/>
                <w:szCs w:val="20"/>
              </w:rPr>
              <w:br/>
              <w:t xml:space="preserve">26 (11.2%)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63 (86.3%) </w:t>
            </w:r>
            <w:r>
              <w:rPr>
                <w:rFonts w:ascii="Times New Roman" w:hAnsi="Times New Roman" w:cs="Times New Roman"/>
                <w:sz w:val="20"/>
                <w:szCs w:val="20"/>
              </w:rPr>
              <w:br/>
              <w:t xml:space="preserve">10 (13.7%)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144 (90.0%) </w:t>
            </w:r>
            <w:r>
              <w:rPr>
                <w:rFonts w:ascii="Times New Roman" w:hAnsi="Times New Roman" w:cs="Times New Roman"/>
                <w:sz w:val="20"/>
                <w:szCs w:val="20"/>
              </w:rPr>
              <w:br/>
              <w:t xml:space="preserve">16 (10.0%)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0.4066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C-Reactive Protein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103 (44.2%) </w:t>
            </w:r>
            <w:r>
              <w:rPr>
                <w:rFonts w:ascii="Times New Roman" w:hAnsi="Times New Roman" w:cs="Times New Roman"/>
                <w:sz w:val="20"/>
                <w:szCs w:val="20"/>
              </w:rPr>
              <w:br/>
              <w:t xml:space="preserve">130 (55.8%)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38 (52.1%) </w:t>
            </w:r>
            <w:r>
              <w:rPr>
                <w:rFonts w:ascii="Times New Roman" w:hAnsi="Times New Roman" w:cs="Times New Roman"/>
                <w:sz w:val="20"/>
                <w:szCs w:val="20"/>
              </w:rPr>
              <w:br/>
              <w:t xml:space="preserve">35 (47.9%)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65 (40.6%) </w:t>
            </w:r>
            <w:r>
              <w:rPr>
                <w:rFonts w:ascii="Times New Roman" w:hAnsi="Times New Roman" w:cs="Times New Roman"/>
                <w:sz w:val="20"/>
                <w:szCs w:val="20"/>
              </w:rPr>
              <w:br/>
              <w:t xml:space="preserve">95 (59.4%)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0.1040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Therapeutic Drug Monitoring</w:t>
            </w:r>
            <w:r>
              <w:rPr>
                <w:rFonts w:ascii="Times New Roman" w:hAnsi="Times New Roman" w:cs="Times New Roman"/>
                <w:sz w:val="20"/>
                <w:szCs w:val="20"/>
                <w:vertAlign w:val="superscript"/>
              </w:rPr>
              <w:t>2</w:t>
            </w:r>
            <w:r>
              <w:rPr>
                <w:rFonts w:ascii="Times New Roman" w:hAnsi="Times New Roman" w:cs="Times New Roman"/>
                <w:sz w:val="20"/>
                <w:szCs w:val="20"/>
              </w:rPr>
              <w:br/>
              <w:t xml:space="preserve">     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162 </w:t>
            </w:r>
            <w:r>
              <w:rPr>
                <w:rFonts w:ascii="Times New Roman" w:hAnsi="Times New Roman" w:cs="Times New Roman"/>
                <w:sz w:val="20"/>
                <w:szCs w:val="20"/>
              </w:rPr>
              <w:br/>
              <w:t xml:space="preserve">90 (55.6%) </w:t>
            </w:r>
            <w:r>
              <w:rPr>
                <w:rFonts w:ascii="Times New Roman" w:hAnsi="Times New Roman" w:cs="Times New Roman"/>
                <w:sz w:val="20"/>
                <w:szCs w:val="20"/>
              </w:rPr>
              <w:br/>
              <w:t xml:space="preserve">72 (44.4%)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62 </w:t>
            </w:r>
            <w:r>
              <w:rPr>
                <w:rFonts w:ascii="Times New Roman" w:hAnsi="Times New Roman" w:cs="Times New Roman"/>
                <w:sz w:val="20"/>
                <w:szCs w:val="20"/>
              </w:rPr>
              <w:br/>
              <w:t xml:space="preserve">32 (51.6%) </w:t>
            </w:r>
            <w:r>
              <w:rPr>
                <w:rFonts w:ascii="Times New Roman" w:hAnsi="Times New Roman" w:cs="Times New Roman"/>
                <w:sz w:val="20"/>
                <w:szCs w:val="20"/>
              </w:rPr>
              <w:br/>
              <w:t xml:space="preserve">30 (48.4%)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100 </w:t>
            </w:r>
            <w:r>
              <w:rPr>
                <w:rFonts w:ascii="Times New Roman" w:hAnsi="Times New Roman" w:cs="Times New Roman"/>
                <w:sz w:val="20"/>
                <w:szCs w:val="20"/>
              </w:rPr>
              <w:br/>
              <w:t xml:space="preserve">58 (58.0%) </w:t>
            </w:r>
            <w:r>
              <w:rPr>
                <w:rFonts w:ascii="Times New Roman" w:hAnsi="Times New Roman" w:cs="Times New Roman"/>
                <w:sz w:val="20"/>
                <w:szCs w:val="20"/>
              </w:rPr>
              <w:br/>
              <w:t xml:space="preserve">42 (42.0%)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0.4279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Endoscopy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124 (53.2%) </w:t>
            </w:r>
            <w:r>
              <w:rPr>
                <w:rFonts w:ascii="Times New Roman" w:hAnsi="Times New Roman" w:cs="Times New Roman"/>
                <w:sz w:val="20"/>
                <w:szCs w:val="20"/>
              </w:rPr>
              <w:br/>
              <w:t xml:space="preserve">109 (46.8%)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34 (46.6%) </w:t>
            </w:r>
            <w:r>
              <w:rPr>
                <w:rFonts w:ascii="Times New Roman" w:hAnsi="Times New Roman" w:cs="Times New Roman"/>
                <w:sz w:val="20"/>
                <w:szCs w:val="20"/>
              </w:rPr>
              <w:br/>
              <w:t xml:space="preserve">39 (53.4%)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90 (56.3%) </w:t>
            </w:r>
            <w:r>
              <w:rPr>
                <w:rFonts w:ascii="Times New Roman" w:hAnsi="Times New Roman" w:cs="Times New Roman"/>
                <w:sz w:val="20"/>
                <w:szCs w:val="20"/>
              </w:rPr>
              <w:br/>
              <w:t xml:space="preserve">70 (43.8%)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0.1707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MRI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193 (82.8%) </w:t>
            </w:r>
            <w:r>
              <w:rPr>
                <w:rFonts w:ascii="Times New Roman" w:hAnsi="Times New Roman" w:cs="Times New Roman"/>
                <w:sz w:val="20"/>
                <w:szCs w:val="20"/>
              </w:rPr>
              <w:br/>
              <w:t xml:space="preserve">40 (17.2%)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70 (95.9%) </w:t>
            </w:r>
            <w:r>
              <w:rPr>
                <w:rFonts w:ascii="Times New Roman" w:hAnsi="Times New Roman" w:cs="Times New Roman"/>
                <w:sz w:val="20"/>
                <w:szCs w:val="20"/>
              </w:rPr>
              <w:br/>
              <w:t xml:space="preserve">3 (4.1%)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123 (76.9%) </w:t>
            </w:r>
            <w:r>
              <w:rPr>
                <w:rFonts w:ascii="Times New Roman" w:hAnsi="Times New Roman" w:cs="Times New Roman"/>
                <w:sz w:val="20"/>
                <w:szCs w:val="20"/>
              </w:rPr>
              <w:br/>
              <w:t xml:space="preserve">37 (23.1%)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0.0004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CT Scan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180 (77.3%) </w:t>
            </w:r>
            <w:r>
              <w:rPr>
                <w:rFonts w:ascii="Times New Roman" w:hAnsi="Times New Roman" w:cs="Times New Roman"/>
                <w:sz w:val="20"/>
                <w:szCs w:val="20"/>
              </w:rPr>
              <w:br/>
              <w:t xml:space="preserve">53 (22.7%)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64 (87.7%) </w:t>
            </w:r>
            <w:r>
              <w:rPr>
                <w:rFonts w:ascii="Times New Roman" w:hAnsi="Times New Roman" w:cs="Times New Roman"/>
                <w:sz w:val="20"/>
                <w:szCs w:val="20"/>
              </w:rPr>
              <w:br/>
              <w:t xml:space="preserve">9 (12.3%)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116 (72.5%) </w:t>
            </w:r>
            <w:r>
              <w:rPr>
                <w:rFonts w:ascii="Times New Roman" w:hAnsi="Times New Roman" w:cs="Times New Roman"/>
                <w:sz w:val="20"/>
                <w:szCs w:val="20"/>
              </w:rPr>
              <w:br/>
              <w:t xml:space="preserve">44 (27.5%)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0.0106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lastRenderedPageBreak/>
              <w:t xml:space="preserve">At Least One of the Above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26 (11.2%) </w:t>
            </w:r>
            <w:r>
              <w:rPr>
                <w:rFonts w:ascii="Times New Roman" w:hAnsi="Times New Roman" w:cs="Times New Roman"/>
                <w:sz w:val="20"/>
                <w:szCs w:val="20"/>
              </w:rPr>
              <w:br/>
              <w:t xml:space="preserve">207 (88.8%)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10 (13.7%) </w:t>
            </w:r>
            <w:r>
              <w:rPr>
                <w:rFonts w:ascii="Times New Roman" w:hAnsi="Times New Roman" w:cs="Times New Roman"/>
                <w:sz w:val="20"/>
                <w:szCs w:val="20"/>
              </w:rPr>
              <w:br/>
              <w:t xml:space="preserve">63 (86.3%)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16 (10.0%) </w:t>
            </w:r>
            <w:r>
              <w:rPr>
                <w:rFonts w:ascii="Times New Roman" w:hAnsi="Times New Roman" w:cs="Times New Roman"/>
                <w:sz w:val="20"/>
                <w:szCs w:val="20"/>
              </w:rPr>
              <w:br/>
              <w:t xml:space="preserve">144 (90.0%)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0.4066  </w:t>
            </w:r>
          </w:p>
        </w:tc>
      </w:tr>
      <w:tr w:rsidR="0052634C" w:rsidTr="00E0097A">
        <w:trPr>
          <w:cantSplit/>
        </w:trPr>
        <w:tc>
          <w:tcPr>
            <w:tcW w:w="3888"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At Least Two of the Above </w:t>
            </w:r>
            <w:r>
              <w:rPr>
                <w:rFonts w:ascii="Times New Roman" w:hAnsi="Times New Roman" w:cs="Times New Roman"/>
                <w:sz w:val="20"/>
                <w:szCs w:val="20"/>
              </w:rPr>
              <w:br/>
              <w:t xml:space="preserve">     No </w:t>
            </w:r>
            <w:r>
              <w:rPr>
                <w:rFonts w:ascii="Times New Roman" w:hAnsi="Times New Roman" w:cs="Times New Roman"/>
                <w:sz w:val="20"/>
                <w:szCs w:val="20"/>
              </w:rPr>
              <w:br/>
              <w:t xml:space="preserve">     Yes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90 (38.6%) </w:t>
            </w:r>
            <w:r>
              <w:rPr>
                <w:rFonts w:ascii="Times New Roman" w:hAnsi="Times New Roman" w:cs="Times New Roman"/>
                <w:sz w:val="20"/>
                <w:szCs w:val="20"/>
              </w:rPr>
              <w:br/>
              <w:t xml:space="preserve">143 (61.4%)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30 (41.1%) </w:t>
            </w:r>
            <w:r>
              <w:rPr>
                <w:rFonts w:ascii="Times New Roman" w:hAnsi="Times New Roman" w:cs="Times New Roman"/>
                <w:sz w:val="20"/>
                <w:szCs w:val="20"/>
              </w:rPr>
              <w:br/>
              <w:t xml:space="preserve">43 (58.9%)  </w:t>
            </w:r>
          </w:p>
        </w:tc>
        <w:tc>
          <w:tcPr>
            <w:tcW w:w="1440" w:type="dxa"/>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br/>
              <w:t xml:space="preserve">60 (37.5%) </w:t>
            </w:r>
            <w:r>
              <w:rPr>
                <w:rFonts w:ascii="Times New Roman" w:hAnsi="Times New Roman" w:cs="Times New Roman"/>
                <w:sz w:val="20"/>
                <w:szCs w:val="20"/>
              </w:rPr>
              <w:br/>
              <w:t xml:space="preserve">100 (62.5%)  </w:t>
            </w:r>
          </w:p>
        </w:tc>
        <w:tc>
          <w:tcPr>
            <w:tcW w:w="1440" w:type="dxa"/>
            <w:gridSpan w:val="2"/>
            <w:tcBorders>
              <w:top w:val="single" w:sz="6" w:space="0" w:color="auto"/>
              <w:left w:val="single" w:sz="6" w:space="0" w:color="auto"/>
              <w:bottom w:val="single" w:sz="6" w:space="0" w:color="auto"/>
              <w:right w:val="single" w:sz="6" w:space="0" w:color="auto"/>
            </w:tcBorders>
          </w:tcPr>
          <w:p w:rsidR="0052634C" w:rsidRDefault="0052634C" w:rsidP="00E0097A">
            <w:pPr>
              <w:autoSpaceDE w:val="0"/>
              <w:autoSpaceDN w:val="0"/>
              <w:adjustRightInd w:val="0"/>
              <w:spacing w:after="0" w:line="480" w:lineRule="auto"/>
              <w:jc w:val="center"/>
              <w:rPr>
                <w:rFonts w:ascii="Times New Roman" w:hAnsi="Times New Roman" w:cs="Times New Roman"/>
                <w:sz w:val="20"/>
                <w:szCs w:val="20"/>
              </w:rPr>
            </w:pPr>
            <w:r>
              <w:rPr>
                <w:rFonts w:ascii="Times New Roman" w:hAnsi="Times New Roman" w:cs="Times New Roman"/>
                <w:sz w:val="20"/>
                <w:szCs w:val="20"/>
              </w:rPr>
              <w:br/>
              <w:t xml:space="preserve">0.6018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vertAlign w:val="superscript"/>
              </w:rPr>
              <w:t>1</w:t>
            </w:r>
            <w:r>
              <w:rPr>
                <w:rFonts w:ascii="Times New Roman" w:hAnsi="Times New Roman" w:cs="Times New Roman"/>
                <w:sz w:val="18"/>
                <w:szCs w:val="18"/>
              </w:rPr>
              <w:t xml:space="preserve"> P-values are from general association tests for difference in objective disease activity assessment by disease type.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vertAlign w:val="superscript"/>
              </w:rPr>
              <w:t>2</w:t>
            </w:r>
            <w:r>
              <w:rPr>
                <w:rFonts w:ascii="Times New Roman" w:hAnsi="Times New Roman" w:cs="Times New Roman"/>
                <w:sz w:val="18"/>
                <w:szCs w:val="18"/>
              </w:rPr>
              <w:t xml:space="preserve"> Therapeutic drug monitoring includes antibodies or serum concentration labs for adalimumab or infliximab. Therapeutic drug monitoring is also considered to have occurred if the reason given for treatment discontinuation is Antibodies Developed, even if there is no lab data available.  </w:t>
            </w:r>
          </w:p>
        </w:tc>
      </w:tr>
      <w:tr w:rsidR="0052634C" w:rsidTr="00E0097A">
        <w:trPr>
          <w:gridAfter w:val="1"/>
          <w:wAfter w:w="288" w:type="dxa"/>
          <w:cantSplit/>
        </w:trPr>
        <w:tc>
          <w:tcPr>
            <w:tcW w:w="9360" w:type="dxa"/>
            <w:gridSpan w:val="5"/>
            <w:tcBorders>
              <w:top w:val="nil"/>
              <w:left w:val="nil"/>
              <w:bottom w:val="nil"/>
              <w:right w:val="nil"/>
            </w:tcBorders>
          </w:tcPr>
          <w:p w:rsidR="0052634C" w:rsidRDefault="0052634C" w:rsidP="00E0097A">
            <w:pPr>
              <w:autoSpaceDE w:val="0"/>
              <w:autoSpaceDN w:val="0"/>
              <w:adjustRightInd w:val="0"/>
              <w:spacing w:after="0" w:line="480" w:lineRule="auto"/>
              <w:rPr>
                <w:rFonts w:ascii="Times New Roman" w:hAnsi="Times New Roman" w:cs="Times New Roman"/>
                <w:sz w:val="18"/>
                <w:szCs w:val="18"/>
              </w:rPr>
            </w:pPr>
            <w:r>
              <w:rPr>
                <w:rFonts w:ascii="Times New Roman" w:hAnsi="Times New Roman" w:cs="Times New Roman"/>
                <w:sz w:val="18"/>
                <w:szCs w:val="18"/>
              </w:rPr>
              <w:t xml:space="preserve"> Note:  This table includes participants whose first recorded therapeutic change of a biologic due to lack of effect is a discontinuation, not a dose change. Only the first such change is analyzed. Participants who had a surgery within 12 weeks prior to this change are excluded.  </w:t>
            </w:r>
          </w:p>
        </w:tc>
      </w:tr>
    </w:tbl>
    <w:p w:rsidR="0052634C" w:rsidRDefault="0052634C" w:rsidP="0052634C"/>
    <w:p w:rsidR="0052634C" w:rsidRDefault="0052634C" w:rsidP="0052634C">
      <w:pPr>
        <w:spacing w:line="480" w:lineRule="auto"/>
      </w:pPr>
    </w:p>
    <w:p w:rsidR="0052634C" w:rsidRDefault="0052634C" w:rsidP="0052634C">
      <w:pPr>
        <w:spacing w:line="480" w:lineRule="auto"/>
      </w:pPr>
      <w:r>
        <w:fldChar w:fldCharType="begin"/>
      </w:r>
      <w:r>
        <w:instrText xml:space="preserve"> ADDIN </w:instrText>
      </w:r>
      <w:r>
        <w:fldChar w:fldCharType="end"/>
      </w:r>
    </w:p>
    <w:p w:rsidR="00857B33" w:rsidRDefault="00857B33">
      <w:bookmarkStart w:id="0" w:name="_GoBack"/>
      <w:bookmarkEnd w:id="0"/>
    </w:p>
    <w:sectPr w:rsidR="00857B33" w:rsidSect="009443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34C"/>
    <w:rsid w:val="0006330C"/>
    <w:rsid w:val="000F76B7"/>
    <w:rsid w:val="003B5CF3"/>
    <w:rsid w:val="004D694C"/>
    <w:rsid w:val="00520382"/>
    <w:rsid w:val="0052634C"/>
    <w:rsid w:val="006A3130"/>
    <w:rsid w:val="006C3981"/>
    <w:rsid w:val="007E2905"/>
    <w:rsid w:val="00857B33"/>
    <w:rsid w:val="008B009B"/>
    <w:rsid w:val="008C2450"/>
    <w:rsid w:val="00973EF8"/>
    <w:rsid w:val="00A216BF"/>
    <w:rsid w:val="00A31F25"/>
    <w:rsid w:val="00BC16AB"/>
    <w:rsid w:val="00D21578"/>
    <w:rsid w:val="00D5176B"/>
    <w:rsid w:val="00D60F18"/>
    <w:rsid w:val="00DE3EF3"/>
    <w:rsid w:val="00E0544C"/>
    <w:rsid w:val="00E33404"/>
    <w:rsid w:val="00E43BE7"/>
    <w:rsid w:val="00F86A5D"/>
    <w:rsid w:val="00F96A5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43ED3-84C1-4BF7-9C28-A2C3AF1C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1208</Words>
  <Characters>6887</Characters>
  <Application>Microsoft Office Word</Application>
  <DocSecurity>0</DocSecurity>
  <Lines>57</Lines>
  <Paragraphs>16</Paragraphs>
  <ScaleCrop>false</ScaleCrop>
  <Company>HP Inc.</Company>
  <LinksUpToDate>false</LinksUpToDate>
  <CharactersWithSpaces>8079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Vijaya Kumar D.</dc:creator>
  <cp:keywords/>
  <dc:description/>
  <cp:lastModifiedBy>Vijaya Kumar D.</cp:lastModifiedBy>
  <cp:revision>1</cp:revision>
  <dcterms:created xsi:type="dcterms:W3CDTF">2022-02-09T12:19:00Z</dcterms:created>
  <dcterms:modified xsi:type="dcterms:W3CDTF">2022-02-09T12:19:00Z</dcterms:modified>
</cp:coreProperties>
</file>