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6A" w:rsidRPr="008D187A" w:rsidRDefault="0091206A" w:rsidP="008D187A">
      <w:pPr>
        <w:spacing w:line="360" w:lineRule="auto"/>
        <w:rPr>
          <w:b/>
          <w:bCs/>
          <w:caps/>
        </w:rPr>
      </w:pPr>
      <w:r w:rsidRPr="008D187A">
        <w:rPr>
          <w:b/>
          <w:bCs/>
          <w:caps/>
        </w:rPr>
        <w:t>Appendix</w:t>
      </w:r>
    </w:p>
    <w:p w:rsidR="0091206A" w:rsidRPr="008D187A" w:rsidRDefault="0091206A" w:rsidP="008D187A">
      <w:pPr>
        <w:spacing w:line="360" w:lineRule="auto"/>
      </w:pPr>
    </w:p>
    <w:p w:rsidR="0091206A" w:rsidRPr="008D187A" w:rsidRDefault="0091206A" w:rsidP="008D187A">
      <w:pPr>
        <w:spacing w:line="360" w:lineRule="auto"/>
      </w:pPr>
      <w:r w:rsidRPr="008D187A">
        <w:t>This appendix has been provided by the authors to give readers additional information about their work.</w:t>
      </w:r>
    </w:p>
    <w:p w:rsidR="0091206A" w:rsidRPr="008D187A" w:rsidRDefault="0091206A" w:rsidP="008D187A">
      <w:pPr>
        <w:widowControl/>
        <w:tabs>
          <w:tab w:val="left" w:pos="-28"/>
        </w:tabs>
        <w:kinsoku w:val="0"/>
        <w:spacing w:line="360" w:lineRule="auto"/>
        <w:textAlignment w:val="bottom"/>
      </w:pPr>
    </w:p>
    <w:p w:rsidR="0091206A" w:rsidRPr="008D187A" w:rsidRDefault="0091206A" w:rsidP="008D187A">
      <w:pPr>
        <w:spacing w:line="360" w:lineRule="auto"/>
      </w:pPr>
      <w:r w:rsidRPr="008D187A">
        <w:t>Supplement to: Chiang TH</w:t>
      </w:r>
      <w:r w:rsidRPr="008D187A">
        <w:rPr>
          <w:rFonts w:eastAsia="標楷體"/>
        </w:rPr>
        <w:t xml:space="preserve">, </w:t>
      </w:r>
      <w:r w:rsidRPr="008D187A">
        <w:t>Ch</w:t>
      </w:r>
      <w:r w:rsidR="00BA0890" w:rsidRPr="008D187A">
        <w:rPr>
          <w:rFonts w:hint="eastAsia"/>
        </w:rPr>
        <w:t>e</w:t>
      </w:r>
      <w:r w:rsidR="00BA0890" w:rsidRPr="008D187A">
        <w:t>n</w:t>
      </w:r>
      <w:r w:rsidRPr="008D187A">
        <w:t xml:space="preserve"> </w:t>
      </w:r>
      <w:r w:rsidR="00BA0890" w:rsidRPr="008D187A">
        <w:t>YN</w:t>
      </w:r>
      <w:r w:rsidRPr="008D187A">
        <w:t xml:space="preserve">, Chen </w:t>
      </w:r>
      <w:r w:rsidR="00BA0890" w:rsidRPr="008D187A">
        <w:t>YR</w:t>
      </w:r>
      <w:r w:rsidRPr="008D187A">
        <w:t>, et al.</w:t>
      </w:r>
      <w:r w:rsidR="00464F7B" w:rsidRPr="008D187A">
        <w:t xml:space="preserve"> </w:t>
      </w:r>
      <w:r w:rsidR="00963125" w:rsidRPr="008D187A">
        <w:rPr>
          <w:rFonts w:eastAsia="Microsoft JhengHei UI"/>
          <w:shd w:val="clear" w:color="auto" w:fill="FFFFFF"/>
        </w:rPr>
        <w:t>B</w:t>
      </w:r>
      <w:r w:rsidR="00963125" w:rsidRPr="008D187A">
        <w:rPr>
          <w:rFonts w:eastAsia="標楷體"/>
          <w:bCs/>
        </w:rPr>
        <w:t xml:space="preserve">rand interchangeability of pepsinogen tests in the real-world setting after eradication of </w:t>
      </w:r>
      <w:r w:rsidR="00963125" w:rsidRPr="008D187A">
        <w:rPr>
          <w:rFonts w:eastAsia="標楷體"/>
          <w:bCs/>
          <w:i/>
        </w:rPr>
        <w:t>Helicobacter pylori</w:t>
      </w:r>
      <w:r w:rsidR="00963125" w:rsidRPr="008D187A">
        <w:rPr>
          <w:rFonts w:eastAsia="標楷體"/>
          <w:bCs/>
        </w:rPr>
        <w:t>: A community-based study</w:t>
      </w:r>
    </w:p>
    <w:p w:rsidR="0091206A" w:rsidRPr="00BA0890" w:rsidRDefault="0091206A" w:rsidP="004847F3">
      <w:pPr>
        <w:widowControl/>
        <w:autoSpaceDE w:val="0"/>
        <w:autoSpaceDN w:val="0"/>
        <w:spacing w:line="360" w:lineRule="auto"/>
        <w:textAlignment w:val="bottom"/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5953"/>
      </w:tblGrid>
      <w:tr w:rsidR="00DC327B" w:rsidRPr="00BA0890" w:rsidTr="008D187A">
        <w:tc>
          <w:tcPr>
            <w:tcW w:w="3232" w:type="dxa"/>
          </w:tcPr>
          <w:p w:rsidR="00DC327B" w:rsidRPr="00BA0890" w:rsidRDefault="00DC327B" w:rsidP="004847F3">
            <w:pPr>
              <w:spacing w:line="360" w:lineRule="auto"/>
              <w:rPr>
                <w:szCs w:val="22"/>
              </w:rPr>
            </w:pPr>
            <w:r w:rsidRPr="00BA0890">
              <w:rPr>
                <w:szCs w:val="22"/>
              </w:rPr>
              <w:t>Item</w:t>
            </w:r>
          </w:p>
        </w:tc>
        <w:tc>
          <w:tcPr>
            <w:tcW w:w="5953" w:type="dxa"/>
          </w:tcPr>
          <w:p w:rsidR="00DC327B" w:rsidRPr="00BA0890" w:rsidRDefault="00DC327B" w:rsidP="004847F3">
            <w:pPr>
              <w:spacing w:line="360" w:lineRule="auto"/>
              <w:rPr>
                <w:szCs w:val="22"/>
              </w:rPr>
            </w:pPr>
            <w:r w:rsidRPr="00BA0890">
              <w:rPr>
                <w:szCs w:val="22"/>
              </w:rPr>
              <w:t>Description</w:t>
            </w:r>
          </w:p>
        </w:tc>
      </w:tr>
      <w:tr w:rsidR="004D606D" w:rsidRPr="004D606D" w:rsidTr="008D187A">
        <w:tc>
          <w:tcPr>
            <w:tcW w:w="3232" w:type="dxa"/>
            <w:vAlign w:val="center"/>
          </w:tcPr>
          <w:p w:rsidR="008D187A" w:rsidRPr="004D606D" w:rsidRDefault="008D187A" w:rsidP="008D187A">
            <w:pPr>
              <w:spacing w:line="360" w:lineRule="auto"/>
              <w:rPr>
                <w:szCs w:val="22"/>
              </w:rPr>
            </w:pPr>
            <w:r w:rsidRPr="004D606D">
              <w:rPr>
                <w:szCs w:val="22"/>
              </w:rPr>
              <w:t>Supplementary Table 1</w:t>
            </w:r>
          </w:p>
        </w:tc>
        <w:tc>
          <w:tcPr>
            <w:tcW w:w="5953" w:type="dxa"/>
            <w:vAlign w:val="center"/>
          </w:tcPr>
          <w:p w:rsidR="008D187A" w:rsidRPr="004D606D" w:rsidRDefault="008D187A" w:rsidP="008D187A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/>
                <w:sz w:val="24"/>
                <w:lang w:eastAsia="zh-TW"/>
              </w:rPr>
            </w:pPr>
            <w:r w:rsidRPr="004D606D">
              <w:rPr>
                <w:rFonts w:ascii="Times New Roman" w:hAnsi="Times New Roman"/>
                <w:sz w:val="24"/>
              </w:rPr>
              <w:t>The comparison of baseline data between endoscopic receivers and refusers.</w:t>
            </w:r>
          </w:p>
        </w:tc>
      </w:tr>
      <w:tr w:rsidR="004D606D" w:rsidRPr="004D606D" w:rsidTr="008D187A">
        <w:tc>
          <w:tcPr>
            <w:tcW w:w="3232" w:type="dxa"/>
            <w:vAlign w:val="center"/>
          </w:tcPr>
          <w:p w:rsidR="008D187A" w:rsidRPr="004D606D" w:rsidRDefault="008D187A" w:rsidP="008D187A">
            <w:pPr>
              <w:spacing w:line="360" w:lineRule="auto"/>
              <w:rPr>
                <w:szCs w:val="22"/>
              </w:rPr>
            </w:pPr>
            <w:r w:rsidRPr="004D606D">
              <w:rPr>
                <w:szCs w:val="22"/>
              </w:rPr>
              <w:t>Supplementary Figure 1</w:t>
            </w:r>
          </w:p>
        </w:tc>
        <w:tc>
          <w:tcPr>
            <w:tcW w:w="5953" w:type="dxa"/>
            <w:vAlign w:val="center"/>
          </w:tcPr>
          <w:p w:rsidR="008D187A" w:rsidRPr="004D606D" w:rsidRDefault="008D187A" w:rsidP="008D187A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/>
                <w:sz w:val="24"/>
                <w:szCs w:val="22"/>
                <w:lang w:eastAsia="zh-TW"/>
              </w:rPr>
            </w:pPr>
            <w:r w:rsidRPr="004D606D">
              <w:rPr>
                <w:rFonts w:ascii="Times New Roman" w:hAnsi="Times New Roman"/>
                <w:sz w:val="24"/>
                <w:szCs w:val="22"/>
              </w:rPr>
              <w:t>Multivariate logistic regression model between the two test brands regarding the PPV for atrophic gastritis.</w:t>
            </w:r>
          </w:p>
        </w:tc>
      </w:tr>
      <w:tr w:rsidR="004D606D" w:rsidRPr="004D606D" w:rsidTr="008D187A">
        <w:tc>
          <w:tcPr>
            <w:tcW w:w="3232" w:type="dxa"/>
            <w:vAlign w:val="center"/>
          </w:tcPr>
          <w:p w:rsidR="008D187A" w:rsidRPr="004D606D" w:rsidRDefault="008D187A" w:rsidP="008D187A">
            <w:pPr>
              <w:spacing w:line="360" w:lineRule="auto"/>
              <w:rPr>
                <w:szCs w:val="22"/>
              </w:rPr>
            </w:pPr>
            <w:r w:rsidRPr="004D606D">
              <w:rPr>
                <w:szCs w:val="22"/>
              </w:rPr>
              <w:t>Supplementary Figure 2</w:t>
            </w:r>
          </w:p>
        </w:tc>
        <w:tc>
          <w:tcPr>
            <w:tcW w:w="5953" w:type="dxa"/>
            <w:vAlign w:val="center"/>
          </w:tcPr>
          <w:p w:rsidR="008D187A" w:rsidRPr="004D606D" w:rsidRDefault="008D187A" w:rsidP="008D187A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D606D">
              <w:rPr>
                <w:rFonts w:ascii="Times New Roman" w:hAnsi="Times New Roman"/>
                <w:sz w:val="24"/>
                <w:szCs w:val="22"/>
              </w:rPr>
              <w:t>Multivariate logistic regression model between the two test brands regarding the PPV for intestinal metaplasia.</w:t>
            </w:r>
          </w:p>
        </w:tc>
      </w:tr>
      <w:tr w:rsidR="004D606D" w:rsidRPr="004D606D" w:rsidTr="008D187A">
        <w:tc>
          <w:tcPr>
            <w:tcW w:w="3232" w:type="dxa"/>
            <w:vAlign w:val="center"/>
          </w:tcPr>
          <w:p w:rsidR="008D187A" w:rsidRPr="004D606D" w:rsidRDefault="008D187A" w:rsidP="008D187A">
            <w:pPr>
              <w:spacing w:line="360" w:lineRule="auto"/>
              <w:rPr>
                <w:szCs w:val="22"/>
              </w:rPr>
            </w:pPr>
            <w:r w:rsidRPr="004D606D">
              <w:rPr>
                <w:szCs w:val="22"/>
              </w:rPr>
              <w:t>Supplementary Figure 3</w:t>
            </w:r>
          </w:p>
        </w:tc>
        <w:tc>
          <w:tcPr>
            <w:tcW w:w="5953" w:type="dxa"/>
            <w:vAlign w:val="center"/>
          </w:tcPr>
          <w:p w:rsidR="008D187A" w:rsidRPr="004D606D" w:rsidRDefault="008D187A" w:rsidP="008D187A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D606D">
              <w:rPr>
                <w:rFonts w:ascii="Times New Roman" w:hAnsi="Times New Roman"/>
                <w:sz w:val="24"/>
                <w:szCs w:val="22"/>
              </w:rPr>
              <w:t>Multivariate logistic regression model between the two test brands regarding the detection rate for atrophic gastritis.</w:t>
            </w:r>
          </w:p>
        </w:tc>
      </w:tr>
      <w:tr w:rsidR="004D606D" w:rsidRPr="004D606D" w:rsidTr="008D187A">
        <w:tc>
          <w:tcPr>
            <w:tcW w:w="3232" w:type="dxa"/>
            <w:vAlign w:val="center"/>
          </w:tcPr>
          <w:p w:rsidR="008D187A" w:rsidRPr="004D606D" w:rsidRDefault="008D187A" w:rsidP="008D187A">
            <w:pPr>
              <w:spacing w:line="360" w:lineRule="auto"/>
              <w:rPr>
                <w:szCs w:val="22"/>
              </w:rPr>
            </w:pPr>
            <w:r w:rsidRPr="004D606D">
              <w:rPr>
                <w:szCs w:val="22"/>
              </w:rPr>
              <w:t>Supplementary Figure 4</w:t>
            </w:r>
          </w:p>
        </w:tc>
        <w:tc>
          <w:tcPr>
            <w:tcW w:w="5953" w:type="dxa"/>
            <w:vAlign w:val="center"/>
          </w:tcPr>
          <w:p w:rsidR="008D187A" w:rsidRPr="004D606D" w:rsidRDefault="008D187A" w:rsidP="008D187A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/>
                <w:sz w:val="24"/>
                <w:szCs w:val="22"/>
                <w:lang w:eastAsia="zh-TW"/>
              </w:rPr>
            </w:pPr>
            <w:r w:rsidRPr="004D606D">
              <w:rPr>
                <w:rFonts w:ascii="Times New Roman" w:hAnsi="Times New Roman"/>
                <w:sz w:val="24"/>
                <w:szCs w:val="22"/>
                <w:lang w:eastAsia="zh-TW"/>
              </w:rPr>
              <w:t>Multivariate logistic regression model between the two test brands regarding the detection rate for intestinal metaplasia.</w:t>
            </w:r>
          </w:p>
        </w:tc>
      </w:tr>
    </w:tbl>
    <w:p w:rsidR="002E7BB9" w:rsidRPr="004D606D" w:rsidRDefault="002E7BB9" w:rsidP="004847F3">
      <w:pPr>
        <w:spacing w:line="360" w:lineRule="auto"/>
      </w:pPr>
    </w:p>
    <w:p w:rsidR="008D187A" w:rsidRPr="004D606D" w:rsidRDefault="008D187A" w:rsidP="004847F3">
      <w:pPr>
        <w:spacing w:line="360" w:lineRule="auto"/>
      </w:pPr>
    </w:p>
    <w:p w:rsidR="008D187A" w:rsidRPr="004D606D" w:rsidRDefault="008D187A" w:rsidP="004847F3">
      <w:pPr>
        <w:spacing w:line="360" w:lineRule="auto"/>
      </w:pPr>
    </w:p>
    <w:p w:rsidR="008D187A" w:rsidRPr="004D606D" w:rsidRDefault="008D187A" w:rsidP="004847F3">
      <w:pPr>
        <w:spacing w:line="360" w:lineRule="auto"/>
      </w:pPr>
    </w:p>
    <w:p w:rsidR="008D187A" w:rsidRPr="004D606D" w:rsidRDefault="008D187A" w:rsidP="008D187A">
      <w:pPr>
        <w:spacing w:afterLines="50" w:after="180" w:line="360" w:lineRule="auto"/>
        <w:jc w:val="both"/>
      </w:pPr>
      <w:r w:rsidRPr="004D606D">
        <w:rPr>
          <w:b/>
        </w:rPr>
        <w:lastRenderedPageBreak/>
        <w:t>Supplementary</w:t>
      </w:r>
      <w:r w:rsidRPr="004D606D">
        <w:rPr>
          <w:rFonts w:eastAsia="Plantin"/>
          <w:b/>
        </w:rPr>
        <w:t xml:space="preserve"> Table 1.</w:t>
      </w:r>
      <w:r w:rsidRPr="004D606D">
        <w:rPr>
          <w:rFonts w:eastAsia="Plantin"/>
        </w:rPr>
        <w:t xml:space="preserve"> </w:t>
      </w:r>
      <w:r w:rsidRPr="004D606D">
        <w:rPr>
          <w:kern w:val="0"/>
        </w:rPr>
        <w:t xml:space="preserve">The comparison of baseline data between endoscopic </w:t>
      </w:r>
      <w:r w:rsidRPr="004D606D">
        <w:t>receivers</w:t>
      </w:r>
      <w:r w:rsidRPr="004D606D">
        <w:rPr>
          <w:kern w:val="0"/>
        </w:rPr>
        <w:t xml:space="preserve"> and refusers</w:t>
      </w:r>
    </w:p>
    <w:tbl>
      <w:tblPr>
        <w:tblW w:w="10066" w:type="dxa"/>
        <w:tblInd w:w="-709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410"/>
        <w:gridCol w:w="2552"/>
        <w:gridCol w:w="1276"/>
      </w:tblGrid>
      <w:tr w:rsidR="004D606D" w:rsidRPr="004D606D" w:rsidTr="00D83E6E">
        <w:tc>
          <w:tcPr>
            <w:tcW w:w="3828" w:type="dxa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  <w:b/>
                <w:szCs w:val="22"/>
              </w:rPr>
            </w:pPr>
            <w:r w:rsidRPr="004D606D">
              <w:rPr>
                <w:rFonts w:eastAsia="標楷體"/>
                <w:b/>
                <w:szCs w:val="22"/>
              </w:rPr>
              <w:t>Participants</w:t>
            </w:r>
            <w:r w:rsidRPr="004D606D">
              <w:t xml:space="preserve"> </w:t>
            </w:r>
            <w:r w:rsidRPr="004D606D">
              <w:rPr>
                <w:rFonts w:eastAsia="標楷體"/>
                <w:b/>
                <w:szCs w:val="22"/>
              </w:rPr>
              <w:t>with positive test results</w:t>
            </w:r>
          </w:p>
        </w:tc>
        <w:tc>
          <w:tcPr>
            <w:tcW w:w="241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b/>
                <w:caps/>
                <w:vertAlign w:val="superscript"/>
              </w:rPr>
            </w:pPr>
            <w:r w:rsidRPr="004D606D">
              <w:rPr>
                <w:rFonts w:eastAsia="Plantin"/>
                <w:b/>
                <w:szCs w:val="22"/>
              </w:rPr>
              <w:t>Endoscopic receivers</w:t>
            </w:r>
            <w:r w:rsidRPr="004D606D">
              <w:rPr>
                <w:b/>
                <w:caps/>
              </w:rPr>
              <w:t xml:space="preserve"> </w:t>
            </w:r>
          </w:p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b/>
                <w:szCs w:val="22"/>
              </w:rPr>
            </w:pPr>
            <w:r w:rsidRPr="004D606D">
              <w:rPr>
                <w:rFonts w:eastAsia="標楷體"/>
                <w:b/>
                <w:szCs w:val="22"/>
              </w:rPr>
              <w:t>(</w:t>
            </w:r>
            <w:r w:rsidRPr="004D606D">
              <w:rPr>
                <w:rFonts w:eastAsia="標楷體"/>
                <w:b/>
                <w:i/>
                <w:szCs w:val="22"/>
              </w:rPr>
              <w:t>n</w:t>
            </w:r>
            <w:r w:rsidRPr="004D606D">
              <w:rPr>
                <w:rFonts w:eastAsia="標楷體"/>
                <w:b/>
                <w:szCs w:val="22"/>
              </w:rPr>
              <w:t>=105)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Plantin"/>
                <w:b/>
                <w:szCs w:val="22"/>
              </w:rPr>
            </w:pPr>
            <w:r w:rsidRPr="004D606D">
              <w:rPr>
                <w:rFonts w:eastAsia="Plantin"/>
                <w:b/>
                <w:szCs w:val="22"/>
              </w:rPr>
              <w:t>Endoscopic refusers</w:t>
            </w:r>
          </w:p>
          <w:p w:rsidR="008D187A" w:rsidRPr="004D606D" w:rsidRDefault="008D187A" w:rsidP="00D83E6E">
            <w:pPr>
              <w:spacing w:line="360" w:lineRule="auto"/>
              <w:jc w:val="center"/>
              <w:rPr>
                <w:rFonts w:eastAsia="Plantin"/>
                <w:b/>
                <w:szCs w:val="22"/>
              </w:rPr>
            </w:pPr>
            <w:r w:rsidRPr="004D606D">
              <w:rPr>
                <w:rFonts w:eastAsia="Plantin"/>
                <w:b/>
                <w:szCs w:val="22"/>
              </w:rPr>
              <w:t>(</w:t>
            </w:r>
            <w:r w:rsidRPr="004D606D">
              <w:rPr>
                <w:rFonts w:eastAsia="Plantin"/>
                <w:b/>
                <w:i/>
                <w:szCs w:val="22"/>
              </w:rPr>
              <w:t>n</w:t>
            </w:r>
            <w:r w:rsidRPr="004D606D">
              <w:rPr>
                <w:rFonts w:eastAsia="Plantin"/>
                <w:b/>
                <w:szCs w:val="22"/>
              </w:rPr>
              <w:t>=179)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Plantin"/>
                <w:b/>
                <w:szCs w:val="22"/>
              </w:rPr>
            </w:pPr>
            <w:r w:rsidRPr="004D606D">
              <w:rPr>
                <w:rFonts w:eastAsia="Plantin"/>
                <w:b/>
                <w:i/>
                <w:szCs w:val="22"/>
              </w:rPr>
              <w:t>P</w:t>
            </w:r>
            <w:r w:rsidRPr="004D606D">
              <w:rPr>
                <w:rFonts w:eastAsia="Plantin"/>
                <w:b/>
                <w:szCs w:val="22"/>
              </w:rPr>
              <w:t xml:space="preserve"> value</w:t>
            </w:r>
            <w:r w:rsidRPr="004D606D">
              <w:t>*</w:t>
            </w:r>
          </w:p>
        </w:tc>
      </w:tr>
      <w:tr w:rsidR="004D606D" w:rsidRPr="004D606D" w:rsidTr="00D83E6E">
        <w:tc>
          <w:tcPr>
            <w:tcW w:w="3828" w:type="dxa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Mean age, years (</w:t>
            </w:r>
            <w:r w:rsidRPr="004D606D">
              <w:rPr>
                <w:rFonts w:eastAsia="標楷體" w:hint="eastAsia"/>
                <w:szCs w:val="22"/>
              </w:rPr>
              <w:t>SD</w:t>
            </w:r>
            <w:r w:rsidRPr="004D606D">
              <w:rPr>
                <w:rFonts w:eastAsia="標楷體"/>
                <w:szCs w:val="22"/>
              </w:rPr>
              <w:t>; range)</w:t>
            </w:r>
          </w:p>
        </w:tc>
        <w:tc>
          <w:tcPr>
            <w:tcW w:w="24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57.5 (11.9; 30-88)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58.5 (14.2; 30-96)</w:t>
            </w: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0.59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Male sex, no. (%)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58 (55.2)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88 (49.2)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0.33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</w:rPr>
            </w:pPr>
            <w:r w:rsidRPr="004D606D">
              <w:rPr>
                <w:rFonts w:eastAsia="標楷體"/>
              </w:rPr>
              <w:t>Body mass index, kg/</w:t>
            </w:r>
            <w:r w:rsidRPr="004D606D">
              <w:t>m</w:t>
            </w:r>
            <w:r w:rsidRPr="004D606D">
              <w:rPr>
                <w:vertAlign w:val="superscript"/>
              </w:rPr>
              <w:t xml:space="preserve">2 </w:t>
            </w:r>
            <w:r w:rsidRPr="004D606D">
              <w:rPr>
                <w:rFonts w:eastAsia="標楷體"/>
              </w:rPr>
              <w:t>(</w:t>
            </w:r>
            <w:r w:rsidRPr="004D606D">
              <w:rPr>
                <w:rFonts w:eastAsia="標楷體" w:hint="eastAsia"/>
              </w:rPr>
              <w:t>SD</w:t>
            </w:r>
            <w:r w:rsidRPr="004D606D">
              <w:rPr>
                <w:rFonts w:eastAsia="標楷體"/>
                <w:szCs w:val="22"/>
              </w:rPr>
              <w:t>;</w:t>
            </w:r>
            <w:r w:rsidRPr="004D606D">
              <w:rPr>
                <w:rFonts w:eastAsia="標楷體"/>
              </w:rPr>
              <w:t xml:space="preserve"> range)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25.6 (4.0; 19.3-52.1)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24.8 (3.9; 15.8-37.2)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0.08</w:t>
            </w:r>
          </w:p>
        </w:tc>
      </w:tr>
      <w:tr w:rsidR="004D606D" w:rsidRPr="004D606D" w:rsidTr="00D83E6E">
        <w:tc>
          <w:tcPr>
            <w:tcW w:w="382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</w:rPr>
            </w:pPr>
            <w:r w:rsidRPr="004D606D">
              <w:rPr>
                <w:rFonts w:eastAsia="標楷體"/>
              </w:rPr>
              <w:t>Social habits, no. (%)</w:t>
            </w:r>
          </w:p>
        </w:tc>
        <w:tc>
          <w:tcPr>
            <w:tcW w:w="24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Current smoker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20 (19.0)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24 (13.4)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0.21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Regular alcohol drinking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4 (3.8)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9 (5.0)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0.64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Betel nut chewing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4 (3.8)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9 (5.0)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0.64</w:t>
            </w:r>
          </w:p>
        </w:tc>
      </w:tr>
      <w:tr w:rsidR="004D606D" w:rsidRPr="004D606D" w:rsidTr="00D83E6E">
        <w:tc>
          <w:tcPr>
            <w:tcW w:w="382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rPr>
                <w:rFonts w:eastAsia="標楷體"/>
              </w:rPr>
            </w:pPr>
            <w:r w:rsidRPr="004D606D">
              <w:rPr>
                <w:rFonts w:eastAsia="標楷體"/>
              </w:rPr>
              <w:t>Medical history, no. (%)</w:t>
            </w:r>
          </w:p>
        </w:tc>
        <w:tc>
          <w:tcPr>
            <w:tcW w:w="24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Hypertension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39 (37.1)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71 (40.0)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0.63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Diabetes mellitus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8 (7.6)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15 (8.4)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</w:rPr>
            </w:pPr>
            <w:r w:rsidRPr="004D606D">
              <w:rPr>
                <w:rFonts w:eastAsia="標楷體"/>
              </w:rPr>
              <w:t>0.27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Hyperlipidemia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14 (13.3)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15 (8.4)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&lt;0.001*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Cardiovascular disease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8 (7.6)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8 (4.5)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0.007*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widowControl/>
              <w:spacing w:line="360" w:lineRule="auto"/>
              <w:ind w:firstLineChars="100" w:firstLine="240"/>
              <w:rPr>
                <w:rFonts w:eastAsia="標楷體"/>
                <w:kern w:val="0"/>
                <w:szCs w:val="22"/>
              </w:rPr>
            </w:pPr>
            <w:r w:rsidRPr="004D606D">
              <w:rPr>
                <w:rFonts w:eastAsia="標楷體"/>
                <w:kern w:val="0"/>
                <w:szCs w:val="22"/>
              </w:rPr>
              <w:t>Stroke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1 (1.0)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 w:hint="eastAsia"/>
                <w:szCs w:val="22"/>
              </w:rPr>
              <w:t>0</w:t>
            </w:r>
            <w:r w:rsidRPr="004D606D">
              <w:rPr>
                <w:rFonts w:eastAsia="標楷體"/>
                <w:szCs w:val="22"/>
              </w:rPr>
              <w:t>.18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widowControl/>
              <w:spacing w:line="360" w:lineRule="auto"/>
              <w:ind w:firstLineChars="100" w:firstLine="240"/>
              <w:rPr>
                <w:rFonts w:eastAsia="標楷體"/>
                <w:kern w:val="0"/>
                <w:szCs w:val="22"/>
              </w:rPr>
            </w:pPr>
            <w:r w:rsidRPr="004D606D">
              <w:rPr>
                <w:rFonts w:eastAsia="標楷體"/>
                <w:kern w:val="0"/>
                <w:szCs w:val="22"/>
              </w:rPr>
              <w:t>Chronic hepatitis 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17 (16.2)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23 (12.8)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0.90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widowControl/>
              <w:spacing w:line="360" w:lineRule="auto"/>
              <w:ind w:firstLineChars="100" w:firstLine="240"/>
              <w:rPr>
                <w:rFonts w:eastAsia="標楷體"/>
                <w:kern w:val="0"/>
                <w:szCs w:val="22"/>
              </w:rPr>
            </w:pPr>
            <w:r w:rsidRPr="004D606D">
              <w:rPr>
                <w:rFonts w:eastAsia="標楷體"/>
                <w:kern w:val="0"/>
                <w:szCs w:val="22"/>
              </w:rPr>
              <w:t>Chronic hepatitis 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1 (1.0)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2 (1.1)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0.94</w:t>
            </w:r>
          </w:p>
        </w:tc>
      </w:tr>
      <w:tr w:rsidR="004D606D" w:rsidRPr="004D606D" w:rsidTr="00D83E6E">
        <w:tc>
          <w:tcPr>
            <w:tcW w:w="382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ind w:firstLineChars="100" w:firstLine="240"/>
              <w:rPr>
                <w:rFonts w:eastAsia="標楷體"/>
              </w:rPr>
            </w:pPr>
            <w:r w:rsidRPr="004D606D">
              <w:rPr>
                <w:rFonts w:eastAsia="標楷體"/>
              </w:rPr>
              <w:t>Chronic kidney disease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1 (1.0)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szCs w:val="22"/>
              </w:rPr>
            </w:pPr>
            <w:r w:rsidRPr="004D606D">
              <w:rPr>
                <w:rFonts w:eastAsia="標楷體"/>
                <w:szCs w:val="22"/>
              </w:rPr>
              <w:t>1 (0.6)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:rsidR="008D187A" w:rsidRPr="004D606D" w:rsidRDefault="008D187A" w:rsidP="00D83E6E">
            <w:pPr>
              <w:spacing w:line="360" w:lineRule="auto"/>
              <w:jc w:val="center"/>
              <w:rPr>
                <w:rFonts w:eastAsia="標楷體"/>
                <w:szCs w:val="22"/>
              </w:rPr>
            </w:pPr>
            <w:r w:rsidRPr="004D606D">
              <w:rPr>
                <w:rFonts w:eastAsia="標楷體"/>
                <w:szCs w:val="22"/>
              </w:rPr>
              <w:t>0.71</w:t>
            </w:r>
          </w:p>
        </w:tc>
      </w:tr>
    </w:tbl>
    <w:p w:rsidR="008D187A" w:rsidRPr="004D606D" w:rsidRDefault="008D187A" w:rsidP="008D187A">
      <w:pPr>
        <w:spacing w:line="360" w:lineRule="auto"/>
      </w:pPr>
      <w:r w:rsidRPr="004D606D">
        <w:t xml:space="preserve">Abbreviation: </w:t>
      </w:r>
      <w:r w:rsidRPr="004D606D">
        <w:rPr>
          <w:rFonts w:hint="eastAsia"/>
        </w:rPr>
        <w:t>SD</w:t>
      </w:r>
      <w:r w:rsidRPr="004D606D">
        <w:t>=</w:t>
      </w:r>
      <w:r w:rsidRPr="004D606D">
        <w:rPr>
          <w:rFonts w:hint="eastAsia"/>
        </w:rPr>
        <w:t>s</w:t>
      </w:r>
      <w:r w:rsidRPr="004D606D">
        <w:t xml:space="preserve">tandard deviation </w:t>
      </w:r>
    </w:p>
    <w:p w:rsidR="008D187A" w:rsidRPr="004D606D" w:rsidRDefault="008D187A" w:rsidP="008D187A">
      <w:pPr>
        <w:spacing w:line="360" w:lineRule="auto"/>
      </w:pPr>
      <w:r w:rsidRPr="004D606D">
        <w:t>*</w:t>
      </w:r>
      <w:r w:rsidRPr="004D606D">
        <w:rPr>
          <w:i/>
        </w:rPr>
        <w:t xml:space="preserve">P </w:t>
      </w:r>
      <w:r w:rsidRPr="004D606D">
        <w:t>&lt;0.05 in the comparison between the endoscopic rec</w:t>
      </w:r>
      <w:bookmarkStart w:id="0" w:name="_GoBack"/>
      <w:bookmarkEnd w:id="0"/>
      <w:r w:rsidRPr="004D606D">
        <w:t>eivers and refusers.</w:t>
      </w:r>
    </w:p>
    <w:p w:rsidR="008D187A" w:rsidRPr="008D187A" w:rsidRDefault="008D187A" w:rsidP="004847F3">
      <w:pPr>
        <w:spacing w:line="360" w:lineRule="auto"/>
      </w:pPr>
    </w:p>
    <w:p w:rsidR="008D187A" w:rsidRPr="00BA0890" w:rsidRDefault="008D187A" w:rsidP="004847F3">
      <w:pPr>
        <w:spacing w:line="360" w:lineRule="auto"/>
      </w:pPr>
    </w:p>
    <w:p w:rsidR="002E7BB9" w:rsidRPr="00BA0890" w:rsidRDefault="002E7BB9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b/>
          <w:lang w:eastAsia="zh-TW"/>
        </w:rPr>
        <w:sectPr w:rsidR="002E7BB9" w:rsidRPr="00BA0890" w:rsidSect="008F2F82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7724DC" w:rsidRDefault="007724DC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color w:val="000000"/>
          <w:sz w:val="24"/>
          <w:lang w:eastAsia="zh-TW"/>
        </w:rPr>
      </w:pPr>
      <w:r w:rsidRPr="00BA0890">
        <w:rPr>
          <w:rFonts w:ascii="Times New Roman" w:hAnsi="Times New Roman"/>
          <w:b/>
          <w:color w:val="000000"/>
          <w:sz w:val="24"/>
        </w:rPr>
        <w:lastRenderedPageBreak/>
        <w:t>Supplementary</w:t>
      </w:r>
      <w:r w:rsidRPr="00BA0890">
        <w:rPr>
          <w:rFonts w:ascii="Times New Roman" w:hAnsi="Times New Roman"/>
          <w:b/>
          <w:color w:val="000000"/>
          <w:sz w:val="24"/>
          <w:lang w:eastAsia="zh-TW"/>
        </w:rPr>
        <w:t xml:space="preserve"> </w:t>
      </w:r>
      <w:r w:rsidRPr="00BA0890">
        <w:rPr>
          <w:rFonts w:ascii="Times New Roman" w:hAnsi="Times New Roman"/>
          <w:b/>
          <w:color w:val="000000"/>
          <w:sz w:val="24"/>
        </w:rPr>
        <w:t>Fig</w:t>
      </w:r>
      <w:r w:rsidRPr="00BA0890">
        <w:rPr>
          <w:rFonts w:ascii="Times New Roman" w:hAnsi="Times New Roman"/>
          <w:b/>
          <w:color w:val="000000"/>
          <w:sz w:val="24"/>
          <w:lang w:eastAsia="zh-TW"/>
        </w:rPr>
        <w:t>ure</w:t>
      </w:r>
      <w:r w:rsidRPr="00BA0890">
        <w:rPr>
          <w:rFonts w:ascii="Times New Roman" w:hAnsi="Times New Roman"/>
          <w:b/>
          <w:color w:val="000000"/>
          <w:sz w:val="24"/>
        </w:rPr>
        <w:t xml:space="preserve"> </w:t>
      </w:r>
      <w:r w:rsidRPr="00BA0890">
        <w:rPr>
          <w:rFonts w:ascii="Times New Roman" w:hAnsi="Times New Roman"/>
          <w:b/>
          <w:color w:val="000000"/>
          <w:sz w:val="24"/>
          <w:lang w:eastAsia="zh-TW"/>
        </w:rPr>
        <w:t xml:space="preserve">1. </w:t>
      </w:r>
      <w:r w:rsidR="00C73BA9" w:rsidRPr="00C73BA9">
        <w:rPr>
          <w:rFonts w:ascii="Times New Roman" w:hAnsi="Times New Roman"/>
          <w:color w:val="000000"/>
          <w:sz w:val="24"/>
        </w:rPr>
        <w:t>Multivariate logistic regression model between the two test brands regarding</w:t>
      </w:r>
      <w:r w:rsidR="00C73BA9">
        <w:rPr>
          <w:rFonts w:ascii="Times New Roman" w:hAnsi="Times New Roman"/>
          <w:color w:val="000000"/>
          <w:sz w:val="24"/>
        </w:rPr>
        <w:t xml:space="preserve"> the PPV for atrophic gastritis.</w:t>
      </w:r>
      <w:r w:rsidR="00487786">
        <w:rPr>
          <w:rFonts w:ascii="Times New Roman" w:hAnsi="Times New Roman" w:hint="eastAsia"/>
          <w:color w:val="000000"/>
          <w:sz w:val="24"/>
          <w:lang w:eastAsia="zh-TW"/>
        </w:rPr>
        <w:t xml:space="preserve"> </w:t>
      </w:r>
      <w:r w:rsidR="00487786" w:rsidRPr="00487786">
        <w:rPr>
          <w:rFonts w:ascii="Times New Roman" w:hAnsi="Times New Roman"/>
          <w:color w:val="000000"/>
          <w:sz w:val="24"/>
          <w:lang w:eastAsia="zh-TW"/>
        </w:rPr>
        <w:t>Test 1=GastroPanel (Biohit HealthCare, Helsinki, Finland) and Test 2=LZ-Test (Eiken Chemical Co., Ltd, Tokyo, Japan).</w:t>
      </w:r>
    </w:p>
    <w:p w:rsidR="00C73BA9" w:rsidRPr="00BA0890" w:rsidRDefault="00C73BA9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color w:val="000000"/>
          <w:sz w:val="24"/>
          <w:lang w:eastAsia="zh-TW"/>
        </w:rPr>
      </w:pPr>
      <w:r>
        <w:rPr>
          <w:rFonts w:ascii="Times New Roman" w:hAnsi="Times New Roman"/>
          <w:noProof/>
          <w:color w:val="000000"/>
          <w:sz w:val="24"/>
          <w:lang w:val="en-US" w:eastAsia="zh-TW"/>
        </w:rPr>
        <w:drawing>
          <wp:inline distT="0" distB="0" distL="0" distR="0" wp14:anchorId="1FEE74B6">
            <wp:extent cx="7315835" cy="3420110"/>
            <wp:effectExtent l="0" t="0" r="0" b="889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835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4DC" w:rsidRPr="00BA0890" w:rsidRDefault="007724DC" w:rsidP="004847F3">
      <w:pPr>
        <w:pStyle w:val="Web"/>
        <w:spacing w:beforeLines="50" w:before="180" w:beforeAutospacing="0" w:after="0" w:afterAutospacing="0" w:line="360" w:lineRule="auto"/>
        <w:jc w:val="center"/>
        <w:rPr>
          <w:rFonts w:ascii="Times New Roman" w:hAnsi="Times New Roman"/>
          <w:b/>
          <w:sz w:val="24"/>
        </w:rPr>
      </w:pPr>
    </w:p>
    <w:p w:rsidR="007724DC" w:rsidRPr="00BA0890" w:rsidRDefault="007724DC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b/>
          <w:sz w:val="24"/>
          <w:lang w:eastAsia="zh-TW"/>
        </w:rPr>
      </w:pPr>
    </w:p>
    <w:p w:rsidR="007724DC" w:rsidRPr="00BA0890" w:rsidRDefault="007724DC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b/>
          <w:sz w:val="24"/>
          <w:lang w:eastAsia="zh-TW"/>
        </w:rPr>
      </w:pPr>
    </w:p>
    <w:p w:rsidR="002E7BB9" w:rsidRPr="00BA0890" w:rsidRDefault="00DC327B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b/>
          <w:sz w:val="24"/>
        </w:rPr>
      </w:pPr>
      <w:r w:rsidRPr="00BA0890">
        <w:rPr>
          <w:rFonts w:ascii="Times New Roman" w:hAnsi="Times New Roman"/>
          <w:b/>
          <w:sz w:val="24"/>
        </w:rPr>
        <w:lastRenderedPageBreak/>
        <w:t>Supplementary</w:t>
      </w:r>
      <w:r w:rsidR="00E47A25" w:rsidRPr="00BA0890">
        <w:rPr>
          <w:rFonts w:ascii="Times New Roman" w:hAnsi="Times New Roman"/>
          <w:b/>
          <w:sz w:val="24"/>
          <w:lang w:eastAsia="zh-TW"/>
        </w:rPr>
        <w:t xml:space="preserve"> </w:t>
      </w:r>
      <w:r w:rsidR="002E7BB9" w:rsidRPr="00BA0890">
        <w:rPr>
          <w:rFonts w:ascii="Times New Roman" w:hAnsi="Times New Roman"/>
          <w:b/>
          <w:sz w:val="24"/>
        </w:rPr>
        <w:t>Fig</w:t>
      </w:r>
      <w:r w:rsidR="00C46DD3" w:rsidRPr="00BA0890">
        <w:rPr>
          <w:rFonts w:ascii="Times New Roman" w:hAnsi="Times New Roman"/>
          <w:b/>
          <w:sz w:val="24"/>
          <w:lang w:eastAsia="zh-TW"/>
        </w:rPr>
        <w:t>ure</w:t>
      </w:r>
      <w:r w:rsidR="002E7BB9" w:rsidRPr="00BA0890">
        <w:rPr>
          <w:rFonts w:ascii="Times New Roman" w:hAnsi="Times New Roman"/>
          <w:b/>
          <w:sz w:val="24"/>
        </w:rPr>
        <w:t xml:space="preserve"> </w:t>
      </w:r>
      <w:r w:rsidR="007724DC" w:rsidRPr="00BA0890">
        <w:rPr>
          <w:rFonts w:ascii="Times New Roman" w:hAnsi="Times New Roman"/>
          <w:b/>
          <w:sz w:val="24"/>
          <w:lang w:eastAsia="zh-TW"/>
        </w:rPr>
        <w:t>2</w:t>
      </w:r>
      <w:r w:rsidR="00C46DD3" w:rsidRPr="00BA0890">
        <w:rPr>
          <w:rFonts w:ascii="Times New Roman" w:hAnsi="Times New Roman"/>
          <w:b/>
          <w:sz w:val="24"/>
          <w:lang w:eastAsia="zh-TW"/>
        </w:rPr>
        <w:t>.</w:t>
      </w:r>
      <w:r w:rsidR="00E47A25" w:rsidRPr="00BA0890">
        <w:rPr>
          <w:rFonts w:ascii="Times New Roman" w:hAnsi="Times New Roman"/>
          <w:b/>
          <w:sz w:val="24"/>
          <w:lang w:eastAsia="zh-TW"/>
        </w:rPr>
        <w:t xml:space="preserve"> </w:t>
      </w:r>
      <w:r w:rsidR="00C73BA9" w:rsidRPr="00C73BA9">
        <w:rPr>
          <w:rFonts w:ascii="Times New Roman" w:hAnsi="Times New Roman"/>
          <w:sz w:val="24"/>
          <w:lang w:eastAsia="zh-TW"/>
        </w:rPr>
        <w:t>Multivariate logistic regression model between the two test brands regarding the PPV for intestinal metaplasia.</w:t>
      </w:r>
      <w:r w:rsidR="00487786">
        <w:rPr>
          <w:rFonts w:ascii="Times New Roman" w:hAnsi="Times New Roman" w:hint="eastAsia"/>
          <w:sz w:val="24"/>
          <w:lang w:eastAsia="zh-TW"/>
        </w:rPr>
        <w:t xml:space="preserve"> </w:t>
      </w:r>
      <w:r w:rsidR="00487786" w:rsidRPr="00487786">
        <w:rPr>
          <w:rFonts w:ascii="Times New Roman" w:hAnsi="Times New Roman"/>
          <w:sz w:val="24"/>
          <w:lang w:eastAsia="zh-TW"/>
        </w:rPr>
        <w:t>Test 1=GastroPanel (Biohit HealthCare, Helsinki, Finland) and Test 2=LZ-Test (Eiken Chemical Co., Ltd, Tokyo, Japan).</w:t>
      </w:r>
    </w:p>
    <w:p w:rsidR="002E7BB9" w:rsidRPr="00BA0890" w:rsidRDefault="00C73BA9" w:rsidP="004847F3">
      <w:pPr>
        <w:spacing w:beforeLines="50" w:before="180" w:line="360" w:lineRule="auto"/>
        <w:jc w:val="both"/>
        <w:rPr>
          <w:lang w:val="x-none"/>
        </w:rPr>
      </w:pPr>
      <w:r>
        <w:rPr>
          <w:noProof/>
        </w:rPr>
        <w:drawing>
          <wp:inline distT="0" distB="0" distL="0" distR="0" wp14:anchorId="0F66B0EB" wp14:editId="50B63EEF">
            <wp:extent cx="7315201" cy="3419475"/>
            <wp:effectExtent l="0" t="0" r="0" b="0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E7BB9" w:rsidRPr="00BA0890" w:rsidRDefault="002E7BB9" w:rsidP="004847F3">
      <w:pPr>
        <w:spacing w:line="360" w:lineRule="auto"/>
        <w:jc w:val="both"/>
        <w:rPr>
          <w:lang w:val="x-none"/>
        </w:rPr>
      </w:pPr>
    </w:p>
    <w:p w:rsidR="002E7BB9" w:rsidRPr="00BA0890" w:rsidRDefault="002E7BB9" w:rsidP="004847F3">
      <w:pPr>
        <w:spacing w:line="360" w:lineRule="auto"/>
        <w:jc w:val="both"/>
        <w:rPr>
          <w:lang w:val="x-none"/>
        </w:rPr>
      </w:pPr>
    </w:p>
    <w:p w:rsidR="002E7BB9" w:rsidRPr="00BA0890" w:rsidRDefault="00DC327B" w:rsidP="004847F3">
      <w:pPr>
        <w:pStyle w:val="Web"/>
        <w:spacing w:before="0" w:beforeAutospacing="0" w:after="0" w:afterAutospacing="0" w:line="360" w:lineRule="auto"/>
        <w:rPr>
          <w:rFonts w:ascii="Times New Roman" w:hAnsi="Times New Roman"/>
          <w:sz w:val="24"/>
          <w:lang w:eastAsia="zh-TW"/>
        </w:rPr>
      </w:pPr>
      <w:r w:rsidRPr="00BA0890">
        <w:rPr>
          <w:rFonts w:ascii="Times New Roman" w:hAnsi="Times New Roman"/>
          <w:b/>
          <w:sz w:val="24"/>
        </w:rPr>
        <w:lastRenderedPageBreak/>
        <w:t>Supplementary</w:t>
      </w:r>
      <w:r w:rsidR="00E47A25" w:rsidRPr="00BA0890">
        <w:rPr>
          <w:rFonts w:ascii="Times New Roman" w:hAnsi="Times New Roman"/>
          <w:b/>
          <w:sz w:val="24"/>
          <w:lang w:eastAsia="zh-TW"/>
        </w:rPr>
        <w:t xml:space="preserve"> </w:t>
      </w:r>
      <w:r w:rsidR="002E7BB9" w:rsidRPr="00BA0890">
        <w:rPr>
          <w:rFonts w:ascii="Times New Roman" w:hAnsi="Times New Roman"/>
          <w:b/>
          <w:sz w:val="24"/>
        </w:rPr>
        <w:t>Fig</w:t>
      </w:r>
      <w:r w:rsidR="00C46DD3" w:rsidRPr="00BA0890">
        <w:rPr>
          <w:rFonts w:ascii="Times New Roman" w:hAnsi="Times New Roman"/>
          <w:b/>
          <w:sz w:val="24"/>
          <w:lang w:eastAsia="zh-TW"/>
        </w:rPr>
        <w:t>ure</w:t>
      </w:r>
      <w:r w:rsidR="002E7BB9" w:rsidRPr="00BA0890">
        <w:rPr>
          <w:rFonts w:ascii="Times New Roman" w:hAnsi="Times New Roman"/>
          <w:b/>
          <w:sz w:val="24"/>
        </w:rPr>
        <w:t xml:space="preserve"> </w:t>
      </w:r>
      <w:r w:rsidR="007724DC" w:rsidRPr="00BA0890">
        <w:rPr>
          <w:rFonts w:ascii="Times New Roman" w:hAnsi="Times New Roman"/>
          <w:b/>
          <w:sz w:val="24"/>
          <w:lang w:eastAsia="zh-TW"/>
        </w:rPr>
        <w:t>3</w:t>
      </w:r>
      <w:r w:rsidR="00C46DD3" w:rsidRPr="00BA0890">
        <w:rPr>
          <w:rFonts w:ascii="Times New Roman" w:hAnsi="Times New Roman"/>
          <w:b/>
          <w:sz w:val="24"/>
          <w:lang w:eastAsia="zh-TW"/>
        </w:rPr>
        <w:t>.</w:t>
      </w:r>
      <w:r w:rsidR="00E47A25" w:rsidRPr="00BA0890">
        <w:rPr>
          <w:rFonts w:ascii="Times New Roman" w:hAnsi="Times New Roman"/>
          <w:b/>
          <w:lang w:eastAsia="zh-TW"/>
        </w:rPr>
        <w:t xml:space="preserve"> </w:t>
      </w:r>
      <w:r w:rsidR="00C73BA9">
        <w:rPr>
          <w:rFonts w:ascii="Times New Roman" w:hAnsi="Times New Roman"/>
          <w:sz w:val="24"/>
          <w:szCs w:val="22"/>
        </w:rPr>
        <w:t>M</w:t>
      </w:r>
      <w:r w:rsidR="00C73BA9" w:rsidRPr="00BA0890">
        <w:rPr>
          <w:rFonts w:ascii="Times New Roman" w:hAnsi="Times New Roman"/>
          <w:sz w:val="24"/>
          <w:szCs w:val="22"/>
        </w:rPr>
        <w:t xml:space="preserve">ultivariate logistic regression model between the two test brands regarding the </w:t>
      </w:r>
      <w:r w:rsidR="00C73BA9">
        <w:rPr>
          <w:rFonts w:ascii="Times New Roman" w:hAnsi="Times New Roman"/>
          <w:sz w:val="24"/>
          <w:szCs w:val="22"/>
        </w:rPr>
        <w:t xml:space="preserve">detection rate </w:t>
      </w:r>
      <w:r w:rsidR="00C73BA9" w:rsidRPr="00BA0890">
        <w:rPr>
          <w:rFonts w:ascii="Times New Roman" w:hAnsi="Times New Roman"/>
          <w:sz w:val="24"/>
          <w:szCs w:val="22"/>
        </w:rPr>
        <w:t>for atrophic gastritis.</w:t>
      </w:r>
      <w:r w:rsidR="00487786">
        <w:rPr>
          <w:rFonts w:ascii="Times New Roman" w:hAnsi="Times New Roman" w:hint="eastAsia"/>
          <w:sz w:val="24"/>
          <w:szCs w:val="22"/>
          <w:lang w:eastAsia="zh-TW"/>
        </w:rPr>
        <w:t xml:space="preserve"> </w:t>
      </w:r>
      <w:r w:rsidR="00487786" w:rsidRPr="00487786">
        <w:rPr>
          <w:rFonts w:ascii="Times New Roman" w:hAnsi="Times New Roman"/>
          <w:sz w:val="24"/>
          <w:szCs w:val="22"/>
          <w:lang w:eastAsia="zh-TW"/>
        </w:rPr>
        <w:t>Test 1=GastroPanel (Biohit HealthCare, Helsinki, Finland) and Test 2=LZ-Test (Eiken Chemical Co., Ltd, Tokyo, Japan).</w:t>
      </w:r>
    </w:p>
    <w:p w:rsidR="00FD4B8B" w:rsidRDefault="00C73BA9" w:rsidP="004847F3">
      <w:pPr>
        <w:spacing w:beforeLines="50" w:before="180" w:line="360" w:lineRule="auto"/>
        <w:jc w:val="both"/>
        <w:rPr>
          <w:noProof/>
          <w:lang w:val="x-none"/>
        </w:rPr>
      </w:pPr>
      <w:r>
        <w:rPr>
          <w:noProof/>
        </w:rPr>
        <w:drawing>
          <wp:inline distT="0" distB="0" distL="0" distR="0" wp14:anchorId="2579375E" wp14:editId="650C0B4A">
            <wp:extent cx="7315201" cy="3419475"/>
            <wp:effectExtent l="0" t="0" r="0" b="0"/>
            <wp:docPr id="5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73BA9" w:rsidRDefault="00C73BA9" w:rsidP="004847F3">
      <w:pPr>
        <w:spacing w:beforeLines="50" w:before="180" w:line="360" w:lineRule="auto"/>
        <w:jc w:val="both"/>
        <w:rPr>
          <w:noProof/>
          <w:lang w:val="x-none"/>
        </w:rPr>
      </w:pPr>
    </w:p>
    <w:p w:rsidR="00F2097F" w:rsidRDefault="00C73BA9">
      <w:pPr>
        <w:widowControl/>
        <w:rPr>
          <w:noProof/>
          <w:lang w:val="x-none"/>
        </w:rPr>
      </w:pPr>
      <w:r>
        <w:rPr>
          <w:noProof/>
          <w:lang w:val="x-none"/>
        </w:rPr>
        <w:br w:type="page"/>
      </w:r>
    </w:p>
    <w:p w:rsidR="00C73BA9" w:rsidRPr="00BA0890" w:rsidRDefault="00C73BA9" w:rsidP="00F2097F">
      <w:pPr>
        <w:widowControl/>
      </w:pPr>
      <w:r w:rsidRPr="00BA0890">
        <w:rPr>
          <w:b/>
        </w:rPr>
        <w:lastRenderedPageBreak/>
        <w:t xml:space="preserve">Supplementary Figure </w:t>
      </w:r>
      <w:r>
        <w:rPr>
          <w:b/>
        </w:rPr>
        <w:t>4</w:t>
      </w:r>
      <w:r w:rsidRPr="00BA0890">
        <w:rPr>
          <w:b/>
        </w:rPr>
        <w:t>.</w:t>
      </w:r>
      <w:r w:rsidRPr="00C73BA9">
        <w:rPr>
          <w:szCs w:val="22"/>
        </w:rPr>
        <w:t xml:space="preserve"> </w:t>
      </w:r>
      <w:r>
        <w:rPr>
          <w:szCs w:val="22"/>
        </w:rPr>
        <w:t>M</w:t>
      </w:r>
      <w:r w:rsidRPr="00BA0890">
        <w:rPr>
          <w:szCs w:val="22"/>
        </w:rPr>
        <w:t xml:space="preserve">ultivariate logistic regression model between the two test brands regarding the </w:t>
      </w:r>
      <w:r>
        <w:rPr>
          <w:szCs w:val="22"/>
        </w:rPr>
        <w:t>detection rate</w:t>
      </w:r>
      <w:r w:rsidRPr="00BA0890">
        <w:rPr>
          <w:szCs w:val="22"/>
        </w:rPr>
        <w:t xml:space="preserve"> for intestinal metaplasia.</w:t>
      </w:r>
      <w:r w:rsidR="00487786">
        <w:rPr>
          <w:rFonts w:hint="eastAsia"/>
          <w:szCs w:val="22"/>
        </w:rPr>
        <w:t xml:space="preserve"> </w:t>
      </w:r>
      <w:r w:rsidR="00487786" w:rsidRPr="00487786">
        <w:rPr>
          <w:szCs w:val="22"/>
        </w:rPr>
        <w:t>Test 1=GastroPanel (Biohit HealthCare, Helsinki, Finland) and Test 2=LZ-Test (Eiken Chemical Co., Ltd, Tokyo, Japan).</w:t>
      </w:r>
    </w:p>
    <w:p w:rsidR="00C73BA9" w:rsidRDefault="00C73BA9" w:rsidP="004847F3">
      <w:pPr>
        <w:spacing w:beforeLines="50" w:before="180" w:line="360" w:lineRule="auto"/>
        <w:jc w:val="both"/>
        <w:rPr>
          <w:noProof/>
          <w:lang w:val="x-none"/>
        </w:rPr>
      </w:pPr>
      <w:r>
        <w:rPr>
          <w:noProof/>
        </w:rPr>
        <w:drawing>
          <wp:inline distT="0" distB="0" distL="0" distR="0" wp14:anchorId="11C4D7F3" wp14:editId="75F5F184">
            <wp:extent cx="7315201" cy="3419475"/>
            <wp:effectExtent l="0" t="0" r="0" b="0"/>
            <wp:docPr id="6" name="圖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63125" w:rsidRDefault="00963125" w:rsidP="004847F3">
      <w:pPr>
        <w:spacing w:beforeLines="50" w:before="180" w:line="360" w:lineRule="auto"/>
        <w:jc w:val="both"/>
        <w:rPr>
          <w:noProof/>
          <w:lang w:val="x-none"/>
        </w:rPr>
      </w:pPr>
    </w:p>
    <w:p w:rsidR="00963125" w:rsidRDefault="00963125" w:rsidP="004847F3">
      <w:pPr>
        <w:spacing w:beforeLines="50" w:before="180" w:line="360" w:lineRule="auto"/>
        <w:jc w:val="both"/>
        <w:rPr>
          <w:noProof/>
          <w:lang w:val="x-none"/>
        </w:rPr>
      </w:pPr>
    </w:p>
    <w:p w:rsidR="00963125" w:rsidRPr="00963125" w:rsidRDefault="00963125" w:rsidP="008D187A">
      <w:pPr>
        <w:spacing w:afterLines="50" w:after="180" w:line="360" w:lineRule="auto"/>
        <w:jc w:val="both"/>
        <w:rPr>
          <w:color w:val="FF0000"/>
        </w:rPr>
      </w:pPr>
    </w:p>
    <w:sectPr w:rsidR="00963125" w:rsidRPr="00963125" w:rsidSect="008D187A">
      <w:pgSz w:w="16838" w:h="11906" w:orient="landscape"/>
      <w:pgMar w:top="1797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1AD" w:rsidRDefault="003A01AD" w:rsidP="002E7BB9">
      <w:r>
        <w:separator/>
      </w:r>
    </w:p>
  </w:endnote>
  <w:endnote w:type="continuationSeparator" w:id="0">
    <w:p w:rsidR="003A01AD" w:rsidRDefault="003A01AD" w:rsidP="002E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Microsoft JhengHei 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lantin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1AD" w:rsidRDefault="003A01AD" w:rsidP="002E7BB9">
      <w:r>
        <w:separator/>
      </w:r>
    </w:p>
  </w:footnote>
  <w:footnote w:type="continuationSeparator" w:id="0">
    <w:p w:rsidR="003A01AD" w:rsidRDefault="003A01AD" w:rsidP="002E7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6A"/>
    <w:rsid w:val="00001ACE"/>
    <w:rsid w:val="0003104C"/>
    <w:rsid w:val="00056E72"/>
    <w:rsid w:val="000E242B"/>
    <w:rsid w:val="00103D48"/>
    <w:rsid w:val="001A3C9D"/>
    <w:rsid w:val="001D5F93"/>
    <w:rsid w:val="00223B7A"/>
    <w:rsid w:val="00240775"/>
    <w:rsid w:val="002737B5"/>
    <w:rsid w:val="002A43DC"/>
    <w:rsid w:val="002E7BB9"/>
    <w:rsid w:val="00315634"/>
    <w:rsid w:val="00323348"/>
    <w:rsid w:val="00336089"/>
    <w:rsid w:val="00345FC6"/>
    <w:rsid w:val="00350656"/>
    <w:rsid w:val="00356377"/>
    <w:rsid w:val="00390A27"/>
    <w:rsid w:val="003A01AD"/>
    <w:rsid w:val="003A252B"/>
    <w:rsid w:val="004005E4"/>
    <w:rsid w:val="0044281F"/>
    <w:rsid w:val="00464F7B"/>
    <w:rsid w:val="004847F3"/>
    <w:rsid w:val="00487786"/>
    <w:rsid w:val="00487E6F"/>
    <w:rsid w:val="0049579E"/>
    <w:rsid w:val="004A5B56"/>
    <w:rsid w:val="004A75DA"/>
    <w:rsid w:val="004C07F1"/>
    <w:rsid w:val="004C47E1"/>
    <w:rsid w:val="004D606D"/>
    <w:rsid w:val="004E411E"/>
    <w:rsid w:val="00512F6B"/>
    <w:rsid w:val="0053630A"/>
    <w:rsid w:val="00575536"/>
    <w:rsid w:val="005E534C"/>
    <w:rsid w:val="00655A45"/>
    <w:rsid w:val="00690972"/>
    <w:rsid w:val="00763179"/>
    <w:rsid w:val="007632A1"/>
    <w:rsid w:val="007724DC"/>
    <w:rsid w:val="007865AB"/>
    <w:rsid w:val="007C7F98"/>
    <w:rsid w:val="00811016"/>
    <w:rsid w:val="008B16CE"/>
    <w:rsid w:val="008D187A"/>
    <w:rsid w:val="008F2F82"/>
    <w:rsid w:val="0091206A"/>
    <w:rsid w:val="009158EC"/>
    <w:rsid w:val="009434EE"/>
    <w:rsid w:val="00957A1D"/>
    <w:rsid w:val="00963125"/>
    <w:rsid w:val="0096399A"/>
    <w:rsid w:val="00A94820"/>
    <w:rsid w:val="00A972D5"/>
    <w:rsid w:val="00A979E5"/>
    <w:rsid w:val="00AC7570"/>
    <w:rsid w:val="00AD362C"/>
    <w:rsid w:val="00AF3EB2"/>
    <w:rsid w:val="00B04752"/>
    <w:rsid w:val="00B2189B"/>
    <w:rsid w:val="00B45134"/>
    <w:rsid w:val="00B74671"/>
    <w:rsid w:val="00BA051E"/>
    <w:rsid w:val="00BA0890"/>
    <w:rsid w:val="00BF132D"/>
    <w:rsid w:val="00C25C3C"/>
    <w:rsid w:val="00C30C19"/>
    <w:rsid w:val="00C45C87"/>
    <w:rsid w:val="00C46DD3"/>
    <w:rsid w:val="00C63668"/>
    <w:rsid w:val="00C73BA9"/>
    <w:rsid w:val="00CE1B15"/>
    <w:rsid w:val="00D34D65"/>
    <w:rsid w:val="00D66124"/>
    <w:rsid w:val="00D9399D"/>
    <w:rsid w:val="00DC327B"/>
    <w:rsid w:val="00DD27E5"/>
    <w:rsid w:val="00DF0683"/>
    <w:rsid w:val="00E47A25"/>
    <w:rsid w:val="00EC0460"/>
    <w:rsid w:val="00ED296A"/>
    <w:rsid w:val="00F2097F"/>
    <w:rsid w:val="00F40AA6"/>
    <w:rsid w:val="00F94CC8"/>
    <w:rsid w:val="00FB67BF"/>
    <w:rsid w:val="00FD4B8B"/>
    <w:rsid w:val="00FF52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D54C35-41FD-4D96-B34D-31FFA65D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06A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2E7BB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7B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E7BB9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link w:val="Web0"/>
    <w:uiPriority w:val="99"/>
    <w:unhideWhenUsed/>
    <w:rsid w:val="002E7BB9"/>
    <w:pPr>
      <w:widowControl/>
      <w:spacing w:before="100" w:beforeAutospacing="1" w:after="100" w:afterAutospacing="1"/>
    </w:pPr>
    <w:rPr>
      <w:rFonts w:ascii="新細明體" w:hAnsi="新細明體"/>
      <w:kern w:val="0"/>
      <w:sz w:val="20"/>
      <w:lang w:val="x-none" w:eastAsia="x-none"/>
    </w:rPr>
  </w:style>
  <w:style w:type="character" w:customStyle="1" w:styleId="Web0">
    <w:name w:val="內文 (Web) 字元"/>
    <w:link w:val="Web"/>
    <w:uiPriority w:val="99"/>
    <w:rsid w:val="002E7BB9"/>
    <w:rPr>
      <w:rFonts w:ascii="新細明體" w:eastAsia="新細明體" w:hAnsi="新細明體" w:cs="Times New Roman"/>
      <w:kern w:val="0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E7BB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2E7BB9"/>
    <w:rPr>
      <w:rFonts w:ascii="Cambria" w:eastAsia="新細明體" w:hAnsi="Cambria" w:cs="Times New Roman"/>
      <w:sz w:val="18"/>
      <w:szCs w:val="18"/>
    </w:rPr>
  </w:style>
  <w:style w:type="table" w:styleId="a9">
    <w:name w:val="Table Grid"/>
    <w:basedOn w:val="a1"/>
    <w:uiPriority w:val="59"/>
    <w:rsid w:val="00DC327B"/>
    <w:rPr>
      <w:rFonts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___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__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884251655670577"/>
          <c:y val="0.10039908302601416"/>
          <c:w val="0.35981405184900173"/>
          <c:h val="0.7946119772277749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'PPV for IM'!$A$1</c:f>
              <c:strCache>
                <c:ptCount val="1"/>
                <c:pt idx="0">
                  <c:v>PPV for IM</c:v>
                </c:pt>
              </c:strCache>
            </c:strRef>
          </c:tx>
          <c:spPr>
            <a:noFill/>
            <a:ln>
              <a:noFill/>
            </a:ln>
          </c:spPr>
          <c:invertIfNegative val="0"/>
          <c:cat>
            <c:strRef>
              <c:f>'PPV for IM'!$A$2:$A$11</c:f>
              <c:strCache>
                <c:ptCount val="9"/>
                <c:pt idx="1">
                  <c:v>Test 1 vs. Test 2</c:v>
                </c:pt>
                <c:pt idx="2">
                  <c:v>Age ≥ 50 vs. 30–49 years</c:v>
                </c:pt>
                <c:pt idx="3">
                  <c:v>Male vs. female</c:v>
                </c:pt>
                <c:pt idx="4">
                  <c:v>Body mass index</c:v>
                </c:pt>
                <c:pt idx="5">
                  <c:v>Current smoker</c:v>
                </c:pt>
                <c:pt idx="6">
                  <c:v>Hypertension</c:v>
                </c:pt>
                <c:pt idx="7">
                  <c:v>Cardiovascular disease</c:v>
                </c:pt>
                <c:pt idx="8">
                  <c:v>Chronic hepatitis B</c:v>
                </c:pt>
              </c:strCache>
            </c:strRef>
          </c:cat>
          <c:val>
            <c:numRef>
              <c:f>'PPV for IM'!$E$2:$E$11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54-4129-AD99-8F3E8050A3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9035776"/>
        <c:axId val="99086720"/>
      </c:barChart>
      <c:scatterChart>
        <c:scatterStyle val="lineMarker"/>
        <c:varyColors val="0"/>
        <c:ser>
          <c:idx val="1"/>
          <c:order val="1"/>
          <c:tx>
            <c:strRef>
              <c:f>'PPV for IM'!$B$1</c:f>
              <c:strCache>
                <c:ptCount val="1"/>
                <c:pt idx="0">
                  <c:v>aOR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10"/>
            <c:spPr>
              <a:solidFill>
                <a:schemeClr val="tx1"/>
              </a:solidFill>
              <a:ln>
                <a:noFill/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'PPV for IM'!$D$15:$D$22</c:f>
                <c:numCache>
                  <c:formatCode>General</c:formatCode>
                  <c:ptCount val="8"/>
                  <c:pt idx="0">
                    <c:v>2.92</c:v>
                  </c:pt>
                  <c:pt idx="1">
                    <c:v>25.8</c:v>
                  </c:pt>
                  <c:pt idx="2">
                    <c:v>5.7100000000000009</c:v>
                  </c:pt>
                  <c:pt idx="3">
                    <c:v>0.20000000000000018</c:v>
                  </c:pt>
                  <c:pt idx="4">
                    <c:v>4.03</c:v>
                  </c:pt>
                  <c:pt idx="5">
                    <c:v>0.28999999999999998</c:v>
                  </c:pt>
                  <c:pt idx="6">
                    <c:v>51.819999999999993</c:v>
                  </c:pt>
                  <c:pt idx="7">
                    <c:v>0.98</c:v>
                  </c:pt>
                </c:numCache>
              </c:numRef>
            </c:plus>
            <c:minus>
              <c:numRef>
                <c:f>'PPV for IM'!$C$15:$C$22</c:f>
                <c:numCache>
                  <c:formatCode>General</c:formatCode>
                  <c:ptCount val="8"/>
                  <c:pt idx="0">
                    <c:v>1.1000000000000001</c:v>
                  </c:pt>
                  <c:pt idx="1">
                    <c:v>4.8499999999999996</c:v>
                  </c:pt>
                  <c:pt idx="2">
                    <c:v>1.9</c:v>
                  </c:pt>
                  <c:pt idx="3">
                    <c:v>0.17999999999999994</c:v>
                  </c:pt>
                  <c:pt idx="4">
                    <c:v>1.0299999999999998</c:v>
                  </c:pt>
                  <c:pt idx="5">
                    <c:v>0.05</c:v>
                  </c:pt>
                  <c:pt idx="6">
                    <c:v>16.47</c:v>
                  </c:pt>
                  <c:pt idx="7">
                    <c:v>0.05</c:v>
                  </c:pt>
                </c:numCache>
              </c:numRef>
            </c:minus>
            <c:spPr>
              <a:ln w="22225">
                <a:solidFill>
                  <a:sysClr val="windowText" lastClr="000000"/>
                </a:solidFill>
              </a:ln>
            </c:spPr>
          </c:errBars>
          <c:xVal>
            <c:numRef>
              <c:f>'PPV for IM'!$B$3:$B$10</c:f>
              <c:numCache>
                <c:formatCode>General</c:formatCode>
                <c:ptCount val="8"/>
                <c:pt idx="0">
                  <c:v>1.75</c:v>
                </c:pt>
                <c:pt idx="1">
                  <c:v>5.97</c:v>
                </c:pt>
                <c:pt idx="2" formatCode="0.00_ ">
                  <c:v>2.84</c:v>
                </c:pt>
                <c:pt idx="3">
                  <c:v>1.1599999999999999</c:v>
                </c:pt>
                <c:pt idx="4">
                  <c:v>1.39</c:v>
                </c:pt>
                <c:pt idx="5">
                  <c:v>7.0000000000000007E-2</c:v>
                </c:pt>
                <c:pt idx="6">
                  <c:v>22.23</c:v>
                </c:pt>
                <c:pt idx="7">
                  <c:v>7.0000000000000007E-2</c:v>
                </c:pt>
              </c:numCache>
            </c:numRef>
          </c:xVal>
          <c:yVal>
            <c:numRef>
              <c:f>'PPV for IM'!$E$3:$E$10</c:f>
              <c:numCache>
                <c:formatCode>General</c:formatCode>
                <c:ptCount val="8"/>
                <c:pt idx="0">
                  <c:v>8</c:v>
                </c:pt>
                <c:pt idx="1">
                  <c:v>7</c:v>
                </c:pt>
                <c:pt idx="2">
                  <c:v>6</c:v>
                </c:pt>
                <c:pt idx="3">
                  <c:v>5</c:v>
                </c:pt>
                <c:pt idx="4">
                  <c:v>4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A54-4129-AD99-8F3E8050A3AE}"/>
            </c:ext>
          </c:extLst>
        </c:ser>
        <c:ser>
          <c:idx val="2"/>
          <c:order val="2"/>
          <c:tx>
            <c:strRef>
              <c:f>'PPV for IM'!$F$1</c:f>
              <c:strCache>
                <c:ptCount val="1"/>
                <c:pt idx="0">
                  <c:v>adjusted odds ratio (95% CI)</c:v>
                </c:pt>
              </c:strCache>
            </c:strRef>
          </c:tx>
          <c:spPr>
            <a:ln w="28575">
              <a:noFill/>
            </a:ln>
          </c:spPr>
          <c:marker>
            <c:symbol val="none"/>
          </c:marker>
          <c:dLbls>
            <c:dLbl>
              <c:idx val="1"/>
              <c:layout>
                <c:manualLayout>
                  <c:x val="0.16820986873771479"/>
                  <c:y val="7.4280408542246983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A54-4129-AD99-8F3E8050A3AE}"/>
                </c:ext>
              </c:extLst>
            </c:dLbl>
            <c:dLbl>
              <c:idx val="2"/>
              <c:layout>
                <c:manualLayout>
                  <c:x val="0.15297064291193091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A54-4129-AD99-8F3E8050A3AE}"/>
                </c:ext>
              </c:extLst>
            </c:dLbl>
            <c:dLbl>
              <c:idx val="3"/>
              <c:layout>
                <c:manualLayout>
                  <c:x val="0.14178243359273382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A54-4129-AD99-8F3E8050A3AE}"/>
                </c:ext>
              </c:extLst>
            </c:dLbl>
            <c:dLbl>
              <c:idx val="4"/>
              <c:layout>
                <c:manualLayout>
                  <c:x val="0.13194442640742191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A54-4129-AD99-8F3E8050A3AE}"/>
                </c:ext>
              </c:extLst>
            </c:dLbl>
            <c:dLbl>
              <c:idx val="5"/>
              <c:layout>
                <c:manualLayout>
                  <c:x val="0.1251928689314209"/>
                  <c:y val="-7.4280408542246983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A54-4129-AD99-8F3E8050A3AE}"/>
                </c:ext>
              </c:extLst>
            </c:dLbl>
            <c:dLbl>
              <c:idx val="6"/>
              <c:layout>
                <c:manualLayout>
                  <c:x val="0.12152776116473081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A54-4129-AD99-8F3E8050A3AE}"/>
                </c:ext>
              </c:extLst>
            </c:dLbl>
            <c:dLbl>
              <c:idx val="7"/>
              <c:layout>
                <c:manualLayout>
                  <c:x val="0.11747688135978765"/>
                  <c:y val="-1.0644908940713579E-4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A54-4129-AD99-8F3E8050A3AE}"/>
                </c:ext>
              </c:extLst>
            </c:dLbl>
            <c:dLbl>
              <c:idx val="8"/>
              <c:layout>
                <c:manualLayout>
                  <c:x val="0.11342586485320089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A54-4129-AD99-8F3E8050A3A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strRef>
              <c:f>'PPV for IM'!$F$2:$F$11</c:f>
              <c:strCache>
                <c:ptCount val="9"/>
                <c:pt idx="1">
                  <c:v>1.75 (0.65-4.67)</c:v>
                </c:pt>
                <c:pt idx="2">
                  <c:v>5.97 (1.12-31.77)</c:v>
                </c:pt>
                <c:pt idx="3">
                  <c:v>2.84 (0.94-8.55)</c:v>
                </c:pt>
                <c:pt idx="4">
                  <c:v>1.16 (0.98-1.36)</c:v>
                </c:pt>
                <c:pt idx="5">
                  <c:v>1.39 (0.36-5.42)</c:v>
                </c:pt>
                <c:pt idx="6">
                  <c:v>0.07 (0.02-0.36)</c:v>
                </c:pt>
                <c:pt idx="7">
                  <c:v>22.23 (5.76-74.05)</c:v>
                </c:pt>
                <c:pt idx="8">
                  <c:v>0.07 (0.02-1.05)</c:v>
                </c:pt>
              </c:strCache>
            </c:strRef>
          </c:xVal>
          <c:yVal>
            <c:numRef>
              <c:f>'PPV for IM'!$E$2:$E$11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5A54-4129-AD99-8F3E8050A3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9089792"/>
        <c:axId val="99088256"/>
      </c:scatterChart>
      <c:catAx>
        <c:axId val="99035776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low"/>
        <c:spPr>
          <a:ln/>
        </c:spPr>
        <c:crossAx val="99086720"/>
        <c:crosses val="autoZero"/>
        <c:auto val="1"/>
        <c:lblAlgn val="ctr"/>
        <c:lblOffset val="100"/>
        <c:noMultiLvlLbl val="0"/>
      </c:catAx>
      <c:valAx>
        <c:axId val="99086720"/>
        <c:scaling>
          <c:logBase val="10"/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crossAx val="99035776"/>
        <c:crosses val="max"/>
        <c:crossBetween val="midCat"/>
      </c:valAx>
      <c:valAx>
        <c:axId val="99088256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99089792"/>
        <c:crosses val="max"/>
        <c:crossBetween val="midCat"/>
      </c:valAx>
      <c:valAx>
        <c:axId val="99089792"/>
        <c:scaling>
          <c:logBase val="10"/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9088256"/>
        <c:crosses val="autoZero"/>
        <c:crossBetween val="midCat"/>
      </c:valAx>
      <c:spPr>
        <a:noFill/>
        <a:ln w="19050">
          <a:solidFill>
            <a:srgbClr val="969696"/>
          </a:solidFill>
        </a:ln>
      </c:spPr>
    </c:plotArea>
    <c:plotVisOnly val="1"/>
    <c:dispBlanksAs val="gap"/>
    <c:showDLblsOverMax val="0"/>
  </c:chart>
  <c:spPr>
    <a:solidFill>
      <a:sysClr val="window" lastClr="FFFFFF"/>
    </a:solidFill>
    <a:ln>
      <a:noFill/>
    </a:ln>
  </c:spPr>
  <c:txPr>
    <a:bodyPr/>
    <a:lstStyle/>
    <a:p>
      <a:pPr>
        <a:defRPr sz="1200"/>
      </a:pPr>
      <a:endParaRPr lang="zh-TW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884251655670577"/>
          <c:y val="0.10039908302601416"/>
          <c:w val="0.35981405184900173"/>
          <c:h val="0.7946119772277749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'DR for atrophy'!$A$1</c:f>
              <c:strCache>
                <c:ptCount val="1"/>
                <c:pt idx="0">
                  <c:v>DR for atrophy</c:v>
                </c:pt>
              </c:strCache>
            </c:strRef>
          </c:tx>
          <c:spPr>
            <a:noFill/>
            <a:ln>
              <a:noFill/>
            </a:ln>
          </c:spPr>
          <c:invertIfNegative val="0"/>
          <c:cat>
            <c:strRef>
              <c:f>'DR for atrophy'!$A$2:$A$11</c:f>
              <c:strCache>
                <c:ptCount val="9"/>
                <c:pt idx="1">
                  <c:v>Test 1 vs. Test 2</c:v>
                </c:pt>
                <c:pt idx="2">
                  <c:v>Age ≥ 50 vs. 30–49 years</c:v>
                </c:pt>
                <c:pt idx="3">
                  <c:v>Male vs. female</c:v>
                </c:pt>
                <c:pt idx="4">
                  <c:v>Body mass index</c:v>
                </c:pt>
                <c:pt idx="5">
                  <c:v>Current smoker</c:v>
                </c:pt>
                <c:pt idx="6">
                  <c:v>Hypertension</c:v>
                </c:pt>
                <c:pt idx="7">
                  <c:v>Cardiovascular disease</c:v>
                </c:pt>
                <c:pt idx="8">
                  <c:v>Chronic hepatitis B</c:v>
                </c:pt>
              </c:strCache>
            </c:strRef>
          </c:cat>
          <c:val>
            <c:numRef>
              <c:f>'DR for atrophy'!$E$2:$E$11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25-4B52-9A7B-8F1CA82D97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6950912"/>
        <c:axId val="156952448"/>
      </c:barChart>
      <c:scatterChart>
        <c:scatterStyle val="lineMarker"/>
        <c:varyColors val="0"/>
        <c:ser>
          <c:idx val="1"/>
          <c:order val="1"/>
          <c:tx>
            <c:strRef>
              <c:f>'DR for atrophy'!$B$1</c:f>
              <c:strCache>
                <c:ptCount val="1"/>
                <c:pt idx="0">
                  <c:v>aOR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10"/>
            <c:spPr>
              <a:solidFill>
                <a:schemeClr val="tx1"/>
              </a:solidFill>
              <a:ln>
                <a:noFill/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'DR for atrophy'!$D$16:$D$23</c:f>
                <c:numCache>
                  <c:formatCode>General</c:formatCode>
                  <c:ptCount val="8"/>
                  <c:pt idx="0">
                    <c:v>1.2400000000000002</c:v>
                  </c:pt>
                  <c:pt idx="1">
                    <c:v>18.54</c:v>
                  </c:pt>
                  <c:pt idx="2">
                    <c:v>1.88</c:v>
                  </c:pt>
                  <c:pt idx="3">
                    <c:v>0.10999999999999988</c:v>
                  </c:pt>
                  <c:pt idx="4">
                    <c:v>4.82</c:v>
                  </c:pt>
                  <c:pt idx="5">
                    <c:v>2</c:v>
                  </c:pt>
                  <c:pt idx="6">
                    <c:v>3.9400000000000004</c:v>
                  </c:pt>
                  <c:pt idx="7">
                    <c:v>1.9200000000000002</c:v>
                  </c:pt>
                </c:numCache>
              </c:numRef>
            </c:plus>
            <c:minus>
              <c:numRef>
                <c:f>'DR for atrophy'!$C$16:$C$23</c:f>
                <c:numCache>
                  <c:formatCode>General</c:formatCode>
                  <c:ptCount val="8"/>
                  <c:pt idx="0">
                    <c:v>0.55000000000000004</c:v>
                  </c:pt>
                  <c:pt idx="1">
                    <c:v>4.3100000000000005</c:v>
                  </c:pt>
                  <c:pt idx="2">
                    <c:v>0.79000000000000015</c:v>
                  </c:pt>
                  <c:pt idx="3">
                    <c:v>0.10000000000000009</c:v>
                  </c:pt>
                  <c:pt idx="4">
                    <c:v>1.9100000000000001</c:v>
                  </c:pt>
                  <c:pt idx="5">
                    <c:v>0.86</c:v>
                  </c:pt>
                  <c:pt idx="6">
                    <c:v>0.82000000000000006</c:v>
                  </c:pt>
                  <c:pt idx="7">
                    <c:v>0.26</c:v>
                  </c:pt>
                </c:numCache>
              </c:numRef>
            </c:minus>
            <c:spPr>
              <a:ln w="22225">
                <a:solidFill>
                  <a:sysClr val="windowText" lastClr="000000"/>
                </a:solidFill>
              </a:ln>
            </c:spPr>
          </c:errBars>
          <c:xVal>
            <c:numRef>
              <c:f>'DR for atrophy'!$B$3:$B$10</c:f>
              <c:numCache>
                <c:formatCode>General</c:formatCode>
                <c:ptCount val="8"/>
                <c:pt idx="0" formatCode="0.00_ ">
                  <c:v>1</c:v>
                </c:pt>
                <c:pt idx="1">
                  <c:v>5.61</c:v>
                </c:pt>
                <c:pt idx="2">
                  <c:v>1.37</c:v>
                </c:pt>
                <c:pt idx="3">
                  <c:v>1.07</c:v>
                </c:pt>
                <c:pt idx="4">
                  <c:v>3.16</c:v>
                </c:pt>
                <c:pt idx="5">
                  <c:v>1.49</c:v>
                </c:pt>
                <c:pt idx="6">
                  <c:v>1.04</c:v>
                </c:pt>
                <c:pt idx="7" formatCode="0.00_);[Red]\(0.00\)">
                  <c:v>0.3</c:v>
                </c:pt>
              </c:numCache>
            </c:numRef>
          </c:xVal>
          <c:yVal>
            <c:numRef>
              <c:f>'DR for atrophy'!$E$3:$E$10</c:f>
              <c:numCache>
                <c:formatCode>General</c:formatCode>
                <c:ptCount val="8"/>
                <c:pt idx="0">
                  <c:v>8</c:v>
                </c:pt>
                <c:pt idx="1">
                  <c:v>7</c:v>
                </c:pt>
                <c:pt idx="2">
                  <c:v>6</c:v>
                </c:pt>
                <c:pt idx="3">
                  <c:v>5</c:v>
                </c:pt>
                <c:pt idx="4">
                  <c:v>4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825-4B52-9A7B-8F1CA82D972D}"/>
            </c:ext>
          </c:extLst>
        </c:ser>
        <c:ser>
          <c:idx val="2"/>
          <c:order val="2"/>
          <c:tx>
            <c:strRef>
              <c:f>'DR for atrophy'!$F$1</c:f>
              <c:strCache>
                <c:ptCount val="1"/>
                <c:pt idx="0">
                  <c:v>adjusted odds ratio (95% CI)</c:v>
                </c:pt>
              </c:strCache>
            </c:strRef>
          </c:tx>
          <c:spPr>
            <a:ln w="28575">
              <a:noFill/>
            </a:ln>
          </c:spPr>
          <c:marker>
            <c:symbol val="none"/>
          </c:marker>
          <c:dLbls>
            <c:dLbl>
              <c:idx val="1"/>
              <c:layout>
                <c:manualLayout>
                  <c:x val="0.17168209048527852"/>
                  <c:y val="-7.4280408542247156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825-4B52-9A7B-8F1CA82D972D}"/>
                </c:ext>
              </c:extLst>
            </c:dLbl>
            <c:dLbl>
              <c:idx val="2"/>
              <c:layout>
                <c:manualLayout>
                  <c:x val="0.15470675378571266"/>
                  <c:y val="-1.114206128133704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25-4B52-9A7B-8F1CA82D972D}"/>
                </c:ext>
              </c:extLst>
            </c:dLbl>
            <c:dLbl>
              <c:idx val="3"/>
              <c:layout>
                <c:manualLayout>
                  <c:x val="0.14351854446651569"/>
                  <c:y val="-1.1142061281337047E-2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825-4B52-9A7B-8F1CA82D972D}"/>
                </c:ext>
              </c:extLst>
            </c:dLbl>
            <c:dLbl>
              <c:idx val="4"/>
              <c:layout>
                <c:manualLayout>
                  <c:x val="0.13715275902876764"/>
                  <c:y val="-7.4280408542246983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825-4B52-9A7B-8F1CA82D972D}"/>
                </c:ext>
              </c:extLst>
            </c:dLbl>
            <c:dLbl>
              <c:idx val="5"/>
              <c:layout>
                <c:manualLayout>
                  <c:x val="0.13040120155276663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25-4B52-9A7B-8F1CA82D972D}"/>
                </c:ext>
              </c:extLst>
            </c:dLbl>
            <c:dLbl>
              <c:idx val="6"/>
              <c:layout>
                <c:manualLayout>
                  <c:x val="0.12326387203851268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825-4B52-9A7B-8F1CA82D972D}"/>
                </c:ext>
              </c:extLst>
            </c:dLbl>
            <c:dLbl>
              <c:idx val="7"/>
              <c:layout>
                <c:manualLayout>
                  <c:x val="0.11747688135978765"/>
                  <c:y val="-3.820469516519485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825-4B52-9A7B-8F1CA82D972D}"/>
                </c:ext>
              </c:extLst>
            </c:dLbl>
            <c:dLbl>
              <c:idx val="8"/>
              <c:layout>
                <c:manualLayout>
                  <c:x val="0.11342586485320089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25-4B52-9A7B-8F1CA82D972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strRef>
              <c:f>'DR for atrophy'!$F$2:$F$11</c:f>
              <c:strCache>
                <c:ptCount val="9"/>
                <c:pt idx="1">
                  <c:v>1.00 (0.45-2.24)</c:v>
                </c:pt>
                <c:pt idx="2">
                  <c:v>5.61 (1.3-24.15)</c:v>
                </c:pt>
                <c:pt idx="3">
                  <c:v>1.37 (0.58-3.25)</c:v>
                </c:pt>
                <c:pt idx="4">
                  <c:v>1.07 (0.97-1.18)</c:v>
                </c:pt>
                <c:pt idx="5">
                  <c:v>3.16 (1.25-7.98)</c:v>
                </c:pt>
                <c:pt idx="6">
                  <c:v>1.49 (0.63-3.49)</c:v>
                </c:pt>
                <c:pt idx="7">
                  <c:v>1.04 (0.22-4.98)</c:v>
                </c:pt>
                <c:pt idx="8">
                  <c:v>0.30 (0.04-2.22)</c:v>
                </c:pt>
              </c:strCache>
            </c:strRef>
          </c:xVal>
          <c:yVal>
            <c:numRef>
              <c:f>'DR for atrophy'!$E$2:$E$11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C825-4B52-9A7B-8F1CA82D97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025408"/>
        <c:axId val="156953984"/>
      </c:scatterChart>
      <c:catAx>
        <c:axId val="156950912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low"/>
        <c:spPr>
          <a:ln/>
        </c:spPr>
        <c:crossAx val="156952448"/>
        <c:crosses val="autoZero"/>
        <c:auto val="1"/>
        <c:lblAlgn val="ctr"/>
        <c:lblOffset val="100"/>
        <c:noMultiLvlLbl val="0"/>
      </c:catAx>
      <c:valAx>
        <c:axId val="156952448"/>
        <c:scaling>
          <c:logBase val="10"/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crossAx val="156950912"/>
        <c:crosses val="max"/>
        <c:crossBetween val="midCat"/>
      </c:valAx>
      <c:valAx>
        <c:axId val="156953984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157025408"/>
        <c:crosses val="max"/>
        <c:crossBetween val="midCat"/>
      </c:valAx>
      <c:valAx>
        <c:axId val="157025408"/>
        <c:scaling>
          <c:logBase val="10"/>
          <c:orientation val="minMax"/>
        </c:scaling>
        <c:delete val="1"/>
        <c:axPos val="b"/>
        <c:numFmt formatCode="0.00_ " sourceLinked="1"/>
        <c:majorTickMark val="out"/>
        <c:minorTickMark val="none"/>
        <c:tickLblPos val="nextTo"/>
        <c:crossAx val="156953984"/>
        <c:crosses val="autoZero"/>
        <c:crossBetween val="midCat"/>
      </c:valAx>
      <c:spPr>
        <a:noFill/>
        <a:ln w="19050">
          <a:solidFill>
            <a:srgbClr val="969696"/>
          </a:solidFill>
        </a:ln>
      </c:spPr>
    </c:plotArea>
    <c:plotVisOnly val="1"/>
    <c:dispBlanksAs val="gap"/>
    <c:showDLblsOverMax val="0"/>
  </c:chart>
  <c:spPr>
    <a:solidFill>
      <a:sysClr val="window" lastClr="FFFFFF"/>
    </a:solidFill>
    <a:ln>
      <a:noFill/>
    </a:ln>
  </c:spPr>
  <c:txPr>
    <a:bodyPr/>
    <a:lstStyle/>
    <a:p>
      <a:pPr>
        <a:defRPr sz="1200"/>
      </a:pPr>
      <a:endParaRPr lang="zh-TW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884251655670577"/>
          <c:y val="0.10039908302601416"/>
          <c:w val="0.35981405184900173"/>
          <c:h val="0.7946119772277749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'PPV for IM'!$A$1</c:f>
              <c:strCache>
                <c:ptCount val="1"/>
                <c:pt idx="0">
                  <c:v>PPV for IM</c:v>
                </c:pt>
              </c:strCache>
            </c:strRef>
          </c:tx>
          <c:spPr>
            <a:noFill/>
            <a:ln>
              <a:noFill/>
            </a:ln>
          </c:spPr>
          <c:invertIfNegative val="0"/>
          <c:cat>
            <c:strRef>
              <c:f>'PPV for IM'!$A$2:$A$11</c:f>
              <c:strCache>
                <c:ptCount val="9"/>
                <c:pt idx="1">
                  <c:v>Test 1 vs. Test 2</c:v>
                </c:pt>
                <c:pt idx="2">
                  <c:v>Age ≥ 50 vs. 30–49 years</c:v>
                </c:pt>
                <c:pt idx="3">
                  <c:v>Male vs. female</c:v>
                </c:pt>
                <c:pt idx="4">
                  <c:v>Body mass index</c:v>
                </c:pt>
                <c:pt idx="5">
                  <c:v>Current smoker</c:v>
                </c:pt>
                <c:pt idx="6">
                  <c:v>Hypertension</c:v>
                </c:pt>
                <c:pt idx="7">
                  <c:v>Cardiovascular disease</c:v>
                </c:pt>
                <c:pt idx="8">
                  <c:v>Chronic hepatitis B</c:v>
                </c:pt>
              </c:strCache>
            </c:strRef>
          </c:cat>
          <c:val>
            <c:numRef>
              <c:f>'PPV for IM'!$E$2:$E$11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1E-448B-B661-3822612BC6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9035776"/>
        <c:axId val="99086720"/>
      </c:barChart>
      <c:scatterChart>
        <c:scatterStyle val="lineMarker"/>
        <c:varyColors val="0"/>
        <c:ser>
          <c:idx val="1"/>
          <c:order val="1"/>
          <c:tx>
            <c:strRef>
              <c:f>'PPV for IM'!$B$1</c:f>
              <c:strCache>
                <c:ptCount val="1"/>
                <c:pt idx="0">
                  <c:v>aOR</c:v>
                </c:pt>
              </c:strCache>
            </c:strRef>
          </c:tx>
          <c:spPr>
            <a:ln w="28575">
              <a:noFill/>
            </a:ln>
          </c:spPr>
          <c:marker>
            <c:symbol val="diamond"/>
            <c:size val="10"/>
            <c:spPr>
              <a:solidFill>
                <a:schemeClr val="tx1"/>
              </a:solidFill>
              <a:ln>
                <a:noFill/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'PPV for IM'!$D$15:$D$22</c:f>
                <c:numCache>
                  <c:formatCode>General</c:formatCode>
                  <c:ptCount val="8"/>
                  <c:pt idx="0">
                    <c:v>1.2</c:v>
                  </c:pt>
                  <c:pt idx="1">
                    <c:v>28.599999999999998</c:v>
                  </c:pt>
                  <c:pt idx="2">
                    <c:v>2.73</c:v>
                  </c:pt>
                  <c:pt idx="3">
                    <c:v>0.10000000000000009</c:v>
                  </c:pt>
                  <c:pt idx="4">
                    <c:v>3.4099999999999997</c:v>
                  </c:pt>
                  <c:pt idx="5">
                    <c:v>0.76000000000000012</c:v>
                  </c:pt>
                  <c:pt idx="6">
                    <c:v>9.25</c:v>
                  </c:pt>
                  <c:pt idx="7">
                    <c:v>1.4000000000000001</c:v>
                  </c:pt>
                </c:numCache>
              </c:numRef>
            </c:plus>
            <c:minus>
              <c:numRef>
                <c:f>'PPV for IM'!$C$15:$C$22</c:f>
                <c:numCache>
                  <c:formatCode>General</c:formatCode>
                  <c:ptCount val="8"/>
                  <c:pt idx="0">
                    <c:v>0.6</c:v>
                  </c:pt>
                  <c:pt idx="1">
                    <c:v>6.79</c:v>
                  </c:pt>
                  <c:pt idx="2">
                    <c:v>1.22</c:v>
                  </c:pt>
                  <c:pt idx="3">
                    <c:v>8.9999999999999969E-2</c:v>
                  </c:pt>
                  <c:pt idx="4">
                    <c:v>1.53</c:v>
                  </c:pt>
                  <c:pt idx="5">
                    <c:v>0.31999999999999995</c:v>
                  </c:pt>
                  <c:pt idx="6">
                    <c:v>3.8000000000000003</c:v>
                  </c:pt>
                  <c:pt idx="7">
                    <c:v>0.33999999999999997</c:v>
                  </c:pt>
                </c:numCache>
              </c:numRef>
            </c:minus>
            <c:spPr>
              <a:ln w="22225">
                <a:solidFill>
                  <a:sysClr val="windowText" lastClr="000000"/>
                </a:solidFill>
              </a:ln>
            </c:spPr>
          </c:errBars>
          <c:xVal>
            <c:numRef>
              <c:f>'PPV for IM'!$B$3:$B$10</c:f>
              <c:numCache>
                <c:formatCode>General</c:formatCode>
                <c:ptCount val="8"/>
                <c:pt idx="0" formatCode="0.00_ ">
                  <c:v>1.2</c:v>
                </c:pt>
                <c:pt idx="1">
                  <c:v>8.91</c:v>
                </c:pt>
                <c:pt idx="2" formatCode="0.00_ ">
                  <c:v>2.23</c:v>
                </c:pt>
                <c:pt idx="3">
                  <c:v>1.02</c:v>
                </c:pt>
                <c:pt idx="4">
                  <c:v>2.77</c:v>
                </c:pt>
                <c:pt idx="5">
                  <c:v>0.56999999999999995</c:v>
                </c:pt>
                <c:pt idx="6">
                  <c:v>6.44</c:v>
                </c:pt>
                <c:pt idx="7">
                  <c:v>0.44</c:v>
                </c:pt>
              </c:numCache>
            </c:numRef>
          </c:xVal>
          <c:yVal>
            <c:numRef>
              <c:f>'PPV for IM'!$E$3:$E$10</c:f>
              <c:numCache>
                <c:formatCode>General</c:formatCode>
                <c:ptCount val="8"/>
                <c:pt idx="0">
                  <c:v>8</c:v>
                </c:pt>
                <c:pt idx="1">
                  <c:v>7</c:v>
                </c:pt>
                <c:pt idx="2">
                  <c:v>6</c:v>
                </c:pt>
                <c:pt idx="3">
                  <c:v>5</c:v>
                </c:pt>
                <c:pt idx="4">
                  <c:v>4</c:v>
                </c:pt>
                <c:pt idx="5">
                  <c:v>3</c:v>
                </c:pt>
                <c:pt idx="6">
                  <c:v>2</c:v>
                </c:pt>
                <c:pt idx="7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01E-448B-B661-3822612BC639}"/>
            </c:ext>
          </c:extLst>
        </c:ser>
        <c:ser>
          <c:idx val="2"/>
          <c:order val="2"/>
          <c:tx>
            <c:strRef>
              <c:f>'PPV for IM'!$F$1</c:f>
              <c:strCache>
                <c:ptCount val="1"/>
                <c:pt idx="0">
                  <c:v>adjusted odds ratio (95% CI)</c:v>
                </c:pt>
              </c:strCache>
            </c:strRef>
          </c:tx>
          <c:spPr>
            <a:ln w="28575">
              <a:noFill/>
            </a:ln>
          </c:spPr>
          <c:marker>
            <c:symbol val="none"/>
          </c:marker>
          <c:dLbls>
            <c:dLbl>
              <c:idx val="1"/>
              <c:layout>
                <c:manualLayout>
                  <c:x val="0.16820986873771479"/>
                  <c:y val="7.4280408542246983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01E-448B-B661-3822612BC639}"/>
                </c:ext>
              </c:extLst>
            </c:dLbl>
            <c:dLbl>
              <c:idx val="2"/>
              <c:layout>
                <c:manualLayout>
                  <c:x val="0.15297064291193091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01E-448B-B661-3822612BC639}"/>
                </c:ext>
              </c:extLst>
            </c:dLbl>
            <c:dLbl>
              <c:idx val="3"/>
              <c:layout>
                <c:manualLayout>
                  <c:x val="0.14178243359273382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01E-448B-B661-3822612BC639}"/>
                </c:ext>
              </c:extLst>
            </c:dLbl>
            <c:dLbl>
              <c:idx val="4"/>
              <c:layout>
                <c:manualLayout>
                  <c:x val="0.13368053728120388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01E-448B-B661-3822612BC639}"/>
                </c:ext>
              </c:extLst>
            </c:dLbl>
            <c:dLbl>
              <c:idx val="5"/>
              <c:layout>
                <c:manualLayout>
                  <c:x val="0.12866509067898477"/>
                  <c:y val="-7.4280408542246983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01E-448B-B661-3822612BC639}"/>
                </c:ext>
              </c:extLst>
            </c:dLbl>
            <c:dLbl>
              <c:idx val="6"/>
              <c:layout>
                <c:manualLayout>
                  <c:x val="0.12152776116473081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01E-448B-B661-3822612BC639}"/>
                </c:ext>
              </c:extLst>
            </c:dLbl>
            <c:dLbl>
              <c:idx val="7"/>
              <c:layout>
                <c:manualLayout>
                  <c:x val="0.11747688135978765"/>
                  <c:y val="-1.0644908940713579E-4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01E-448B-B661-3822612BC639}"/>
                </c:ext>
              </c:extLst>
            </c:dLbl>
            <c:dLbl>
              <c:idx val="8"/>
              <c:layout>
                <c:manualLayout>
                  <c:x val="0.11342586485320089"/>
                  <c:y val="-3.7140204271123491E-3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01E-448B-B661-3822612BC63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strRef>
              <c:f>'PPV for IM'!$F$2:$F$11</c:f>
              <c:strCache>
                <c:ptCount val="9"/>
                <c:pt idx="1">
                  <c:v>1.20 (0.60-2.40)</c:v>
                </c:pt>
                <c:pt idx="2">
                  <c:v>8.91 (2.12-37.51)</c:v>
                </c:pt>
                <c:pt idx="3">
                  <c:v>2.23 (1.01-4.96)</c:v>
                </c:pt>
                <c:pt idx="4">
                  <c:v>1.02 (0.93-1.12)</c:v>
                </c:pt>
                <c:pt idx="5">
                  <c:v>2.77 (1.24-6.18)</c:v>
                </c:pt>
                <c:pt idx="6">
                  <c:v>0.57 (0.25-1.33)</c:v>
                </c:pt>
                <c:pt idx="7">
                  <c:v>6.44 (2.64-15.69)</c:v>
                </c:pt>
                <c:pt idx="8">
                  <c:v>0.44 (0.10-1.84)</c:v>
                </c:pt>
              </c:strCache>
            </c:strRef>
          </c:xVal>
          <c:yVal>
            <c:numRef>
              <c:f>'PPV for IM'!$E$2:$E$11</c:f>
              <c:numCache>
                <c:formatCode>General</c:formatCode>
                <c:ptCount val="10"/>
                <c:pt idx="1">
                  <c:v>8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A-E01E-448B-B661-3822612BC6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9089792"/>
        <c:axId val="99088256"/>
      </c:scatterChart>
      <c:catAx>
        <c:axId val="99035776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low"/>
        <c:spPr>
          <a:ln/>
        </c:spPr>
        <c:crossAx val="99086720"/>
        <c:crosses val="autoZero"/>
        <c:auto val="1"/>
        <c:lblAlgn val="ctr"/>
        <c:lblOffset val="100"/>
        <c:noMultiLvlLbl val="0"/>
      </c:catAx>
      <c:valAx>
        <c:axId val="99086720"/>
        <c:scaling>
          <c:logBase val="10"/>
          <c:orientation val="minMax"/>
          <c:min val="1.0000000000000002E-2"/>
        </c:scaling>
        <c:delete val="0"/>
        <c:axPos val="b"/>
        <c:numFmt formatCode="General" sourceLinked="1"/>
        <c:majorTickMark val="out"/>
        <c:minorTickMark val="in"/>
        <c:tickLblPos val="nextTo"/>
        <c:crossAx val="99035776"/>
        <c:crosses val="max"/>
        <c:crossBetween val="midCat"/>
      </c:valAx>
      <c:valAx>
        <c:axId val="99088256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99089792"/>
        <c:crosses val="max"/>
        <c:crossBetween val="midCat"/>
      </c:valAx>
      <c:valAx>
        <c:axId val="99089792"/>
        <c:scaling>
          <c:logBase val="10"/>
          <c:orientation val="minMax"/>
        </c:scaling>
        <c:delete val="1"/>
        <c:axPos val="b"/>
        <c:numFmt formatCode="0.00_ " sourceLinked="1"/>
        <c:majorTickMark val="out"/>
        <c:minorTickMark val="none"/>
        <c:tickLblPos val="nextTo"/>
        <c:crossAx val="99088256"/>
        <c:crosses val="autoZero"/>
        <c:crossBetween val="midCat"/>
      </c:valAx>
      <c:spPr>
        <a:noFill/>
        <a:ln w="19050">
          <a:solidFill>
            <a:srgbClr val="969696"/>
          </a:solidFill>
        </a:ln>
      </c:spPr>
    </c:plotArea>
    <c:plotVisOnly val="1"/>
    <c:dispBlanksAs val="gap"/>
    <c:showDLblsOverMax val="0"/>
  </c:chart>
  <c:spPr>
    <a:solidFill>
      <a:sysClr val="window" lastClr="FFFFFF"/>
    </a:solidFill>
    <a:ln>
      <a:noFill/>
    </a:ln>
  </c:spPr>
  <c:txPr>
    <a:bodyPr/>
    <a:lstStyle/>
    <a:p>
      <a:pPr>
        <a:defRPr sz="1200"/>
      </a:pPr>
      <a:endParaRPr lang="zh-TW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0.75</cdr:x>
      <cdr:y>0.02292</cdr:y>
    </cdr:from>
    <cdr:to>
      <cdr:x>0.9294</cdr:x>
      <cdr:y>0.11175</cdr:y>
    </cdr:to>
    <cdr:sp macro="" textlink="">
      <cdr:nvSpPr>
        <cdr:cNvPr id="4" name="文字方塊 3"/>
        <cdr:cNvSpPr txBox="1"/>
      </cdr:nvSpPr>
      <cdr:spPr>
        <a:xfrm xmlns:a="http://schemas.openxmlformats.org/drawingml/2006/main">
          <a:off x="6172199" y="76200"/>
          <a:ext cx="147637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altLang="zh-TW" sz="1100" b="1">
              <a:effectLst/>
              <a:latin typeface="+mn-lt"/>
              <a:ea typeface="+mn-ea"/>
              <a:cs typeface="+mn-cs"/>
            </a:rPr>
            <a:t>Adjusted odds ratio (95%CI)</a:t>
          </a:r>
          <a:endParaRPr lang="zh-TW" altLang="zh-TW">
            <a:effectLst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0.75</cdr:x>
      <cdr:y>0.02292</cdr:y>
    </cdr:from>
    <cdr:to>
      <cdr:x>0.9294</cdr:x>
      <cdr:y>0.11175</cdr:y>
    </cdr:to>
    <cdr:sp macro="" textlink="">
      <cdr:nvSpPr>
        <cdr:cNvPr id="4" name="文字方塊 3"/>
        <cdr:cNvSpPr txBox="1"/>
      </cdr:nvSpPr>
      <cdr:spPr>
        <a:xfrm xmlns:a="http://schemas.openxmlformats.org/drawingml/2006/main">
          <a:off x="6172199" y="76200"/>
          <a:ext cx="147637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altLang="zh-TW" sz="1100" b="1">
              <a:effectLst/>
              <a:latin typeface="+mn-lt"/>
              <a:ea typeface="+mn-ea"/>
              <a:cs typeface="+mn-cs"/>
            </a:rPr>
            <a:t>Adjusted odds ratio (95%CI)</a:t>
          </a:r>
          <a:endParaRPr lang="zh-TW" altLang="zh-TW">
            <a:effectLst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0.75</cdr:x>
      <cdr:y>0.02292</cdr:y>
    </cdr:from>
    <cdr:to>
      <cdr:x>0.9294</cdr:x>
      <cdr:y>0.11175</cdr:y>
    </cdr:to>
    <cdr:sp macro="" textlink="">
      <cdr:nvSpPr>
        <cdr:cNvPr id="4" name="文字方塊 3"/>
        <cdr:cNvSpPr txBox="1"/>
      </cdr:nvSpPr>
      <cdr:spPr>
        <a:xfrm xmlns:a="http://schemas.openxmlformats.org/drawingml/2006/main">
          <a:off x="6172199" y="76200"/>
          <a:ext cx="1476375" cy="295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US" altLang="zh-TW" sz="1100" b="1">
              <a:effectLst/>
              <a:latin typeface="+mn-lt"/>
              <a:ea typeface="+mn-ea"/>
              <a:cs typeface="+mn-cs"/>
            </a:rPr>
            <a:t>Adjusted odds ratio (95%CI)</a:t>
          </a:r>
          <a:endParaRPr lang="zh-TW" altLang="zh-TW">
            <a:effectLst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3</cp:revision>
  <dcterms:created xsi:type="dcterms:W3CDTF">2022-01-03T00:14:00Z</dcterms:created>
  <dcterms:modified xsi:type="dcterms:W3CDTF">2022-01-03T00:39:00Z</dcterms:modified>
</cp:coreProperties>
</file>