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3E8E8" w14:textId="5CC53944" w:rsidR="003F7994" w:rsidRDefault="003F7994" w:rsidP="003F7994">
      <w:pPr>
        <w:pStyle w:val="Caption"/>
        <w:keepNext/>
      </w:pPr>
      <w:r>
        <w:t xml:space="preserve">Supplementary </w:t>
      </w:r>
      <w:bookmarkStart w:id="0" w:name="_GoBack"/>
      <w:r>
        <w:t xml:space="preserve">Table </w:t>
      </w:r>
      <w:r>
        <w:rPr>
          <w:noProof/>
        </w:rPr>
        <w:t>1</w:t>
      </w:r>
      <w:r>
        <w:t xml:space="preserve"> </w:t>
      </w:r>
      <w:bookmarkEnd w:id="0"/>
      <w:r w:rsidRPr="00901586">
        <w:t>Evidence table of studies exploring the utility of intestinal fatty acid binding protein as a biomarker of disease activity in patients with coeliac disease and inflammatory bowel disease</w:t>
      </w:r>
    </w:p>
    <w:tbl>
      <w:tblPr>
        <w:tblStyle w:val="PlainTable412"/>
        <w:tblW w:w="16307" w:type="dxa"/>
        <w:tblInd w:w="-1134" w:type="dxa"/>
        <w:tblLook w:val="04A0" w:firstRow="1" w:lastRow="0" w:firstColumn="1" w:lastColumn="0" w:noHBand="0" w:noVBand="1"/>
      </w:tblPr>
      <w:tblGrid>
        <w:gridCol w:w="1351"/>
        <w:gridCol w:w="2193"/>
        <w:gridCol w:w="1418"/>
        <w:gridCol w:w="2542"/>
        <w:gridCol w:w="2348"/>
        <w:gridCol w:w="6455"/>
      </w:tblGrid>
      <w:tr w:rsidR="000F0DE4" w:rsidRPr="000F0DE4" w14:paraId="275D98E9" w14:textId="77777777" w:rsidTr="005825C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51" w:type="dxa"/>
            <w:tcBorders>
              <w:top w:val="single" w:sz="4" w:space="0" w:color="auto"/>
              <w:left w:val="nil"/>
              <w:bottom w:val="single" w:sz="4" w:space="0" w:color="auto"/>
              <w:right w:val="nil"/>
            </w:tcBorders>
            <w:hideMark/>
          </w:tcPr>
          <w:p w14:paraId="4E36D62B"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Study</w:t>
            </w:r>
          </w:p>
        </w:tc>
        <w:tc>
          <w:tcPr>
            <w:tcW w:w="2193" w:type="dxa"/>
            <w:tcBorders>
              <w:top w:val="single" w:sz="4" w:space="0" w:color="auto"/>
              <w:left w:val="nil"/>
              <w:bottom w:val="single" w:sz="4" w:space="0" w:color="auto"/>
              <w:right w:val="nil"/>
            </w:tcBorders>
            <w:hideMark/>
          </w:tcPr>
          <w:p w14:paraId="28C31826" w14:textId="77777777" w:rsidR="000F0DE4" w:rsidRPr="000F0DE4" w:rsidRDefault="000F0DE4" w:rsidP="000F0DE4">
            <w:pPr>
              <w:cnfStyle w:val="100000000000" w:firstRow="1"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Study participants</w:t>
            </w:r>
          </w:p>
        </w:tc>
        <w:tc>
          <w:tcPr>
            <w:tcW w:w="1418" w:type="dxa"/>
            <w:tcBorders>
              <w:top w:val="single" w:sz="4" w:space="0" w:color="auto"/>
              <w:left w:val="nil"/>
              <w:bottom w:val="single" w:sz="4" w:space="0" w:color="auto"/>
              <w:right w:val="nil"/>
            </w:tcBorders>
          </w:tcPr>
          <w:p w14:paraId="5F822C31" w14:textId="77777777" w:rsidR="000F0DE4" w:rsidRPr="000F0DE4" w:rsidRDefault="000F0DE4" w:rsidP="000F0DE4">
            <w:pPr>
              <w:cnfStyle w:val="100000000000" w:firstRow="1"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Study age group</w:t>
            </w:r>
          </w:p>
        </w:tc>
        <w:tc>
          <w:tcPr>
            <w:tcW w:w="2542" w:type="dxa"/>
            <w:tcBorders>
              <w:top w:val="single" w:sz="4" w:space="0" w:color="auto"/>
              <w:left w:val="nil"/>
              <w:bottom w:val="single" w:sz="4" w:space="0" w:color="auto"/>
              <w:right w:val="nil"/>
            </w:tcBorders>
            <w:hideMark/>
          </w:tcPr>
          <w:p w14:paraId="1FE62B18" w14:textId="77777777" w:rsidR="000F0DE4" w:rsidRPr="000F0DE4" w:rsidRDefault="000F0DE4" w:rsidP="000F0DE4">
            <w:pPr>
              <w:cnfStyle w:val="100000000000" w:firstRow="1"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Subject characteristics</w:t>
            </w:r>
          </w:p>
        </w:tc>
        <w:tc>
          <w:tcPr>
            <w:tcW w:w="2348" w:type="dxa"/>
            <w:tcBorders>
              <w:top w:val="single" w:sz="4" w:space="0" w:color="auto"/>
              <w:left w:val="nil"/>
              <w:bottom w:val="single" w:sz="4" w:space="0" w:color="auto"/>
              <w:right w:val="nil"/>
            </w:tcBorders>
            <w:hideMark/>
          </w:tcPr>
          <w:p w14:paraId="5C1002A5" w14:textId="77777777" w:rsidR="000F0DE4" w:rsidRPr="000F0DE4" w:rsidRDefault="000F0DE4" w:rsidP="000F0DE4">
            <w:pPr>
              <w:cnfStyle w:val="100000000000" w:firstRow="1"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Methods</w:t>
            </w:r>
          </w:p>
        </w:tc>
        <w:tc>
          <w:tcPr>
            <w:tcW w:w="6455" w:type="dxa"/>
            <w:tcBorders>
              <w:top w:val="single" w:sz="4" w:space="0" w:color="auto"/>
              <w:left w:val="nil"/>
              <w:bottom w:val="single" w:sz="4" w:space="0" w:color="auto"/>
              <w:right w:val="nil"/>
            </w:tcBorders>
            <w:hideMark/>
          </w:tcPr>
          <w:p w14:paraId="6D42665B" w14:textId="77777777" w:rsidR="000F0DE4" w:rsidRPr="000F0DE4" w:rsidRDefault="000F0DE4" w:rsidP="000F0DE4">
            <w:pPr>
              <w:cnfStyle w:val="100000000000" w:firstRow="1"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Results</w:t>
            </w:r>
          </w:p>
        </w:tc>
      </w:tr>
      <w:tr w:rsidR="000F0DE4" w:rsidRPr="000F0DE4" w14:paraId="7E74F273"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tcBorders>
              <w:left w:val="nil"/>
              <w:bottom w:val="nil"/>
              <w:right w:val="nil"/>
            </w:tcBorders>
          </w:tcPr>
          <w:p w14:paraId="4CBFF331"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Ho 2020</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{"citationItems":[{"id":"ITEM-1","itemData":{"DOI":"10.1159/000510682","abstract":"Introduction: Although collecting faeces and blood samples are considered non-invasive methods of monitoring Crohn's disease (CD), these methods are less preferred by some patients. This study utilized urine as an alternative to evaluate four disease biomarkers in young adults with active CD before and after exclusive enteral nutrition (EEN) therapy. Methods: Urine samples collected at baseline (W0) and after 8 weeks (W8) of EEN therapy were assayed by ELISA for levels of intestinal fatty acid-binding protein (I-FABP), liver fatty acid binding protein (L-FABP), claudin-3, and calprotectin. Levels of each biomarker were also compared with standard clinical parameters, including disease indexes, nutrient, and inflammatory markers. Results: Of the paired urine samples from 14 patients, 10 were female and 12 were newly diagnosed with CD. Urinary I-FABP:Cr (standardized to urine Cr) levels were significantly reduced, while urinary L-FABP:Cr levels increased following EEN therapy. Urinary L-FABP:Cr correlated positively with serum insulin-like growth factor 1 (IGF-1) (r = 0.60, p = 0.02). Urinary CLND3:Cr and calprotectin:Cr levels were not significantly different after treatment. Conclusion: I-FABP is a potential urinary biomarker of disease activity in adults with CD, while urinary L-FABP may be an indirect marker of nutritional status in adults with CD. CLND3 and calprotectin do not appear to have roles as urinary bio-markers in CD. These findings warrant further investigations using a larger sample size.","author":[{"dropping-particle":"","family":"Ho","given":"Shaun S","non-dropping-particle":"","parse-names":false,"suffix":""},{"dropping-particle":"","family":"Wall","given":"Catherine","non-dropping-particle":"","parse-names":false,"suffix":""},{"dropping-particle":"","family":"Gearry","given":"Richard B","non-dropping-particle":"","parse-names":false,"suffix":""},{"dropping-particle":"","family":"Keenan","given":"Jacqueline","non-dropping-particle":"","parse-names":false,"suffix":""},{"dropping-particle":"","family":"Day","given":"Andrew S","non-dropping-particle":"","parse-names":false,"suffix":""}],"container-title":"Inflamm Intest Dis","id":"ITEM-1","issued":{"date-parts":[["2020"]]},"page":"212-219","title":"A Pilot Study Evaluating Novel Urinary Biomarkers for Crohn's Disease","type":"article-journal","volume":"5"},"uris":["http://www.mendeley.com/documents/?uuid=a017869a-d0a9-39a6-888c-d34be136c401"]}],"mendeley":{"formattedCitation":"&lt;sup&gt;15&lt;/sup&gt;","plainTextFormattedCitation":"15","previouslyFormattedCitation":"&lt;sup&gt;15&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15</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Borders>
              <w:left w:val="nil"/>
              <w:bottom w:val="nil"/>
              <w:right w:val="nil"/>
            </w:tcBorders>
          </w:tcPr>
          <w:p w14:paraId="7AE182C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changes in urinary iFABP &amp; L-FABP concentrations in patients with Crohn’s during treatment with EEN</w:t>
            </w:r>
          </w:p>
        </w:tc>
        <w:tc>
          <w:tcPr>
            <w:tcW w:w="1418" w:type="dxa"/>
            <w:tcBorders>
              <w:left w:val="nil"/>
              <w:bottom w:val="nil"/>
              <w:right w:val="nil"/>
            </w:tcBorders>
          </w:tcPr>
          <w:p w14:paraId="38620BC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Borders>
              <w:left w:val="nil"/>
              <w:bottom w:val="nil"/>
              <w:right w:val="nil"/>
            </w:tcBorders>
          </w:tcPr>
          <w:p w14:paraId="246B30F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Crohn’s: 14</w:t>
            </w:r>
          </w:p>
        </w:tc>
        <w:tc>
          <w:tcPr>
            <w:tcW w:w="2348" w:type="dxa"/>
            <w:tcBorders>
              <w:left w:val="nil"/>
              <w:bottom w:val="nil"/>
              <w:right w:val="nil"/>
            </w:tcBorders>
          </w:tcPr>
          <w:p w14:paraId="3F41E20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iFABP &amp; L-FABP (Hycult Biotech),</w:t>
            </w:r>
          </w:p>
          <w:p w14:paraId="5D89C54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CLDN-3,</w:t>
            </w:r>
          </w:p>
          <w:p w14:paraId="0962AD6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CLDN-3,</w:t>
            </w:r>
          </w:p>
          <w:p w14:paraId="29A33C7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BMI, </w:t>
            </w:r>
          </w:p>
          <w:p w14:paraId="7654226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HBI,</w:t>
            </w:r>
          </w:p>
          <w:p w14:paraId="14B7F26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CDAI,</w:t>
            </w:r>
          </w:p>
          <w:p w14:paraId="6FDC1DE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serum IGF-1,</w:t>
            </w:r>
          </w:p>
          <w:p w14:paraId="6A75279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CRP,</w:t>
            </w:r>
          </w:p>
          <w:p w14:paraId="2B7D076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 xml:space="preserve">ESR, </w:t>
            </w:r>
          </w:p>
          <w:p w14:paraId="7691C6B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FC</w:t>
            </w:r>
          </w:p>
        </w:tc>
        <w:tc>
          <w:tcPr>
            <w:tcW w:w="6455" w:type="dxa"/>
            <w:tcBorders>
              <w:left w:val="nil"/>
              <w:bottom w:val="nil"/>
              <w:right w:val="nil"/>
            </w:tcBorders>
          </w:tcPr>
          <w:p w14:paraId="5180710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iFABP decreased significantly during EEN (median [Q1, Q3], 0wk EEN: 55.7 ng/g [15.1, 84.1] vs 8wk EEN: 11.7 ng/g [7.8, 34.5], p=0.03)</w:t>
            </w:r>
          </w:p>
          <w:p w14:paraId="477E108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A4E1C0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correlation between urinary iFABP &amp; HBI, CDAI, serum IGF-1, CRP, ESR, or FC</w:t>
            </w:r>
          </w:p>
          <w:p w14:paraId="31974AA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1418F03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L-FABP decreased significantly during EEN (median [Q1, Q3], 0wk EEN: 6.6 μg/g [3.8, 14.6] vs 11.1 μg/g [6.1, 22.0], p=0.03)</w:t>
            </w:r>
          </w:p>
          <w:p w14:paraId="1BC55E1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DB7F4A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Positive correlation between L-FABP levels &amp; serum IGF-1 levels (Spearman’s rho=0.60, p=0.02). No other significant correlation between urinary L-FABP and HBI, CDAI, CRP, ESR, or FC</w:t>
            </w:r>
          </w:p>
          <w:p w14:paraId="153138A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1C5843D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change in urinary CLDN-3 concentrations during EEN (median [Q1, Q3], 0wk EEN: 1.4 μg/g [1.1, 2.7] vs 8wk EEN: 1.3 μg/g [0.8, 2.1], p&gt;0.05)</w:t>
            </w:r>
          </w:p>
          <w:p w14:paraId="012FD77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2369BED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correlation between urinary CLDN-3 &amp; HBI, CDAI, serum IGF-1, CRP, ESR, or FC</w:t>
            </w:r>
          </w:p>
          <w:p w14:paraId="2ACAB99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E3F7EE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calprotectin levels did not significantly change during EEN (median [Q1, Q3], 0wk EEN: 615.0 μg/g [194.9, 1,535] vs 8wk EEN: 591.1 μg/g [125.9, 1,811], p&gt;0.05</w:t>
            </w:r>
          </w:p>
          <w:p w14:paraId="24F47BB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5239D23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Urinary calprotectin levels did not correlate with FC (Spearman’s rho=0.002, p=0.99)</w:t>
            </w:r>
          </w:p>
          <w:p w14:paraId="0F42B2E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CD5BB0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correlation between urinary calprotectin &amp; HBI, CDAI, serum IGF-1, CRP, ESR, or FC</w:t>
            </w:r>
          </w:p>
        </w:tc>
      </w:tr>
      <w:tr w:rsidR="000F0DE4" w:rsidRPr="000F0DE4" w14:paraId="42B8F7B5" w14:textId="77777777" w:rsidTr="005825C7">
        <w:tc>
          <w:tcPr>
            <w:cnfStyle w:val="001000000000" w:firstRow="0" w:lastRow="0" w:firstColumn="1" w:lastColumn="0" w:oddVBand="0" w:evenVBand="0" w:oddHBand="0" w:evenHBand="0" w:firstRowFirstColumn="0" w:firstRowLastColumn="0" w:lastRowFirstColumn="0" w:lastRowLastColumn="0"/>
            <w:tcW w:w="1351" w:type="dxa"/>
            <w:tcBorders>
              <w:left w:val="nil"/>
              <w:bottom w:val="nil"/>
              <w:right w:val="nil"/>
            </w:tcBorders>
          </w:tcPr>
          <w:p w14:paraId="67863018"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Oldenburger 2018</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{"citationItems":[{"id":"ITEM-1","itemData":{"DOI":"10.1111/apm.12800","ISSN":"16000463","PMID":"29383769","abstract":"Current diagnostic guidelines for celiac disease (CD) in pediatric patients require a duodenal biopsy if the IgA anti-tissue transglutaminase (tTG) is below 10x the upper limit of normal (ULN). Additional markers may enable a noninvasive diagnosis in this group. Serum intestinal-fatty acid-binding protein (I-FABP), a marker for intestinal epithelial damage, could be useful in this respect. A total of 95 children with a clinical suspicion of CD and tTG 1-10x ULN were investigated. All had a duodenal biopsy and analysis of serum I-FABP. A control group of 161 children with familial short stature and normal tTG was included. I-FABP levels in the 71 patients with tTG 1-10x ULN and biopsy-proven CD (median 725 pg/mL) were not significantly different (p = 0.13) from the levels in the 24 patients with a tTG 1-10x ULN but a normal biopsy (median 497 pg/mL). However, when combining tTG and I-FABP levels, 11/24 patients could have been diagnosed noninvasively if tTG is &gt;/= 50 U/mL and I-FABP &gt;/=880 pg/mL or in 12/19 patients if tTG is &gt;/= 60 U/mL and I-FABP &gt;/= 620 pg/mL. Therefore, addition of I-FABP to the diagnostic procedure of CD may provide a noninvasive diagnosis in patients with a tTG &gt;/= 50 U/mL.","author":[{"dropping-particle":"","family":"Oldenburger","given":"Irene B.","non-dropping-particle":"","parse-names":false,"suffix":""},{"dropping-particle":"","family":"Wolters","given":"Victorien M.","non-dropping-particle":"","parse-names":false,"suffix":""},{"dropping-particle":"","family":"Kardol-Hoefnagel","given":"Tineke","non-dropping-particle":"","parse-names":false,"suffix":""},{"dropping-particle":"","family":"Houwen","given":"Roderick H.J.","non-dropping-particle":"","parse-names":false,"suffix":""},{"dropping-particle":"","family":"Otten","given":"Henny G.","non-dropping-particle":"","parse-names":false,"suffix":""}],"container-title":"Apmis","id":"ITEM-1","issue":"3","issued":{"date-parts":[["2018"]]},"page":"186-190","title":"Serum intestinal fatty acid–binding protein in the noninvasive diagnosis of celiac disease","type":"article-journal","volume":"126"},"uris":["http://www.mendeley.com/documents/?uuid=f32b12c3-24d4-44df-97b5-1c71e612193f"]}],"mendeley":{"formattedCitation":"&lt;sup&gt;16&lt;/sup&gt;","plainTextFormattedCitation":"16","previouslyFormattedCitation":"&lt;sup&gt;16&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16</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Borders>
              <w:left w:val="nil"/>
              <w:bottom w:val="nil"/>
              <w:right w:val="nil"/>
            </w:tcBorders>
          </w:tcPr>
          <w:p w14:paraId="21EFEE8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Group A: </w:t>
            </w:r>
          </w:p>
          <w:p w14:paraId="0C9F44E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Patients with suspected Coeliac (TGA between 1-10x ULN, and </w:t>
            </w:r>
          </w:p>
          <w:p w14:paraId="552430A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expressed HLA DQ2 and/or DQ8)</w:t>
            </w:r>
          </w:p>
          <w:p w14:paraId="686B80D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7F3A697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Group B:</w:t>
            </w:r>
          </w:p>
          <w:p w14:paraId="7EED886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with small stature</w:t>
            </w:r>
          </w:p>
        </w:tc>
        <w:tc>
          <w:tcPr>
            <w:tcW w:w="1418" w:type="dxa"/>
            <w:tcBorders>
              <w:left w:val="nil"/>
              <w:bottom w:val="nil"/>
              <w:right w:val="nil"/>
            </w:tcBorders>
          </w:tcPr>
          <w:p w14:paraId="7997711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Paediatrics</w:t>
            </w:r>
          </w:p>
        </w:tc>
        <w:tc>
          <w:tcPr>
            <w:tcW w:w="2542" w:type="dxa"/>
            <w:tcBorders>
              <w:left w:val="nil"/>
              <w:bottom w:val="nil"/>
              <w:right w:val="nil"/>
            </w:tcBorders>
          </w:tcPr>
          <w:p w14:paraId="41D9B7A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Group A: 95 (Coeliac: 71, normal biopsy non-Coeliac: 24)</w:t>
            </w:r>
          </w:p>
          <w:p w14:paraId="58673BB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Group B: 161 Controls</w:t>
            </w:r>
          </w:p>
        </w:tc>
        <w:tc>
          <w:tcPr>
            <w:tcW w:w="2348" w:type="dxa"/>
            <w:tcBorders>
              <w:left w:val="nil"/>
              <w:bottom w:val="nil"/>
              <w:right w:val="nil"/>
            </w:tcBorders>
          </w:tcPr>
          <w:p w14:paraId="0B6B92B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(Hycult Biotech),</w:t>
            </w:r>
          </w:p>
          <w:p w14:paraId="38E8FE4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IgA TGA,</w:t>
            </w:r>
          </w:p>
          <w:p w14:paraId="5D70BF2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IgA EMA,</w:t>
            </w:r>
          </w:p>
          <w:p w14:paraId="49629D6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b/>
                <w:bCs/>
                <w:sz w:val="16"/>
                <w:szCs w:val="16"/>
                <w:lang w:eastAsia="en-US"/>
              </w:rPr>
            </w:pPr>
            <w:r w:rsidRPr="000F0DE4">
              <w:rPr>
                <w:rFonts w:eastAsia="DengXian"/>
                <w:sz w:val="16"/>
                <w:szCs w:val="16"/>
                <w:lang w:eastAsia="en-US"/>
              </w:rPr>
              <w:t>HLA-DQA1 and -DQB1 allele typing</w:t>
            </w:r>
          </w:p>
        </w:tc>
        <w:tc>
          <w:tcPr>
            <w:tcW w:w="6455" w:type="dxa"/>
            <w:tcBorders>
              <w:left w:val="nil"/>
              <w:bottom w:val="nil"/>
              <w:right w:val="nil"/>
            </w:tcBorders>
          </w:tcPr>
          <w:p w14:paraId="673C540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71 patients in group A subsequently diagnosed with Coeliac. The remaining 24 did not have Coeliac upon endoscopy</w:t>
            </w:r>
          </w:p>
          <w:p w14:paraId="1070567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0B165A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Histologically proven Coeliac patients had higher median iFABP concentrations vs HC (median [Q1, Q3], Coeliac: 725 pg/mL [Q1: 431, Q3: 1109 pg/mL] vs HC: 263 pg/mL [Q1: 141, Q3: 422], P&lt;0.0001)</w:t>
            </w:r>
          </w:p>
          <w:p w14:paraId="709666E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4F6899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iFABP in patients with normal biopsy was significantly higher vs Controls (median [Q1, Q3], normal biopsy non-Coeliac: 497 pg/mL [Q1: 357, Q3: 826] vs HC, P&lt;0.0001)</w:t>
            </w:r>
          </w:p>
          <w:p w14:paraId="1108CEB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19EEA45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median iFABP concentrations between Coeliac vs normal biopsy non-Coeliac (P=0.13)</w:t>
            </w:r>
          </w:p>
          <w:p w14:paraId="7324368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F4C184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Stratifying patients through combination of iFABP &amp; TGA levels</w:t>
            </w:r>
          </w:p>
          <w:p w14:paraId="354D449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11/24 (46%) of Coeliac patients could be correctly stratified using iFABP cut-off level of 880 pg/mL in patients with TGA≥50 U/mL</w:t>
            </w:r>
          </w:p>
          <w:p w14:paraId="704C85E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12/19 (63%) of Coeliac patients could be correctly stratified using iFABP cut-off level of 620 pg/mL in patients with TGA≥60 U/mL</w:t>
            </w:r>
          </w:p>
        </w:tc>
      </w:tr>
      <w:tr w:rsidR="000F0DE4" w:rsidRPr="000F0DE4" w14:paraId="5FB4CAA6"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hideMark/>
          </w:tcPr>
          <w:p w14:paraId="4D03B50B"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Al-</w:t>
            </w:r>
            <w:proofErr w:type="spellStart"/>
            <w:r w:rsidRPr="000F0DE4">
              <w:rPr>
                <w:rFonts w:eastAsia="DengXian"/>
                <w:sz w:val="16"/>
                <w:szCs w:val="16"/>
                <w:lang w:eastAsia="en-US"/>
              </w:rPr>
              <w:t>Saffar</w:t>
            </w:r>
            <w:proofErr w:type="spellEnd"/>
            <w:r w:rsidRPr="000F0DE4">
              <w:rPr>
                <w:rFonts w:eastAsia="DengXian"/>
                <w:sz w:val="16"/>
                <w:szCs w:val="16"/>
                <w:lang w:eastAsia="en-US"/>
              </w:rPr>
              <w:t xml:space="preserve"> 2017</w:t>
            </w:r>
            <w:r w:rsidRPr="000F0DE4">
              <w:rPr>
                <w:rFonts w:eastAsia="DengXian"/>
                <w:sz w:val="16"/>
                <w:szCs w:val="16"/>
                <w:vertAlign w:val="superscript"/>
                <w:lang w:eastAsia="en-US"/>
              </w:rPr>
              <w:t xml:space="preserve"> [</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{"citationItems":[{"id":"ITEM-1","itemData":{"DOI":"10.1155/2017/1745918","ISSN":"1687-6121","abstract":"Intestinal fatty acid binding protein (I-FABP) indicates barrier integrity. Aims: determine if I-FABP is elevated in active Crohn’s disease (CD) and if I-FABP parallels anti-TNF α antibody (infliximab) induced lowering of TNF α and Harvey-Bradshaw Index (HBI) as potential indicator of mucosal healing. I-FABP distribution along human gut was determined. Serum from 10 CD patients collected during first three consecutive infliximab treatments with matched pretreatment and follow-up samples one week after each treatment and corresponding HBI data were analyzed. I-FABP reference interval was established from 31 healthy subjects with normal gut permeability. I-FABP and TNF α were measured by ELISA; CRP was measured by nephelometry. Healthy tissue was used for I-FABP immunohistochemistry. Pretreatment CD patient TNF α was 1.6-fold higher than in-house reference interval, while I-FABP was 2.5-fold higher, which lowered at follow-ups. Combining all 30 infusion/follow-up pairs also revealed changes in I-FABP. HBI followed this pattern; CRP declined gradually. I-FABP was expressed in epithelium of stomach, jejunum, ileum, and colon, with the highest expression in jejunum and ileum. I-FABP is elevated in active CD with a magnitude comparable to TNF α . Parallel infliximab effects on TNF α , HBI, and I-FABP were found. I-FABP may be useful as an intestine selective prognostic marker in CD.","author":[{"dropping-particle":"","family":"Al-Saffar","given":"Anas Kh.","non-dropping-particle":"","parse-names":false,"suffix":""},{"dropping-particle":"","family":"Meijer","given":"Carl Hampus","non-dropping-particle":"","parse-names":false,"suffix":""},{"dropping-particle":"","family":"Gannavarapu","given":"Venkata Ram","non-dropping-particle":"","parse-names":false,"suffix":""},{"dropping-particle":"","family":"Hall","given":"Gustav","non-dropping-particle":"","parse-names":false,"suffix":""},{"dropping-particle":"","family":"Li","given":"Yichen","non-dropping-particle":"","parse-names":false,"suffix":""},{"dropping-particle":"","family":"Diaz Tartera","given":"Hetzel O.","non-dropping-particle":"","parse-names":false,"suffix":""},{"dropping-particle":"","family":"Lördal","given":"Mikael","non-dropping-particle":"","parse-names":false,"suffix":""},{"dropping-particle":"","family":"Ljung","given":"Tryggve","non-dropping-particle":"","parse-names":false,"suffix":""},{"dropping-particle":"","family":"Hellström","given":"Per M.","non-dropping-particle":"","parse-names":false,"suffix":""},{"dropping-particle":"","family":"Webb","given":"Dominic-Luc","non-dropping-particle":"","parse-names":false,"suffix":""}],"container-title":"Gastroenterology Research and Practice","id":"ITEM-1","issue":"1745918","issued":{"date-parts":[["2017"]]},"page":"1-8","title":"Parallel Changes in Harvey-Bradshaw Index, TNFa, and Intestinal Fatty Acid Binding Protein in Response to Infliximab in Crohn’s Disease","type":"article-journal"},"uris":["http://www.mendeley.com/documents/?uuid=2b6bdee6-4bb5-3b74-88ff-a0c03e2da209"]}],"mendeley":{"formattedCitation":"&lt;sup&gt;20&lt;/sup&gt;","plainTextFormattedCitation":"20","previouslyFormattedCitation":"&lt;sup&gt;20&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20</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Pr>
          <w:p w14:paraId="22453C1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Longitudinal </w:t>
            </w:r>
          </w:p>
          <w:p w14:paraId="44C8F301" w14:textId="4C4B4C8D"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Existing Crohn’s patients undergoing IFX infusion (5mg/kg/body weight) for maintenance of remission. Repeated serum samples </w:t>
            </w:r>
            <w:r w:rsidRPr="000F0DE4">
              <w:rPr>
                <w:rFonts w:eastAsia="DengXian"/>
                <w:sz w:val="16"/>
                <w:szCs w:val="16"/>
                <w:lang w:eastAsia="en-US"/>
              </w:rPr>
              <w:lastRenderedPageBreak/>
              <w:t xml:space="preserve">obtained 1 </w:t>
            </w:r>
            <w:proofErr w:type="spellStart"/>
            <w:r w:rsidRPr="000F0DE4">
              <w:rPr>
                <w:rFonts w:eastAsia="DengXian"/>
                <w:sz w:val="16"/>
                <w:szCs w:val="16"/>
                <w:lang w:eastAsia="en-US"/>
              </w:rPr>
              <w:t>wk</w:t>
            </w:r>
            <w:proofErr w:type="spellEnd"/>
            <w:r w:rsidRPr="000F0DE4">
              <w:rPr>
                <w:rFonts w:eastAsia="DengXian"/>
                <w:sz w:val="16"/>
                <w:szCs w:val="16"/>
                <w:lang w:eastAsia="en-US"/>
              </w:rPr>
              <w:t xml:space="preserve"> post IFX infusion at 1wk, 3wk, 7wk)</w:t>
            </w:r>
          </w:p>
        </w:tc>
        <w:tc>
          <w:tcPr>
            <w:tcW w:w="1418" w:type="dxa"/>
            <w:hideMark/>
          </w:tcPr>
          <w:p w14:paraId="6C1F572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lastRenderedPageBreak/>
              <w:t>Adults</w:t>
            </w:r>
          </w:p>
        </w:tc>
        <w:tc>
          <w:tcPr>
            <w:tcW w:w="2542" w:type="dxa"/>
          </w:tcPr>
          <w:p w14:paraId="095FAC0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Crohn’s: 10</w:t>
            </w:r>
          </w:p>
          <w:p w14:paraId="3656F37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0C7DAA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Lactulose: mannitol healthy control: 31</w:t>
            </w:r>
          </w:p>
          <w:p w14:paraId="4E1CF7A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8550B6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lastRenderedPageBreak/>
              <w:t>Anti-TNFα healthy comparator group: 61</w:t>
            </w:r>
          </w:p>
        </w:tc>
        <w:tc>
          <w:tcPr>
            <w:tcW w:w="2348" w:type="dxa"/>
            <w:hideMark/>
          </w:tcPr>
          <w:p w14:paraId="01A3F49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lastRenderedPageBreak/>
              <w:t>Serum iFABP (Hycult Biotech),</w:t>
            </w:r>
          </w:p>
          <w:p w14:paraId="09EB343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Lactulose: mannitol ratio,</w:t>
            </w:r>
          </w:p>
          <w:p w14:paraId="1F3E5F3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CRP,</w:t>
            </w:r>
          </w:p>
          <w:p w14:paraId="36D7D2C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ESR,</w:t>
            </w:r>
          </w:p>
          <w:p w14:paraId="10BD0B6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TNF</w:t>
            </w:r>
            <w:bookmarkStart w:id="1" w:name="_Hlk42608201"/>
            <w:r w:rsidRPr="000F0DE4">
              <w:rPr>
                <w:rFonts w:eastAsia="DengXian"/>
                <w:sz w:val="16"/>
                <w:szCs w:val="16"/>
                <w:lang w:eastAsia="en-US"/>
              </w:rPr>
              <w:t>α</w:t>
            </w:r>
            <w:bookmarkEnd w:id="1"/>
            <w:r w:rsidRPr="000F0DE4">
              <w:rPr>
                <w:rFonts w:eastAsia="DengXian"/>
                <w:sz w:val="16"/>
                <w:szCs w:val="16"/>
                <w:lang w:eastAsia="en-US"/>
              </w:rPr>
              <w:t xml:space="preserve"> level,</w:t>
            </w:r>
          </w:p>
          <w:p w14:paraId="3F6BED2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IL6,</w:t>
            </w:r>
          </w:p>
          <w:p w14:paraId="2A76A10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lastRenderedPageBreak/>
              <w:t>Immunohistochemistry,</w:t>
            </w:r>
          </w:p>
          <w:p w14:paraId="240B6C0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HBI</w:t>
            </w:r>
          </w:p>
        </w:tc>
        <w:tc>
          <w:tcPr>
            <w:tcW w:w="6455" w:type="dxa"/>
          </w:tcPr>
          <w:p w14:paraId="653CC32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lastRenderedPageBreak/>
              <w:t>Patients with Crohn’s had increased mean TNF</w:t>
            </w:r>
            <w:bookmarkStart w:id="2" w:name="_Hlk46144947"/>
            <w:r w:rsidRPr="000F0DE4">
              <w:rPr>
                <w:rFonts w:eastAsia="DengXian"/>
                <w:sz w:val="16"/>
                <w:szCs w:val="16"/>
                <w:lang w:eastAsia="en-US"/>
              </w:rPr>
              <w:t>α</w:t>
            </w:r>
            <w:bookmarkEnd w:id="2"/>
            <w:r w:rsidRPr="000F0DE4">
              <w:rPr>
                <w:rFonts w:eastAsia="DengXian"/>
                <w:sz w:val="16"/>
                <w:szCs w:val="16"/>
                <w:lang w:eastAsia="en-US"/>
              </w:rPr>
              <w:t xml:space="preserve"> levels vs HC (mean [SD] Crohn’s: 2.34 ± 0.22 vs HC: 1.48 ± 0.06 ng/L, P&lt;0.001)</w:t>
            </w:r>
          </w:p>
          <w:p w14:paraId="671885B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2CF8F2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Patients with Crohn’s had increased mean serum iFABP concentrations vs HC (mean [SD] Crohn’s: 2.07 ± 0.23 vs HC: 0.84 ± 0.13 μg/L, P&lt;0.001)</w:t>
            </w:r>
          </w:p>
        </w:tc>
      </w:tr>
      <w:tr w:rsidR="000F0DE4" w:rsidRPr="000F0DE4" w14:paraId="45FECE22" w14:textId="77777777" w:rsidTr="005825C7">
        <w:tc>
          <w:tcPr>
            <w:cnfStyle w:val="001000000000" w:firstRow="0" w:lastRow="0" w:firstColumn="1" w:lastColumn="0" w:oddVBand="0" w:evenVBand="0" w:oddHBand="0" w:evenHBand="0" w:firstRowFirstColumn="0" w:firstRowLastColumn="0" w:lastRowFirstColumn="0" w:lastRowLastColumn="0"/>
            <w:tcW w:w="1351" w:type="dxa"/>
            <w:hideMark/>
          </w:tcPr>
          <w:p w14:paraId="35CF3492"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Adriaanse 2017</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{"citationItems":[{"id":"ITEM-1","itemData":{"DOI":"10.1038/s41598-017-07242-4","ISSN":"2045-2322","author":[{"dropping-particle":"","family":"Adriaanse","given":"M. P. M.","non-dropping-particle":"","parse-names":false,"suffix":""},{"dropping-particle":"","family":"Mubarak","given":"A.","non-dropping-particle":"","parse-names":false,"suffix":""},{"dropping-particle":"","family":"Riedl","given":"R. G.","non-dropping-particle":"","parse-names":false,"suffix":""},{"dropping-particle":"","family":"Kate","given":"F. J. W.","non-dropping-particle":"Ten","parse-names":false,"suffix":""},{"dropping-particle":"","family":"Damoiseaux","given":"J. G. M. C.","non-dropping-particle":"","parse-names":false,"suffix":""},{"dropping-particle":"","family":"Buurman","given":"W. A.","non-dropping-particle":"","parse-names":false,"suffix":""},{"dropping-particle":"","family":"Houwen","given":"R. H. J.","non-dropping-particle":"","parse-names":false,"suffix":""},{"dropping-particle":"","family":"Vreugdenhil","given":"A. C. E.","non-dropping-particle":"","parse-names":false,"suffix":""}],"container-title":"Scientific Reports","id":"ITEM-1","issue":"1","issued":{"date-parts":[["2017","12","17"]]},"page":"8671","title":"Progress towards non-invasive diagnosis and follow-up of celiac disease in children; a prospective multicentre study to the usefulness of plasma I-FABP","type":"article-journal","volume":"7"},"uris":["http://www.mendeley.com/documents/?uuid=20442767-d8fd-3a94-9e50-09439b2a05d0"]}],"mendeley":{"formattedCitation":"&lt;sup&gt;21&lt;/sup&gt;","plainTextFormattedCitation":"21","previouslyFormattedCitation":"&lt;sup&gt;21&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21</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hideMark/>
          </w:tcPr>
          <w:p w14:paraId="69209EF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Presenting with a clinical suspicion of Coeliac, elevated Coeliac autoantibody titres, and HLA-DQ2 and/or -DQ8 genotype</w:t>
            </w:r>
          </w:p>
        </w:tc>
        <w:tc>
          <w:tcPr>
            <w:tcW w:w="1418" w:type="dxa"/>
            <w:hideMark/>
          </w:tcPr>
          <w:p w14:paraId="237ECF4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Paediatrics</w:t>
            </w:r>
          </w:p>
        </w:tc>
        <w:tc>
          <w:tcPr>
            <w:tcW w:w="2542" w:type="dxa"/>
            <w:hideMark/>
          </w:tcPr>
          <w:p w14:paraId="52E2D26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79</w:t>
            </w:r>
          </w:p>
          <w:p w14:paraId="62AF6E3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HC: 91 (children presenting with Coeliac symptoms, yet with normal TGA-IgA and IgA-EMA titres)</w:t>
            </w:r>
          </w:p>
        </w:tc>
        <w:tc>
          <w:tcPr>
            <w:tcW w:w="2348" w:type="dxa"/>
            <w:hideMark/>
          </w:tcPr>
          <w:p w14:paraId="7F2362C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Plasma iFABP (in-house ELISA),</w:t>
            </w:r>
          </w:p>
          <w:p w14:paraId="0B908A3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Coeliac autoantibody titres, </w:t>
            </w:r>
          </w:p>
          <w:p w14:paraId="43131C7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HLA genotype</w:t>
            </w:r>
          </w:p>
          <w:p w14:paraId="4F3731A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TGA-IgA</w:t>
            </w:r>
          </w:p>
          <w:p w14:paraId="1378D79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grading</w:t>
            </w:r>
          </w:p>
        </w:tc>
        <w:tc>
          <w:tcPr>
            <w:tcW w:w="6455" w:type="dxa"/>
          </w:tcPr>
          <w:p w14:paraId="1DF49D3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Previous ROC curve analysis on historical unpublished paediatric cohort (Coeliac [n=38] &amp; control children [n=40]) identified optimal cut-off of 450 pg/mL to discriminate villous atrophy from normal intestinal mucosa (positive predictive value of 87.5% (sensitivity: 92.1%, specificity: 87.7%)</w:t>
            </w:r>
          </w:p>
          <w:p w14:paraId="4C40387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6C4411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61/79 (77%) patients with Coeliac had serum iFABP concentrations above cut-off (450 pg/mL) </w:t>
            </w:r>
          </w:p>
          <w:p w14:paraId="4202113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645AEFC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Patients with Coeliac had higher median iFABP concentrations vs HC (median [Q1, Q3], Coeliac: 726 pg/ml [Q1: 458, Q3: 1,024] vs HC: 218 pg/ml [Q1: 143, Q3: 323], P&lt;0.001) </w:t>
            </w:r>
          </w:p>
          <w:p w14:paraId="0FAD70C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0BCB25D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iFABP concentrations decreased significantly within 3wk of GFD (median [Q1, Q3], 0wk GFD: 854 pg/mL [Q1: 635, Q3: 1,265] vs 3wk GFD: 498 pg/mL [Q1: 270, Q3: 697], P&lt;0.05)</w:t>
            </w:r>
          </w:p>
          <w:p w14:paraId="0B780D9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17AD205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iFABP levels in patients with Coeliac similar with Controls by 26wk GFD (median [Q1, Q3], 26wk GFD: 231 pg/mL [Q1: 185, Q3: 318])</w:t>
            </w:r>
          </w:p>
          <w:p w14:paraId="67BE409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08C1717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concentrations decreased below the cut-off value in 42%, 68% (median [Q1, Q3], 382pg/mL [Q1: 253, Q3: 497]), 70% (274pg/mL [Q1: 207, Q3: 469]) and 82% (231pg/mL [Q1: 185, Q3: 318]) of patients with Coeliac after 3wk, 6wk, 12wk and 26wk GFD, respectively</w:t>
            </w:r>
          </w:p>
          <w:p w14:paraId="0029F4E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64A567F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TGA-IgA decreased significantly by 3wks GFD (median [Q1, Q3], 0wk GFD: 314 U/mL [Q1: 97, Q3: 1,025] vs 3wk GFD: 148 U/mL [Q1: 68, Q3: 363], P&lt;0.05)</w:t>
            </w:r>
          </w:p>
          <w:p w14:paraId="38920FA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66E4B6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TGA-IgA titres remained elevated at six months GFD</w:t>
            </w:r>
          </w:p>
          <w:p w14:paraId="604EDBC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C52075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Increased iFABP levels in patients with villous atrophy vs HC: </w:t>
            </w:r>
          </w:p>
          <w:p w14:paraId="01F1126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Marsh grade IIIC (median [Q1, Q3], 775 pg/mL [Q1: 482, Q3: 1,265] vs HC, P&lt;0.001), </w:t>
            </w:r>
          </w:p>
          <w:p w14:paraId="185B422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IIIB (876pg/mL [Q1: 583, Q3: 1,070] vs HC, P&lt;0.001)</w:t>
            </w:r>
          </w:p>
          <w:p w14:paraId="0004772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IIIA (567pg/mL [Q1: 466, Q3: 849] vs HC, P&lt;0.001]</w:t>
            </w:r>
          </w:p>
          <w:p w14:paraId="465C067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3718B6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levels did not correlate with clinical symptoms at disease diagnosis or during GFD (P=0.511)</w:t>
            </w:r>
          </w:p>
        </w:tc>
      </w:tr>
      <w:tr w:rsidR="000F0DE4" w:rsidRPr="000F0DE4" w14:paraId="6D6EAF12"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hideMark/>
          </w:tcPr>
          <w:p w14:paraId="5B36B9A7" w14:textId="77777777" w:rsidR="000F0DE4" w:rsidRPr="000F0DE4" w:rsidRDefault="000F0DE4" w:rsidP="000F0DE4">
            <w:pPr>
              <w:rPr>
                <w:rFonts w:eastAsia="DengXian"/>
                <w:sz w:val="16"/>
                <w:szCs w:val="16"/>
                <w:lang w:eastAsia="en-US"/>
              </w:rPr>
            </w:pPr>
            <w:proofErr w:type="spellStart"/>
            <w:r w:rsidRPr="000F0DE4">
              <w:rPr>
                <w:rFonts w:eastAsia="DengXian"/>
                <w:sz w:val="16"/>
                <w:szCs w:val="16"/>
                <w:lang w:eastAsia="en-US"/>
              </w:rPr>
              <w:t>Uhde</w:t>
            </w:r>
            <w:proofErr w:type="spellEnd"/>
            <w:r w:rsidRPr="000F0DE4">
              <w:rPr>
                <w:rFonts w:eastAsia="DengXian"/>
                <w:sz w:val="16"/>
                <w:szCs w:val="16"/>
                <w:lang w:eastAsia="en-US"/>
              </w:rPr>
              <w:t xml:space="preserve"> 2016</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10.1136/gutjnl-2016-311964","ISSN":"0017-5749","author":[{"dropping-particle":"","family":"Uhde","given":"Melanie","non-dropping-particle":"","parse-names":false,"suffix":""},{"dropping-particle":"","family":"Ajamian","given":"Mary","non-dropping-particle":"","parse-names":false,"suffix":""},{"dropping-particle":"","family":"Caio","given":"Giacomo","non-dropping-particle":"","parse-names":false,"suffix":""},{"dropping-particle":"","family":"Giorgio","given":"Roberto","non-dropping-particle":"De","parse-names":false,"suffix":""},{"dropping-particle":"","family":"Indart","given":"Alyssa","non-dropping-particle":"","parse-names":false,"suffix":""},{"dropping-particle":"","family":"Green","given":"Peter H","non-dropping-particle":"","parse-names":false,"suffix":""},{"dropping-particle":"","family":"Verna","given":"Elizabeth C","non-dropping-particle":"","parse-names":false,"suffix":""},{"dropping-particle":"","family":"Volta","given":"Umberto","non-dropping-particle":"","parse-names":false,"suffix":""},{"dropping-particle":"","family":"Alaedini","given":"Armin","non-dropping-particle":"","parse-names":false,"suffix":""}],"container-title":"Gut","id":"ITEM-1","issue":"12","issued":{"date-parts":[["2016","12"]]},"page":"1930-1937","title":"Intestinal cell damage and systemic immune activation in individuals reporting sensitivity to wheat in the absence of coeliac disease","type":"article-journal","volume":"65"},"uris":["http://www.mendeley.com/documents/?uuid=80bf1491-b626-340e-a919-8aa7127753c1"]}],"mendeley":{"formattedCitation":"&lt;sup&gt;22&lt;/sup&gt;","plainTextFormattedCitation":"22","previouslyFormattedCitation":"&lt;sup&gt;22&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22</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hideMark/>
          </w:tcPr>
          <w:p w14:paraId="5D7D2A8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Aimed to determine whether sensitivity to wheat in the absence of Coeliac was associated with systemic immune activation</w:t>
            </w:r>
          </w:p>
        </w:tc>
        <w:tc>
          <w:tcPr>
            <w:tcW w:w="1418" w:type="dxa"/>
            <w:hideMark/>
          </w:tcPr>
          <w:p w14:paraId="25D6A98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hideMark/>
          </w:tcPr>
          <w:p w14:paraId="3733A53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40,</w:t>
            </w:r>
          </w:p>
          <w:p w14:paraId="5356401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Non-Coeliac wheat sensitivity (NCWS): 80 non-restrictive diet (20: before &amp; after restrictive diet),</w:t>
            </w:r>
          </w:p>
          <w:p w14:paraId="2EE6928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40</w:t>
            </w:r>
          </w:p>
        </w:tc>
        <w:tc>
          <w:tcPr>
            <w:tcW w:w="2348" w:type="dxa"/>
            <w:hideMark/>
          </w:tcPr>
          <w:p w14:paraId="5E8FC71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da-DK" w:eastAsia="en-US"/>
              </w:rPr>
            </w:pPr>
            <w:r w:rsidRPr="000F0DE4">
              <w:rPr>
                <w:rFonts w:eastAsia="DengXian"/>
                <w:sz w:val="16"/>
                <w:szCs w:val="16"/>
                <w:lang w:val="da-DK" w:eastAsia="en-US"/>
              </w:rPr>
              <w:t>Serum iFABP (R&amp;D Systems),</w:t>
            </w:r>
          </w:p>
          <w:p w14:paraId="4CD4AD5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IgA TGA, </w:t>
            </w:r>
          </w:p>
          <w:p w14:paraId="160ADE7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IgG &amp; IgA antibodies to DGP, </w:t>
            </w:r>
          </w:p>
          <w:p w14:paraId="3A05385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LBP,</w:t>
            </w:r>
          </w:p>
          <w:p w14:paraId="755076B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Soluble CD14 (sCD14)</w:t>
            </w:r>
          </w:p>
        </w:tc>
        <w:tc>
          <w:tcPr>
            <w:tcW w:w="6455" w:type="dxa"/>
          </w:tcPr>
          <w:p w14:paraId="2AE835E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serum iFABP significantly higher in patients with NCWS &amp; Coeliac vs Controls (P&lt;0.0001 for both)</w:t>
            </w:r>
          </w:p>
          <w:p w14:paraId="2967F77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148C89D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Within the NCWS group, serum iFABP concentrations correlated with LBP (r=0.360, P=0.001), sCD14 (r=0.461, P&lt;0.0001), </w:t>
            </w:r>
            <w:proofErr w:type="spellStart"/>
            <w:r w:rsidRPr="000F0DE4">
              <w:rPr>
                <w:rFonts w:eastAsia="DengXian"/>
                <w:sz w:val="16"/>
                <w:szCs w:val="16"/>
                <w:lang w:eastAsia="en-US"/>
              </w:rPr>
              <w:t>EndoCAb</w:t>
            </w:r>
            <w:proofErr w:type="spellEnd"/>
            <w:r w:rsidRPr="000F0DE4">
              <w:rPr>
                <w:rFonts w:eastAsia="DengXian"/>
                <w:sz w:val="16"/>
                <w:szCs w:val="16"/>
                <w:lang w:eastAsia="en-US"/>
              </w:rPr>
              <w:t xml:space="preserve"> </w:t>
            </w:r>
            <w:proofErr w:type="spellStart"/>
            <w:r w:rsidRPr="000F0DE4">
              <w:rPr>
                <w:rFonts w:eastAsia="DengXian"/>
                <w:sz w:val="16"/>
                <w:szCs w:val="16"/>
                <w:lang w:eastAsia="en-US"/>
              </w:rPr>
              <w:t>IgM</w:t>
            </w:r>
            <w:proofErr w:type="spellEnd"/>
            <w:r w:rsidRPr="000F0DE4">
              <w:rPr>
                <w:rFonts w:eastAsia="DengXian"/>
                <w:sz w:val="16"/>
                <w:szCs w:val="16"/>
                <w:lang w:eastAsia="en-US"/>
              </w:rPr>
              <w:t xml:space="preserve"> (r=0.305, P=0.003) &amp; anti-flagellin IgM antibody reactivity (r=0.239, P=0.033)</w:t>
            </w:r>
          </w:p>
          <w:p w14:paraId="6E8FA94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185E1C4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significantly correlated with IgA TGA (r=0.559, P&lt;0.0001) in patients with Coeliac</w:t>
            </w:r>
          </w:p>
        </w:tc>
      </w:tr>
      <w:tr w:rsidR="000F0DE4" w:rsidRPr="000F0DE4" w14:paraId="2AB90A70" w14:textId="77777777" w:rsidTr="005825C7">
        <w:tc>
          <w:tcPr>
            <w:cnfStyle w:val="001000000000" w:firstRow="0" w:lastRow="0" w:firstColumn="1" w:lastColumn="0" w:oddVBand="0" w:evenVBand="0" w:oddHBand="0" w:evenHBand="0" w:firstRowFirstColumn="0" w:firstRowLastColumn="0" w:lastRowFirstColumn="0" w:lastRowLastColumn="0"/>
            <w:tcW w:w="1351" w:type="dxa"/>
          </w:tcPr>
          <w:p w14:paraId="4A3F2DFD"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Adriaanse 2016</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{"citationItems":[{"id":"ITEM-1","itemData":{"DOI":"10.1038/ajg.2016.162","ISSN":"0002-9270","author":[{"dropping-particle":"","family":"Adriaanse","given":"Marlou P M","non-dropping-particle":"","parse-names":false,"suffix":""},{"dropping-particle":"","family":"Leffler","given":"Daniel A","non-dropping-particle":"","parse-names":false,"suffix":""},{"dropping-particle":"","family":"Kelly","given":"Ciaran P","non-dropping-particle":"","parse-names":false,"suffix":""},{"dropping-particle":"","family":"Schuppan","given":"Detlef","non-dropping-particle":"","parse-names":false,"suffix":""},{"dropping-particle":"","family":"Najarian","given":"Robert M","non-dropping-particle":"","parse-names":false,"suffix":""},{"dropping-particle":"","family":"Goldsmith","given":"Jeffrey D","non-dropping-particle":"","parse-names":false,"suffix":""},{"dropping-particle":"","family":"Buurman","given":"Wim A","non-dropping-particle":"","parse-names":false,"suffix":""},{"dropping-particle":"","family":"Vreugdenhil","given":"Anita C E","non-dropping-particle":"","parse-names":false,"suffix":""}],"container-title":"American Journal of Gastroenterology","id":"ITEM-1","issue":"7","issued":{"date-parts":[["2016","7"]]},"page":"1014-1022","title":"Serum I-FABP Detects Gluten Responsiveness in Adult Celiac Disease Patients on a Short-Term Gluten Challenge","type":"article-journal","volume":"111"},"uris":["http://www.mendeley.com/documents/?uuid=f5dc926d-efeb-34d7-b2c3-c7bd64558694"]}],"mendeley":{"formattedCitation":"&lt;sup&gt;23&lt;/sup&gt;","plainTextFormattedCitation":"23","previouslyFormattedCitation":"&lt;sup&gt;23&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23</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Pr>
          <w:p w14:paraId="74D424D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Measure changes in serum iFABP concentrations in patients with Coeliac during 14d gluten challenge</w:t>
            </w:r>
          </w:p>
        </w:tc>
        <w:tc>
          <w:tcPr>
            <w:tcW w:w="1418" w:type="dxa"/>
          </w:tcPr>
          <w:p w14:paraId="0996357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Pr>
          <w:p w14:paraId="628D8BF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20 (High gluten challenge [7.6 g/d gluten]: 10, Low gluten challenge [3.6 g/d gluten]: 10),</w:t>
            </w:r>
          </w:p>
          <w:p w14:paraId="6B3F60F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43</w:t>
            </w:r>
          </w:p>
        </w:tc>
        <w:tc>
          <w:tcPr>
            <w:tcW w:w="2348" w:type="dxa"/>
          </w:tcPr>
          <w:p w14:paraId="7978B71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Serum iFABP (Quanta Lite),</w:t>
            </w:r>
          </w:p>
          <w:p w14:paraId="27146D2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IgA-TGA,</w:t>
            </w:r>
          </w:p>
          <w:p w14:paraId="55AB765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IgG &amp; IgA antibodies to DGP,</w:t>
            </w:r>
          </w:p>
          <w:p w14:paraId="2DE88C6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IgA-anti-actin antibodies (IgA-AAA),</w:t>
            </w:r>
          </w:p>
          <w:p w14:paraId="4D6005B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Villous-height to crypt-depth ratio (</w:t>
            </w:r>
            <w:proofErr w:type="spellStart"/>
            <w:r w:rsidRPr="000F0DE4">
              <w:rPr>
                <w:rFonts w:eastAsia="DengXian"/>
                <w:sz w:val="16"/>
                <w:szCs w:val="16"/>
                <w:lang w:eastAsia="en-US"/>
              </w:rPr>
              <w:t>Vh:Cd</w:t>
            </w:r>
            <w:proofErr w:type="spellEnd"/>
            <w:r w:rsidRPr="000F0DE4">
              <w:rPr>
                <w:rFonts w:eastAsia="DengXian"/>
                <w:sz w:val="16"/>
                <w:szCs w:val="16"/>
                <w:lang w:eastAsia="en-US"/>
              </w:rPr>
              <w:t>),</w:t>
            </w:r>
          </w:p>
          <w:p w14:paraId="77C9232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IEL count</w:t>
            </w:r>
          </w:p>
        </w:tc>
        <w:tc>
          <w:tcPr>
            <w:tcW w:w="6455" w:type="dxa"/>
          </w:tcPr>
          <w:p w14:paraId="7A57C81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Mean serum iFABP significantly higher in Coeliac vs HC (mean [SD], Coeliac: 486±185 pg/mL vs HC: 290±135 pg/mL, P&lt;0.001)</w:t>
            </w:r>
          </w:p>
          <w:p w14:paraId="14A5257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1E9AA50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levels were stable from 0d, 3d, and 7d of gluten challenge (mean [SD], 0d: 502±393 pg/mL, 3d: 613±337 pg/mL, 7d: 517±220 pg/mL)</w:t>
            </w:r>
          </w:p>
          <w:p w14:paraId="2DBA389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C18D48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significantly increased following 14d gluten challenge (mean [SD], 0d:</w:t>
            </w:r>
            <w:r w:rsidRPr="000F0DE4">
              <w:rPr>
                <w:rFonts w:eastAsia="DengXian"/>
                <w:lang w:eastAsia="en-US"/>
              </w:rPr>
              <w:t xml:space="preserve"> </w:t>
            </w:r>
            <w:r w:rsidRPr="000F0DE4">
              <w:rPr>
                <w:rFonts w:eastAsia="DengXian"/>
                <w:sz w:val="16"/>
                <w:szCs w:val="16"/>
                <w:lang w:eastAsia="en-US"/>
              </w:rPr>
              <w:t>(502±393 pg/mL vs 14d: 918±778 pg/mL, P=0.001)</w:t>
            </w:r>
          </w:p>
          <w:p w14:paraId="3F9E7F0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E7B578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change during gluten challenge was similar in both the high- &amp; low-dose gluten groups (P=0.304)</w:t>
            </w:r>
          </w:p>
          <w:p w14:paraId="1CD8B94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1494C6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increased from -14d to 14d 16 (80%) of patients with Coeliac</w:t>
            </w:r>
          </w:p>
          <w:p w14:paraId="3404392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21112FB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IgA-TGA and IgA/IgG-DGP titers increased from -14d to 14d in 11 (55%) &amp; 14 (70%) patients with Coeliac, respectively</w:t>
            </w:r>
          </w:p>
          <w:p w14:paraId="2B6028D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230BA42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The degree of iFABP change during gluten challenge was not influenced by prior adherence length to GFD (P=0.898)</w:t>
            </w:r>
          </w:p>
          <w:p w14:paraId="10A4990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158E570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did not significant decrease within 2wk of subsequent GFD following gluten challenge (mean [SD], 14d: 918±778 pg/mL vs 28d: 736±480 pg/mL)</w:t>
            </w:r>
          </w:p>
          <w:p w14:paraId="10ACE8E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46FC57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At day 28, both TGA-IgA and DGP-IgA/IgG levels were elevated in 17 patients (85%, mean increase of 35.1±50.3 U/mL and 39.3±48.3 U/mL, respectively</w:t>
            </w:r>
          </w:p>
          <w:p w14:paraId="5EF6BD5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AC9C5E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Significant increase in IgA-AAA titers at 28d (mean [SD], 0d:</w:t>
            </w:r>
            <w:r w:rsidRPr="000F0DE4">
              <w:rPr>
                <w:rFonts w:eastAsia="DengXian"/>
                <w:lang w:eastAsia="en-US"/>
              </w:rPr>
              <w:t xml:space="preserve"> </w:t>
            </w:r>
            <w:r w:rsidRPr="000F0DE4">
              <w:rPr>
                <w:rFonts w:eastAsia="DengXian"/>
                <w:sz w:val="16"/>
                <w:szCs w:val="16"/>
                <w:lang w:eastAsia="en-US"/>
              </w:rPr>
              <w:t>11.8±13.1 U/mL vs 28d: 15.2±15.1 U/mL, P=0.018)</w:t>
            </w:r>
          </w:p>
          <w:p w14:paraId="69B959C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06B6DA2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IgA-AAA titers significantly increased from -14d to 14d in 11 (55%) patients and increased in 17 (85%) patients by 28d</w:t>
            </w:r>
          </w:p>
          <w:p w14:paraId="2FDAD07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787D6DE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correlated significantly with IEL count both at -14d (r=0.458, P=0.042, n=20) &amp; 14d of gluten challenge (r=0.654, P=0.002, n=19)</w:t>
            </w:r>
          </w:p>
          <w:p w14:paraId="7EEF1C7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624461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change from -14d to day 14 correlated with IEL count both at -14d (rho=0.529, P=0.017, n=20) &amp; 14d (rho=0.643, P=0.003, n=19)</w:t>
            </w:r>
          </w:p>
          <w:p w14:paraId="28A0DA9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DEF63B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Serum iFABP level at -14d showed a negative correlation trend with </w:t>
            </w:r>
            <w:proofErr w:type="spellStart"/>
            <w:r w:rsidRPr="000F0DE4">
              <w:rPr>
                <w:rFonts w:eastAsia="DengXian"/>
                <w:sz w:val="16"/>
                <w:szCs w:val="16"/>
                <w:lang w:eastAsia="en-US"/>
              </w:rPr>
              <w:t>Vh:Cd</w:t>
            </w:r>
            <w:proofErr w:type="spellEnd"/>
            <w:r w:rsidRPr="000F0DE4">
              <w:rPr>
                <w:rFonts w:eastAsia="DengXian"/>
                <w:sz w:val="16"/>
                <w:szCs w:val="16"/>
                <w:lang w:eastAsia="en-US"/>
              </w:rPr>
              <w:t xml:space="preserve"> at -14d (r=−0.425, P=0.062, n=20) and with </w:t>
            </w:r>
            <w:proofErr w:type="spellStart"/>
            <w:r w:rsidRPr="000F0DE4">
              <w:rPr>
                <w:rFonts w:eastAsia="DengXian"/>
                <w:sz w:val="16"/>
                <w:szCs w:val="16"/>
                <w:lang w:eastAsia="en-US"/>
              </w:rPr>
              <w:t>Vh:Cd</w:t>
            </w:r>
            <w:proofErr w:type="spellEnd"/>
            <w:r w:rsidRPr="000F0DE4">
              <w:rPr>
                <w:rFonts w:eastAsia="DengXian"/>
                <w:sz w:val="16"/>
                <w:szCs w:val="16"/>
                <w:lang w:eastAsia="en-US"/>
              </w:rPr>
              <w:t xml:space="preserve"> at day 14 (r=−0.447, P=0.055, n=19)</w:t>
            </w:r>
          </w:p>
          <w:p w14:paraId="23D25E6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87C118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Serum iFABP increased significantly in 13/16 (81%) patients who experienced deterioration in </w:t>
            </w:r>
            <w:proofErr w:type="spellStart"/>
            <w:r w:rsidRPr="000F0DE4">
              <w:rPr>
                <w:rFonts w:eastAsia="DengXian"/>
                <w:sz w:val="16"/>
                <w:szCs w:val="16"/>
                <w:lang w:eastAsia="en-US"/>
              </w:rPr>
              <w:t>Vh:Cd</w:t>
            </w:r>
            <w:proofErr w:type="spellEnd"/>
            <w:r w:rsidRPr="000F0DE4">
              <w:rPr>
                <w:rFonts w:eastAsia="DengXian"/>
                <w:sz w:val="16"/>
                <w:szCs w:val="16"/>
                <w:lang w:eastAsia="en-US"/>
              </w:rPr>
              <w:t xml:space="preserve"> during gluten challenge</w:t>
            </w:r>
          </w:p>
        </w:tc>
      </w:tr>
      <w:tr w:rsidR="000F0DE4" w:rsidRPr="000F0DE4" w14:paraId="3EFB0547"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hideMark/>
          </w:tcPr>
          <w:p w14:paraId="17D22C7A"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Bodelier 2016</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{"citationItems":[{"id":"ITEM-1","itemData":{"DOI":"10.1097/MEG.0000000000000616","ISBN":"0000000000000","ISSN":"14735687","PMID":"26919325","abstract":"BACKGROUND: Monitoring disease activity in inflammatory bowel disease (IBD) is of major importance to prevent long-term complications. Intestinal fatty acid-binding protein (I-FABP) has been identified as a marker for intestinal damage and correlates with the degree of inflammation. The aim of the present study was to evaluate whether I-FABP can predict active disease or remission in Crohn's disease (CD) and ulcerative colitis (UC) in a real-life IBD cohort. METHODS: In total, 70 patients with endoscopic disease activity available and 194 patients with disease activity on the basis of a stringent combi-score of clinical activity index, C-reactive protein, and fecal calprotectin were included. Plasma I-FABP was compared between patients with active disease and remission. In a small subgroup of CD patients, follow-up samples were analyzed. RESULTS: In CD (139.2 vs. 119.2 pg/ml; P=0.37) and UC (107.8 vs. 151.8 pg/ml; P=0.33), the median I-FABP did not differ in endoscopic active disease versus remission. In UC patients with active disease on the basis of the combi-score, the median I-FABP (106.8 vs. 172.0 pg/ml; P=0.03) was significantly lower than in patients in remission, but not in CD (145.5 vs. 157.5 pg/ml; P=0.29). Neither disease location in CD nor extent of disease in UC influenced I-FABP significantly. I-FABP was not different (P=0.78) in CD patients with a change in disease activity over time. CONCLUSION: Plasma I-FABP did not differ between endoscopic active disease and remission in both CD and UC. I-FABP was lower in active UC but not CD on the basis of the combi-score. On the basis of these findings, I-FABP has no potential as a novel noninvasive biomarker for disease activity in IBD.","author":[{"dropping-particle":"","family":"Bodelier","given":"Alexander G.L.","non-dropping-particle":"","parse-names":false,"suffix":""},{"dropping-particle":"","family":"Pierik","given":"Marie J.","non-dropping-particle":"","parse-names":false,"suffix":""},{"dropping-particle":"","family":"Lenaerts","given":"Kaatje","non-dropping-particle":"","parse-names":false,"suffix":""},{"dropping-particle":"","family":"Boer","given":"Evelien","non-dropping-particle":"De","parse-names":false,"suffix":""},{"dropping-particle":"","family":"Olde Damink","given":"Steven W.","non-dropping-particle":"","parse-names":false,"suffix":""},{"dropping-particle":"","family":"Hameeteman","given":"Wim M.","non-dropping-particle":"","parse-names":false,"suffix":""},{"dropping-particle":"","family":"Masclee","given":"Ad A.M.","non-dropping-particle":"","parse-names":false,"suffix":""},{"dropping-particle":"","family":"Jonkers","given":"Daisy M.","non-dropping-particle":"","parse-names":false,"suffix":""}],"container-title":"European Journal of Gastroenterology and Hepatology","id":"ITEM-1","issue":"7","issued":{"date-parts":[["2016"]]},"page":"807-813","title":"Plasma intestinal fatty acid-binding protein fails to predict endoscopic disease activity in inflammatory bowel disease patients","type":"article-journal","volume":"28"},"uris":["http://www.mendeley.com/documents/?uuid=0e13f21a-7aed-4115-a480-4bdba0203a27"]}],"mendeley":{"formattedCitation":"&lt;sup&gt;24&lt;/sup&gt;","plainTextFormattedCitation":"24","previouslyFormattedCitation":"&lt;sup&gt;24&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24</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hideMark/>
          </w:tcPr>
          <w:p w14:paraId="75010A3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utility of iFABP in assessing disease activity in patients with existing Crohn’s &amp; Colitis</w:t>
            </w:r>
          </w:p>
        </w:tc>
        <w:tc>
          <w:tcPr>
            <w:tcW w:w="1418" w:type="dxa"/>
            <w:hideMark/>
          </w:tcPr>
          <w:p w14:paraId="43F23EF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Pr>
          <w:p w14:paraId="3F66792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u w:val="single"/>
                <w:lang w:eastAsia="en-US"/>
              </w:rPr>
            </w:pPr>
            <w:r w:rsidRPr="000F0DE4">
              <w:rPr>
                <w:rFonts w:eastAsia="DengXian"/>
                <w:sz w:val="16"/>
                <w:szCs w:val="16"/>
                <w:u w:val="single"/>
                <w:lang w:eastAsia="en-US"/>
              </w:rPr>
              <w:t xml:space="preserve">Patients with endoscopy </w:t>
            </w:r>
          </w:p>
          <w:p w14:paraId="5942847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Crohn’s: 59</w:t>
            </w:r>
          </w:p>
          <w:p w14:paraId="67E0A50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Colitis: 11</w:t>
            </w:r>
          </w:p>
          <w:p w14:paraId="302777D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52DA12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u w:val="single"/>
                <w:lang w:eastAsia="en-US"/>
              </w:rPr>
            </w:pPr>
            <w:r w:rsidRPr="000F0DE4">
              <w:rPr>
                <w:rFonts w:eastAsia="DengXian"/>
                <w:sz w:val="16"/>
                <w:szCs w:val="16"/>
                <w:u w:val="single"/>
                <w:lang w:eastAsia="en-US"/>
              </w:rPr>
              <w:t>Cross-sectional cohort</w:t>
            </w:r>
          </w:p>
          <w:p w14:paraId="728CA03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Crohn’s: 128</w:t>
            </w:r>
          </w:p>
          <w:p w14:paraId="17EB8E2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Colitis: 66</w:t>
            </w:r>
          </w:p>
        </w:tc>
        <w:tc>
          <w:tcPr>
            <w:tcW w:w="2348" w:type="dxa"/>
          </w:tcPr>
          <w:p w14:paraId="42B8B00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Plasma iFABP (in-house ELISA),</w:t>
            </w:r>
          </w:p>
          <w:p w14:paraId="4246CCA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es-ES_tradnl" w:eastAsia="en-US"/>
              </w:rPr>
            </w:pPr>
            <w:r w:rsidRPr="000F0DE4">
              <w:rPr>
                <w:rFonts w:eastAsia="DengXian"/>
                <w:sz w:val="16"/>
                <w:szCs w:val="16"/>
                <w:lang w:val="es-ES_tradnl" w:eastAsia="en-US"/>
              </w:rPr>
              <w:t>SES-CD,</w:t>
            </w:r>
          </w:p>
          <w:p w14:paraId="3126B62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es-ES_tradnl" w:eastAsia="en-US"/>
              </w:rPr>
            </w:pPr>
            <w:r w:rsidRPr="000F0DE4">
              <w:rPr>
                <w:rFonts w:eastAsia="DengXian"/>
                <w:sz w:val="16"/>
                <w:szCs w:val="16"/>
                <w:lang w:val="es-ES_tradnl" w:eastAsia="en-US"/>
              </w:rPr>
              <w:t>Mayo,</w:t>
            </w:r>
          </w:p>
          <w:p w14:paraId="3527D86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es-ES_tradnl" w:eastAsia="en-US"/>
              </w:rPr>
            </w:pPr>
            <w:r w:rsidRPr="000F0DE4">
              <w:rPr>
                <w:rFonts w:eastAsia="DengXian"/>
                <w:sz w:val="16"/>
                <w:szCs w:val="16"/>
                <w:lang w:val="es-ES_tradnl" w:eastAsia="en-US"/>
              </w:rPr>
              <w:t>HBI,</w:t>
            </w:r>
          </w:p>
          <w:p w14:paraId="54A6C60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es-ES_tradnl" w:eastAsia="en-US"/>
              </w:rPr>
            </w:pPr>
            <w:r w:rsidRPr="000F0DE4">
              <w:rPr>
                <w:rFonts w:eastAsia="DengXian"/>
                <w:sz w:val="16"/>
                <w:szCs w:val="16"/>
                <w:lang w:val="es-ES_tradnl" w:eastAsia="en-US"/>
              </w:rPr>
              <w:t>SCCAI,</w:t>
            </w:r>
          </w:p>
          <w:p w14:paraId="1D07109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Faecal calprotectin</w:t>
            </w:r>
          </w:p>
          <w:p w14:paraId="3314773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32DD38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Active disease = FC&gt;250 µg/g or a positive clinical activity index in combination with CRP&gt;5 mg/l</w:t>
            </w:r>
          </w:p>
          <w:p w14:paraId="00184FB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FB5D98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Remission = negative clinical activity index, CRP&lt; 5 mg/l, and FC&lt;100 µg/g</w:t>
            </w:r>
          </w:p>
        </w:tc>
        <w:tc>
          <w:tcPr>
            <w:tcW w:w="6455" w:type="dxa"/>
          </w:tcPr>
          <w:p w14:paraId="3E66A13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u w:val="single"/>
                <w:lang w:eastAsia="en-US"/>
              </w:rPr>
            </w:pPr>
            <w:r w:rsidRPr="000F0DE4">
              <w:rPr>
                <w:rFonts w:eastAsia="DengXian"/>
                <w:sz w:val="16"/>
                <w:szCs w:val="16"/>
                <w:u w:val="single"/>
                <w:lang w:eastAsia="en-US"/>
              </w:rPr>
              <w:t>Patients with endoscopy</w:t>
            </w:r>
          </w:p>
          <w:p w14:paraId="02431FD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25 (42%) patients with Crohn’s &amp; 5 (45%) patients with Colitis had active disease based on endoscopic score</w:t>
            </w:r>
          </w:p>
          <w:p w14:paraId="6429F7D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915C06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median plasma iFABP concentrations between Crohn’s patients with active disease vs remission (median [Q1, Q3], Crohn’s patients, active disease: 139.2 pg/mL [Q1: 103.3, Q3: 211.6] vs Crohn’s patients, remission: 119.2 pg/mL [Q1: 74.1, Q3: 197.8], P=0.37)</w:t>
            </w:r>
          </w:p>
          <w:p w14:paraId="12843E3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652856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median plasma iFABP concentrations between patients with Colitis with active disease vs remission (median [Q1, Q3], Colitis patients, active disease: 107.8 pg/mL [Q1: 65.4, Q3: 159.2] vs Colitis patients, remission: 151.8 pg/mL [Q1: 111.1, Q3: 579.4], P=0.33)</w:t>
            </w:r>
          </w:p>
          <w:p w14:paraId="56D5F6E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696DADE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did not significantly correlate with SES-CD (r=0.06; P=0.63) or with the Mayo score (r=−0.40; P=0.29)</w:t>
            </w:r>
          </w:p>
          <w:p w14:paraId="2FB509F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F4B8E5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u w:val="single"/>
                <w:lang w:eastAsia="en-US"/>
              </w:rPr>
            </w:pPr>
            <w:r w:rsidRPr="000F0DE4">
              <w:rPr>
                <w:rFonts w:eastAsia="DengXian"/>
                <w:sz w:val="16"/>
                <w:szCs w:val="16"/>
                <w:u w:val="single"/>
                <w:lang w:eastAsia="en-US"/>
              </w:rPr>
              <w:t>Cross-sectional cohort</w:t>
            </w:r>
          </w:p>
          <w:p w14:paraId="20A14C8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42% (54/128) of Crohn’s &amp; 39% (26/66) of Colitis patients had active disease</w:t>
            </w:r>
          </w:p>
          <w:p w14:paraId="67014FC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85E476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levels did not significantly differ between disease locations in Crohn’s (P=0.79) or disease extension in Colitis (P=0.40)</w:t>
            </w:r>
          </w:p>
          <w:p w14:paraId="13E5360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5B56393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median iFABP concentrations in patients with Crohn’s between active disease vs remission (median [Q1, Q3], Crohn’s patients, active disease: 145.5 pg/mL [Q1: 101.7, Q3: 227.0] vs Crohn’s patients, remission: 157.5 pg/mL [Q1: 105.5, Q3: 254.5, P=0.29)</w:t>
            </w:r>
          </w:p>
          <w:p w14:paraId="15DE56F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DBBF77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Median iFABP was significantly higher in Colitis patients in remission vs active disease (median [Q1, Q3], Colitis patients, remission: 172.0 pg/mL [Q1: 108.1, Q3: 241.0] vs Colitis patients, active disease: 106.8 pg/mL [Q1: 73.4, Q3: 193.2], P=0.03)</w:t>
            </w:r>
          </w:p>
          <w:p w14:paraId="7F12262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64E019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did not differ between based on disease extension in patients with active Colitis (P=0.53)</w:t>
            </w:r>
          </w:p>
          <w:p w14:paraId="29A0589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772BAF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did not differ between based on disease location in patients with active Crohn’s (ileal vs colonic disease P=0.83; ileal vs ileocolonic disease P=0.87)</w:t>
            </w:r>
          </w:p>
          <w:p w14:paraId="577BA57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3D86C8B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correlation between iFABP and FC, CRP, or clinical activity indices in patients with Crohn’s</w:t>
            </w:r>
          </w:p>
          <w:p w14:paraId="76CF57E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B6BBB3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Follow-up samples available from 18 patients with Crohn’s. Median follow-up time: 4 months (Q1: 2, Q3: 9). No significant difference in iFABP levels between patients in remission vs active disease (median [Q1, Q3], remission: 147.7 pg/mL [Q1: 107.8, Q3: 187.4] vs active disease: 121.4 pg/mL [Q1: 88.4, Q3: 250.7], P=0.78)</w:t>
            </w:r>
          </w:p>
        </w:tc>
      </w:tr>
      <w:tr w:rsidR="000F0DE4" w:rsidRPr="000F0DE4" w14:paraId="66FCE6EA" w14:textId="77777777" w:rsidTr="005825C7">
        <w:tc>
          <w:tcPr>
            <w:cnfStyle w:val="001000000000" w:firstRow="0" w:lastRow="0" w:firstColumn="1" w:lastColumn="0" w:oddVBand="0" w:evenVBand="0" w:oddHBand="0" w:evenHBand="0" w:firstRowFirstColumn="0" w:firstRowLastColumn="0" w:lastRowFirstColumn="0" w:lastRowLastColumn="0"/>
            <w:tcW w:w="1351" w:type="dxa"/>
          </w:tcPr>
          <w:p w14:paraId="3F0640C5"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 xml:space="preserve">Sarikaya et al 2015 </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{"citationItems":[{"id":"ITEM-1","itemData":{"DOI":"10.7754/Clin.Lab.2014.140518","ISSN":"1433-6510","abstract":"Background: Crohn's disease (CD) is a chronic inflammatory bowel disease that can affect any part of the gastrointestinal tract from the mouth to the anus. The clinical course presents with remissions and activations. Also, clinical findings or endoscopic activity do not always reflect the overall appropriate disease activity. This is why specific markers are always an issue of concern for the diagnosis, prediction of relapse, and monitoring of CD activity. Fatty acid binding proteins (FABPs) are intracellular proteins that are expressed abundantly in several tissues. Intestinal FABP (I-FABP) is a plasma and urine marker that indicates intestinal damage. In this preliminary study, we aimed to determine whether serum I-FABP levels are a useful marker for CD. Methods: Seventy-four patients with CD (41 active and 33 in remission) and 37 healthy controls were included in the study. The level of serum I-FABP was determined by ELISA. Crohn's disease activity index (CDAI) and CRP were used to assess the activity of Crohn's disease and to evaluate whether IFABP is a useful laboratory marker. Results: Serum I-FABP levels of patients with active disease were observed to be statistically higher than patients in the remission and control groups (p = 0.012 and p = 0.038, respectively). No statistically significant difference was observed among patients in the remission and control groups (p = 0.145). Correlation analysis showed a positive correlation between I-FABP and CDAI (r = 0.319, p = 0.006). In addition, a positive correlation was found between CRP and I-FABP levels. Conclusions: I-FABP seems to be a useful systemic marker for CD activity.","author":[{"dropping-particle":"","family":"Sarikaya","given":"Murat","non-dropping-particle":"","parse-names":false,"suffix":""},{"dropping-particle":"","family":"Ergül","given":"Bilal","non-dropping-particle":"","parse-names":false,"suffix":""},{"dropping-particle":"","family":"Doğan","given":"Zeynal","non-dropping-particle":"","parse-names":false,"suffix":""},{"dropping-particle":"","family":"Filik","given":"Levent","non-dropping-particle":"","parse-names":false,"suffix":""},{"dropping-particle":"","family":"Can","given":"Murat","non-dropping-particle":"","parse-names":false,"suffix":""},{"dropping-particle":"","family":"Arslan","given":"Latife","non-dropping-particle":"","parse-names":false,"suffix":""}],"container-title":"Clinical Laboratory","id":"ITEM-1","issue":"01+02/2015","issued":{"date-parts":[["2015"]]},"page":"87-91","publisher":"Verlag Klinisches Labor GmbH","title":"Intestinal Fatty Acid Binding Protein (I-FABP) as a Promising Test for Crohn's Disease: A Preliminary Study","type":"article-journal","volume":"61"},"uris":["http://www.mendeley.com/documents/?uuid=17bcf620-589b-3b71-a92f-91e10166571a"]}],"mendeley":{"formattedCitation":"&lt;sup&gt;25&lt;/sup&gt;","plainTextFormattedCitation":"25","previouslyFormattedCitation":"&lt;sup&gt;25&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25</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Pr>
          <w:p w14:paraId="6DEFA67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iFABP concentrations between patients with Crohn’s and Controls</w:t>
            </w:r>
          </w:p>
        </w:tc>
        <w:tc>
          <w:tcPr>
            <w:tcW w:w="1418" w:type="dxa"/>
          </w:tcPr>
          <w:p w14:paraId="1DD15E4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Pr>
          <w:p w14:paraId="041B5F4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Active Crohn’s: 41</w:t>
            </w:r>
          </w:p>
          <w:p w14:paraId="29220BB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Remission Crohn’s: 33</w:t>
            </w:r>
          </w:p>
          <w:p w14:paraId="1A275F4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37</w:t>
            </w:r>
          </w:p>
        </w:tc>
        <w:tc>
          <w:tcPr>
            <w:tcW w:w="2348" w:type="dxa"/>
          </w:tcPr>
          <w:p w14:paraId="737F797D"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(Hycult Biotech),</w:t>
            </w:r>
          </w:p>
          <w:p w14:paraId="7C64A7E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CDAI,</w:t>
            </w:r>
          </w:p>
          <w:p w14:paraId="3C8AD7C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Complete blood count, </w:t>
            </w:r>
          </w:p>
          <w:p w14:paraId="358505C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ESR,</w:t>
            </w:r>
          </w:p>
          <w:p w14:paraId="4B3B48E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CRP,</w:t>
            </w:r>
          </w:p>
          <w:p w14:paraId="3C68CD2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biochemistry</w:t>
            </w:r>
          </w:p>
        </w:tc>
        <w:tc>
          <w:tcPr>
            <w:tcW w:w="6455" w:type="dxa"/>
          </w:tcPr>
          <w:p w14:paraId="1B9398C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significantly higher in patients with active Crohn’s vs remission Crohn’s (P=0.012) &amp; Controls (P=0.038)</w:t>
            </w:r>
          </w:p>
          <w:p w14:paraId="0858DFF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493C54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statistical difference in serum iFABP concentrations between remission Crohn’s vs Controls (P=0.145)</w:t>
            </w:r>
          </w:p>
          <w:p w14:paraId="44039BB1"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978B4E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positively correlated with CDAI (r=0.319, P=0.006), &amp; CRP (r=0.253, P=0.008)</w:t>
            </w:r>
          </w:p>
          <w:p w14:paraId="06C11FC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9ED7DB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decreased significantly when patients with active Crohn’s entered clinical remission (P&lt;0.001)</w:t>
            </w:r>
          </w:p>
        </w:tc>
      </w:tr>
      <w:tr w:rsidR="000F0DE4" w:rsidRPr="000F0DE4" w14:paraId="58E732E7"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tcPr>
          <w:p w14:paraId="0F338E81"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Gross et al 2015</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{"citationItems":[{"id":"ITEM-1","itemData":{"author":[{"dropping-particle":"","family":"Gross","given":"Sascha","non-dropping-particle":"","parse-names":false,"suffix":""},{"dropping-particle":"","family":"Adriaanse","given":"Marlou. P.M","non-dropping-particle":"","parse-names":false,"suffix":""},{"dropping-particle":"","family":"Nijeboer","given":"Petula","non-dropping-particle":"","parse-names":false,"suffix":""},{"dropping-particle":"","family":"Tack","given":"Greetje. J","non-dropping-particle":"","parse-names":false,"suffix":""},{"dropping-particle":"","family":"Hoogstraten","given":"Ingrid. M.W.","non-dropping-particle":"","parse-names":false,"suffix":""},{"dropping-particle":"","family":"Bouma","given":"Gerd","non-dropping-particle":"","parse-names":false,"suffix":""},{"dropping-particle":"","family":"Mulder","given":"Chris. J","non-dropping-particle":"","parse-names":false,"suffix":""},{"dropping-particle":"","family":"Bloomberg","given":"B. Mary. E","non-dropping-particle":"","parse-names":false,"suffix":""},{"dropping-particle":"","family":"Vreugdenhill","given":"Anita. C.E","non-dropping-particle":"","parse-names":false,"suffix":""},{"dropping-particle":"","family":"Bontkes, Hetty","given":"J","non-dropping-particle":"","parse-names":false,"suffix":""}],"container-title":"J Gastrointestin Liver Dis","id":"ITEM-1","issue":"2","issued":{"date-parts":[["2015"]]},"page":"257-259","title":"Serum intestinal-fatty acid binding protein as a biomarker for refractory celiac disease","type":"article-journal","volume":"24"},"uris":["http://www.mendeley.com/documents/?uuid=0ad8a9e1-702d-398b-bdd2-a517ef43961d"]}],"mendeley":{"formattedCitation":"&lt;sup&gt;26&lt;/sup&gt;","plainTextFormattedCitation":"26","previouslyFormattedCitation":"&lt;sup&gt;26&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26</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Pr>
          <w:p w14:paraId="47EEA92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Examine serum iFABP concentrations between patients with refractory Coeliac (</w:t>
            </w:r>
            <w:proofErr w:type="spellStart"/>
            <w:r w:rsidRPr="000F0DE4">
              <w:rPr>
                <w:rFonts w:eastAsia="DengXian"/>
                <w:sz w:val="16"/>
                <w:szCs w:val="16"/>
                <w:lang w:eastAsia="en-US"/>
              </w:rPr>
              <w:t>RCoeliacII</w:t>
            </w:r>
            <w:proofErr w:type="spellEnd"/>
            <w:r w:rsidRPr="000F0DE4">
              <w:rPr>
                <w:rFonts w:eastAsia="DengXian"/>
                <w:sz w:val="16"/>
                <w:szCs w:val="16"/>
                <w:lang w:eastAsia="en-US"/>
              </w:rPr>
              <w:t>), Controls, ACD, and patients with Coeliac on GFD</w:t>
            </w:r>
          </w:p>
        </w:tc>
        <w:tc>
          <w:tcPr>
            <w:tcW w:w="1418" w:type="dxa"/>
          </w:tcPr>
          <w:p w14:paraId="29DB2EA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Pr>
          <w:p w14:paraId="5899AA7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roofErr w:type="spellStart"/>
            <w:r w:rsidRPr="000F0DE4">
              <w:rPr>
                <w:rFonts w:eastAsia="DengXian"/>
                <w:sz w:val="16"/>
                <w:szCs w:val="16"/>
                <w:lang w:eastAsia="en-US"/>
              </w:rPr>
              <w:t>RCoeliacII</w:t>
            </w:r>
            <w:proofErr w:type="spellEnd"/>
            <w:r w:rsidRPr="000F0DE4">
              <w:rPr>
                <w:rFonts w:eastAsia="DengXian"/>
                <w:sz w:val="16"/>
                <w:szCs w:val="16"/>
                <w:lang w:eastAsia="en-US"/>
              </w:rPr>
              <w:t>: 33,</w:t>
            </w:r>
          </w:p>
          <w:p w14:paraId="1A2C688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27,</w:t>
            </w:r>
          </w:p>
          <w:p w14:paraId="34B1B9D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37</w:t>
            </w:r>
          </w:p>
          <w:p w14:paraId="2134121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GFD: 33</w:t>
            </w:r>
          </w:p>
        </w:tc>
        <w:tc>
          <w:tcPr>
            <w:tcW w:w="2348" w:type="dxa"/>
          </w:tcPr>
          <w:p w14:paraId="65A644F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de-DE" w:eastAsia="en-US"/>
              </w:rPr>
            </w:pPr>
            <w:r w:rsidRPr="000F0DE4">
              <w:rPr>
                <w:rFonts w:eastAsia="DengXian"/>
                <w:sz w:val="16"/>
                <w:szCs w:val="16"/>
                <w:lang w:val="de-DE" w:eastAsia="en-US"/>
              </w:rPr>
              <w:t>Serum iFABP (in-house ELISA),</w:t>
            </w:r>
          </w:p>
          <w:p w14:paraId="36B1487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IEL count,</w:t>
            </w:r>
          </w:p>
          <w:p w14:paraId="4A36040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grading</w:t>
            </w:r>
          </w:p>
        </w:tc>
        <w:tc>
          <w:tcPr>
            <w:tcW w:w="6455" w:type="dxa"/>
          </w:tcPr>
          <w:p w14:paraId="1545519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Patients with </w:t>
            </w:r>
            <w:proofErr w:type="spellStart"/>
            <w:r w:rsidRPr="000F0DE4">
              <w:rPr>
                <w:rFonts w:eastAsia="DengXian"/>
                <w:sz w:val="16"/>
                <w:szCs w:val="16"/>
                <w:lang w:eastAsia="en-US"/>
              </w:rPr>
              <w:t>RCoeliacII</w:t>
            </w:r>
            <w:proofErr w:type="spellEnd"/>
            <w:r w:rsidRPr="000F0DE4">
              <w:rPr>
                <w:rFonts w:eastAsia="DengXian"/>
                <w:sz w:val="16"/>
                <w:szCs w:val="16"/>
                <w:lang w:eastAsia="en-US"/>
              </w:rPr>
              <w:t xml:space="preserve"> had significantly higher serum iFABP concentrations vs Controls, Coeliac GFD (median [Q1, Q3], </w:t>
            </w:r>
            <w:proofErr w:type="spellStart"/>
            <w:r w:rsidRPr="000F0DE4">
              <w:rPr>
                <w:rFonts w:eastAsia="DengXian"/>
                <w:sz w:val="16"/>
                <w:szCs w:val="16"/>
                <w:lang w:eastAsia="en-US"/>
              </w:rPr>
              <w:t>RCoeliacII</w:t>
            </w:r>
            <w:proofErr w:type="spellEnd"/>
            <w:r w:rsidRPr="000F0DE4">
              <w:rPr>
                <w:rFonts w:eastAsia="DengXian"/>
                <w:sz w:val="16"/>
                <w:szCs w:val="16"/>
                <w:lang w:eastAsia="en-US"/>
              </w:rPr>
              <w:t xml:space="preserve">: 870 </w:t>
            </w:r>
            <w:proofErr w:type="spellStart"/>
            <w:r w:rsidRPr="000F0DE4">
              <w:rPr>
                <w:rFonts w:eastAsia="DengXian"/>
                <w:sz w:val="16"/>
                <w:szCs w:val="16"/>
                <w:lang w:eastAsia="en-US"/>
              </w:rPr>
              <w:t>pg</w:t>
            </w:r>
            <w:proofErr w:type="spellEnd"/>
            <w:r w:rsidRPr="000F0DE4">
              <w:rPr>
                <w:rFonts w:eastAsia="DengXian"/>
                <w:sz w:val="16"/>
                <w:szCs w:val="16"/>
                <w:lang w:eastAsia="en-US"/>
              </w:rPr>
              <w:t>/mL [106, 2,234] vs Controls: 229 pg/mL [85, 1,338], P=0.001; vs Coeliac GFD: 170 [63, 1,572], P=0.003)</w:t>
            </w:r>
          </w:p>
          <w:p w14:paraId="1F58E26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2FF2789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No significant difference in serum iFABP concentrations between patients with </w:t>
            </w:r>
            <w:proofErr w:type="spellStart"/>
            <w:r w:rsidRPr="000F0DE4">
              <w:rPr>
                <w:rFonts w:eastAsia="DengXian"/>
                <w:sz w:val="16"/>
                <w:szCs w:val="16"/>
                <w:lang w:eastAsia="en-US"/>
              </w:rPr>
              <w:t>RCoeliacII</w:t>
            </w:r>
            <w:proofErr w:type="spellEnd"/>
            <w:r w:rsidRPr="000F0DE4">
              <w:rPr>
                <w:rFonts w:eastAsia="DengXian"/>
                <w:sz w:val="16"/>
                <w:szCs w:val="16"/>
                <w:lang w:eastAsia="en-US"/>
              </w:rPr>
              <w:t xml:space="preserve"> vs Coeliac (median [Q1, Q3], RCDII vs Coeliac: 646 [113, 3,000])</w:t>
            </w:r>
          </w:p>
          <w:p w14:paraId="0409E7C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B0E188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significantly higher in patients with villous atrophy (March IIIA-IIIC) (P&lt;0.0001)</w:t>
            </w:r>
          </w:p>
          <w:p w14:paraId="36D005A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6576A9BE"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ROC curve analysis of using serum iFABP concentrations to aid discrimination between </w:t>
            </w:r>
            <w:proofErr w:type="spellStart"/>
            <w:r w:rsidRPr="000F0DE4">
              <w:rPr>
                <w:rFonts w:eastAsia="DengXian"/>
                <w:sz w:val="16"/>
                <w:szCs w:val="16"/>
                <w:lang w:eastAsia="en-US"/>
              </w:rPr>
              <w:t>RCoeliacII</w:t>
            </w:r>
            <w:proofErr w:type="spellEnd"/>
            <w:r w:rsidRPr="000F0DE4">
              <w:rPr>
                <w:rFonts w:eastAsia="DengXian"/>
                <w:sz w:val="16"/>
                <w:szCs w:val="16"/>
                <w:lang w:eastAsia="en-US"/>
              </w:rPr>
              <w:t xml:space="preserve"> vs Coeliac GFD had area-under-the-curve (AUC)=0.8 (P&lt;0.0009) when using cut-off of 660 pg/mL with highest specificity (94%), sensitivity of 69%</w:t>
            </w:r>
          </w:p>
          <w:p w14:paraId="145ACD7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A8845B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Combined abnormal luminal pancreatic protein GP2A levels or abnormal serum iFABP concentrations improved ROC model, with sensitivity of 80% and specificity of 89% (AUC=0.82, P=0.02)</w:t>
            </w:r>
          </w:p>
        </w:tc>
      </w:tr>
      <w:tr w:rsidR="000F0DE4" w:rsidRPr="000F0DE4" w14:paraId="1674CD48" w14:textId="77777777" w:rsidTr="005825C7">
        <w:tc>
          <w:tcPr>
            <w:cnfStyle w:val="001000000000" w:firstRow="0" w:lastRow="0" w:firstColumn="1" w:lastColumn="0" w:oddVBand="0" w:evenVBand="0" w:oddHBand="0" w:evenHBand="0" w:firstRowFirstColumn="0" w:firstRowLastColumn="0" w:lastRowFirstColumn="0" w:lastRowLastColumn="0"/>
            <w:tcW w:w="1351" w:type="dxa"/>
            <w:hideMark/>
          </w:tcPr>
          <w:p w14:paraId="3898B564"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Bottasso Arias et al 2015</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{"citationItems":[{"id":"ITEM-1","itemData":{"DOI":"10.1155/2015/738563","ISSN":"0962-9351","abstract":"Celiac disease (CD) is an immune-mediated enteropathy that develops in genetically susceptible individuals following exposure to dietary gluten. Severe changes at the intestinal mucosa observed in untreated CD patients are linked to changes in the level and in the pattern of expression of different genes. Fully differentiated epithelial cells express two isoforms of fatty acid binding proteins (FABPs): intestinal and liver, IFABP and LFABP, respectively. These proteins bind and transport long chain fatty acids and also have other important biological roles in signaling pathways, particularly those related to PPAR γ and inflammatory processes. Herein, we analyze the serum levels of IFABP and characterize the expression of both FABPs at protein and mRNA level in small intestinal mucosa in severe enteropathy and normal tissue. As a result, we observed higher levels of circulating IFABP in untreated CD patients compared with controls and patients on gluten-free diet. In duodenal mucosa a differential FABPs expression pattern was observed with a reduction in mRNA levels compared to controls explained by the epithelium loss in severe enteropathy. In conclusion, we report changes in FABPs’ expression pattern in severe enteropathy. Consequently, there might be alterations in lipid metabolism and the inflammatory process in the small intestinal mucosa.","author":[{"dropping-particle":"","family":"Bottasso Arias","given":"Natalia M.","non-dropping-particle":"","parse-names":false,"suffix":""},{"dropping-particle":"","family":"García","given":"Marina","non-dropping-particle":"","parse-names":false,"suffix":""},{"dropping-particle":"","family":"Bondar","given":"Constanza","non-dropping-particle":"","parse-names":false,"suffix":""},{"dropping-particle":"","family":"Guzman","given":"Luciana","non-dropping-particle":"","parse-names":false,"suffix":""},{"dropping-particle":"","family":"Redondo","given":"Agustina","non-dropping-particle":"","parse-names":false,"suffix":""},{"dropping-particle":"","family":"Chopita","given":"Nestor","non-dropping-particle":"","parse-names":false,"suffix":""},{"dropping-particle":"","family":"Córsico","given":"Betina","non-dropping-particle":"","parse-names":false,"suffix":""},{"dropping-particle":"","family":"Chirdo","given":"Fernando G.","non-dropping-particle":"","parse-names":false,"suffix":""}],"container-title":"Mediators of Inflammation","id":"ITEM-1","issued":{"date-parts":[["2015"]]},"page":"1-11","title":"Expression Pattern of Fatty Acid Binding Proteins in Celiac Disease Enteropathy","type":"article-journal"},"uris":["http://www.mendeley.com/documents/?uuid=787499b2-abcf-4034-b89a-01860053941c"]}],"mendeley":{"formattedCitation":"&lt;sup&gt;27&lt;/sup&gt;","plainTextFormattedCitation":"27","previouslyFormattedCitation":"&lt;sup&gt;27&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27</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hideMark/>
          </w:tcPr>
          <w:p w14:paraId="55737F44"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Investigate iFABP concentrations between patients with Coeliac, Controls and IBD</w:t>
            </w:r>
          </w:p>
        </w:tc>
        <w:tc>
          <w:tcPr>
            <w:tcW w:w="1418" w:type="dxa"/>
            <w:hideMark/>
          </w:tcPr>
          <w:p w14:paraId="4AE6278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 &amp; paediatrics</w:t>
            </w:r>
          </w:p>
        </w:tc>
        <w:tc>
          <w:tcPr>
            <w:tcW w:w="2542" w:type="dxa"/>
          </w:tcPr>
          <w:p w14:paraId="7A88098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42 (16 paediatric, 26 adults)</w:t>
            </w:r>
          </w:p>
          <w:p w14:paraId="4FE1D6C2"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25F8A72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Newly diagnosed Coeliac: 40 (17 paediatric, 23 adults)</w:t>
            </w:r>
          </w:p>
          <w:p w14:paraId="4F31FC8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BB1B41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following GFD: 9 (3 paediatric, 6 adults),</w:t>
            </w:r>
          </w:p>
          <w:p w14:paraId="7B55AEA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211A9C5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IBD: 7 (1 paediatric, 6 adults)</w:t>
            </w:r>
          </w:p>
        </w:tc>
        <w:tc>
          <w:tcPr>
            <w:tcW w:w="2348" w:type="dxa"/>
            <w:hideMark/>
          </w:tcPr>
          <w:p w14:paraId="14EC240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(Hycult Biotech),</w:t>
            </w:r>
          </w:p>
          <w:p w14:paraId="422DD38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IgG &amp; IgA anti-TGA,</w:t>
            </w:r>
          </w:p>
          <w:p w14:paraId="7319302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IgG &amp; IgA anti-DGP antibodies</w:t>
            </w:r>
          </w:p>
          <w:p w14:paraId="2859D61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L-FABP mRNA expression (qPCR)</w:t>
            </w:r>
          </w:p>
        </w:tc>
        <w:tc>
          <w:tcPr>
            <w:tcW w:w="6455" w:type="dxa"/>
          </w:tcPr>
          <w:p w14:paraId="1975E1C8"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Increased mean serum iFABP concentration in patients with Coeliac patients at diagnosis (mean [range], Coeliac diagnosis: 2,898.89 pg/mL [616.83–7,295.95] vs non-Coeliac controls: 1,356.49 pg/mL [256.51–3,433.33], P&lt;0.0001; vs Coeliac patients on GFD: 1,766.84 pg/mL [391.42–3,955.88], P=0.0002; vs IBD patients: 744.92 pg/mL [165.89–1,558.2 pg/mL], P=0.0264)</w:t>
            </w:r>
          </w:p>
          <w:p w14:paraId="5A63717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40420A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serum iFABP between patients with Coeliac following GFD vs non-Coeliac controls</w:t>
            </w:r>
          </w:p>
          <w:p w14:paraId="1D661C6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715D9FC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difference in serum iFABP between patients with IBD vs non-Coeliac controls</w:t>
            </w:r>
          </w:p>
          <w:p w14:paraId="2FC7336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080C444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 non-Coeliac controls had significantly higher mRNA expression in the small intestine for both L-FABP and IFABP compared with paediatric</w:t>
            </w:r>
          </w:p>
          <w:p w14:paraId="59A2FD73"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5CE21970"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Expression of L-FABP &amp; IFABP was significantly lower in untreated adult Coeliac patients compared with non-Coeliac control (LFABP P&lt;0.0001, iFABP P=0.0423)</w:t>
            </w:r>
          </w:p>
          <w:p w14:paraId="68F6D6C5"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609A31C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mRNA levels of both L-FABP and IFABP significantly higher in samples with severe enteropathy compared with healthy tissue</w:t>
            </w:r>
          </w:p>
        </w:tc>
      </w:tr>
      <w:tr w:rsidR="000F0DE4" w:rsidRPr="000F0DE4" w14:paraId="7BE0A06D"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tcPr>
          <w:p w14:paraId="19F3EDCB"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 xml:space="preserve">Adriaanse et al 2013 </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{"citationItems":[{"id":"ITEM-1","itemData":{"DOI":"10.1111/apt.12194","ISSN":"02692813","abstract":"Background Enterocyte damage is the hallmark of coeliac disease (CD) resulting in malabsorption. Little is known about the recovery of enterocyte damage and its clinical consequences. Serum intestinal fatty acid binding protein (I-FABP) is a sensitive marker to study enterocyte damage. Aims To evaluate the severity of enterocyte damage in adult-onset CD and its course upon a gluten-free diet (GFD). Furthermore, the correlation among enterocyte damage, CD autoantibodies and histological abnormalities during the course of disease is studied. Methods Serum I-FABP levels were determined in 96 biopsy-proven adult CD patients and in 69 patients repeatedly upon a GFD. A total of 141 individuals with normal antitissue transglutaminase antibody (IgA-tTG) levels served as controls. I-FABP levels were related to the degree of villous atrophy (Marsh grade) and IgA-tTG. Results I-FABP levels were elevated in untreated CD (median 691 pg/mL) compared with controls (median 178 pg/mL, P &lt; 0.001) and correlated with Marsh grade (r = 0.265, P &lt; 0.05) and IgA-tTG (r = 0.403, P &lt; 0.01). Upon a GFD serum levels decreased significantly, however, not within the range observed in controls, despite the common observed normalisation of IgA-tTG levels and Marsh grade. CD patients with elevated I-FABP levels nonresponding to GFD showed persistent histological abnormalities. Conclusions Enterocyte damage assessed by serum I-FABP correlates with the severity of villous atrophy in coeliac disease at the time of diagnosis. Although enterocyte damage improves upon treatment, substantial enterocyte damage persists despite absence of villous atrophy and low IgA-tTG levels in the majority of cases. Elevated I-FABP levels nonresponding to gluten-free diet are indicative of histological abnormalities and warrant further evaluation. © 2013 Blackwell Publishing Ltd.","author":[{"dropping-particle":"","family":"Adriaanse","given":"M. P. M.","non-dropping-particle":"","parse-names":false,"suffix":""},{"dropping-particle":"","family":"Tack","given":"G. J.","non-dropping-particle":"","parse-names":false,"suffix":""},{"dropping-particle":"","family":"Passos","given":"V. Lima","non-dropping-particle":"","parse-names":false,"suffix":""},{"dropping-particle":"","family":"Damoiseaux","given":"J. G. M. C.","non-dropping-particle":"","parse-names":false,"suffix":""},{"dropping-particle":"","family":"Schreurs","given":"M. W. J.","non-dropping-particle":"","parse-names":false,"suffix":""},{"dropping-particle":"","family":"Wijck","given":"K.","non-dropping-particle":"van","parse-names":false,"suffix":""},{"dropping-particle":"","family":"Riedl","given":"R. G.","non-dropping-particle":"","parse-names":false,"suffix":""},{"dropping-particle":"","family":"Masclee","given":"A. A. M.","non-dropping-particle":"","parse-names":false,"suffix":""},{"dropping-particle":"","family":"Buurman","given":"W. A.","non-dropping-particle":"","parse-names":false,"suffix":""},{"dropping-particle":"","family":"Mulder","given":"C. J. J.","non-dropping-particle":"","parse-names":false,"suffix":""},{"dropping-particle":"","family":"Vreugdenhil","given":"A. C. E.","non-dropping-particle":"","parse-names":false,"suffix":""}],"container-title":"Alimentary Pharmacology &amp; Therapeutics","id":"ITEM-1","issue":"4","issued":{"date-parts":[["2013","2","1"]]},"page":"482-490","publisher":"John Wiley &amp; Sons, Ltd","title":"Serum I-FABP as marker for enterocyte damage in coeliac disease and its relation to villous atrophy and circulating autoantibodies","type":"article-journal","volume":"37"},"uris":["http://www.mendeley.com/documents/?uuid=e1b2cbab-6414-40e6-b749-1d6ec5cf400d"]}],"mendeley":{"formattedCitation":"&lt;sup&gt;17&lt;/sup&gt;","plainTextFormattedCitation":"17","previouslyFormattedCitation":"&lt;sup&gt;17&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17</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Pr>
          <w:p w14:paraId="3DF645C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relationship between serum iFABP concentrations and villous atrophy in patients with existing Coeliac</w:t>
            </w:r>
          </w:p>
        </w:tc>
        <w:tc>
          <w:tcPr>
            <w:tcW w:w="1418" w:type="dxa"/>
          </w:tcPr>
          <w:p w14:paraId="2BDFFCF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Pr>
          <w:p w14:paraId="4AF8A4D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80,</w:t>
            </w:r>
          </w:p>
          <w:p w14:paraId="3FD8916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141</w:t>
            </w:r>
          </w:p>
        </w:tc>
        <w:tc>
          <w:tcPr>
            <w:tcW w:w="2348" w:type="dxa"/>
          </w:tcPr>
          <w:p w14:paraId="724F6A0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de-DE" w:eastAsia="en-US"/>
              </w:rPr>
            </w:pPr>
            <w:r w:rsidRPr="000F0DE4">
              <w:rPr>
                <w:rFonts w:eastAsia="DengXian"/>
                <w:sz w:val="16"/>
                <w:szCs w:val="16"/>
                <w:lang w:val="de-DE" w:eastAsia="en-US"/>
              </w:rPr>
              <w:t>Serum iFABP (in-house ELISA),</w:t>
            </w:r>
          </w:p>
          <w:p w14:paraId="6BA32BD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Serum IgA-EMA,</w:t>
            </w:r>
          </w:p>
          <w:p w14:paraId="6DD5B1D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val="pt-BR" w:eastAsia="en-US"/>
              </w:rPr>
            </w:pPr>
            <w:r w:rsidRPr="000F0DE4">
              <w:rPr>
                <w:rFonts w:eastAsia="DengXian"/>
                <w:sz w:val="16"/>
                <w:szCs w:val="16"/>
                <w:lang w:val="pt-BR" w:eastAsia="en-US"/>
              </w:rPr>
              <w:t>Serum IgA-TGA,</w:t>
            </w:r>
          </w:p>
          <w:p w14:paraId="3A14841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grade</w:t>
            </w:r>
          </w:p>
        </w:tc>
        <w:tc>
          <w:tcPr>
            <w:tcW w:w="6455" w:type="dxa"/>
          </w:tcPr>
          <w:p w14:paraId="401CFB8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signiﬁcantly elevated Coeliac vs Controls (median [Q1, Q3] Coeliac: 691 pg/mL [447, 1,266] vs Controls: 178 pg/mL [126, 286], p&lt;0.001)</w:t>
            </w:r>
          </w:p>
          <w:p w14:paraId="32E9CC8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E57F4C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increased concordant with villous atrophy severity (median [Q1, Q3] Marsh IIIA: 530 [384, 836], Marsh IIIB: 755 [475, 1,248], Marsh IIIC: 860 [556, 1,620] vs Controls, all P&lt;0.001)</w:t>
            </w:r>
          </w:p>
          <w:p w14:paraId="1F56C77F"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5F300C0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iFABP concentrations correlated signiﬁcantly with Marsh grade (r=0.265, P&lt;0.05) </w:t>
            </w:r>
          </w:p>
          <w:p w14:paraId="51497D65"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0B5C6F4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At Coeliac diagnosis, serum iFABP correlated significantly with IgA-TGA levels (r=0.403, P&lt;0.01)</w:t>
            </w:r>
          </w:p>
          <w:p w14:paraId="7425934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608F727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At 6mo GFD serum iFABP decreased significantly from diagnosis (P&lt;0.01)</w:t>
            </w:r>
          </w:p>
          <w:p w14:paraId="7A2631B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264D289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Serum iFABP remained significantly elevated during 1-2 </w:t>
            </w:r>
            <w:proofErr w:type="spellStart"/>
            <w:r w:rsidRPr="000F0DE4">
              <w:rPr>
                <w:rFonts w:eastAsia="DengXian"/>
                <w:sz w:val="16"/>
                <w:szCs w:val="16"/>
                <w:lang w:eastAsia="en-US"/>
              </w:rPr>
              <w:t>yrs</w:t>
            </w:r>
            <w:proofErr w:type="spellEnd"/>
            <w:r w:rsidRPr="000F0DE4">
              <w:rPr>
                <w:rFonts w:eastAsia="DengXian"/>
                <w:sz w:val="16"/>
                <w:szCs w:val="16"/>
                <w:lang w:eastAsia="en-US"/>
              </w:rPr>
              <w:t xml:space="preserve"> GFD vs HC (P&lt;0.05)</w:t>
            </w:r>
          </w:p>
          <w:p w14:paraId="791A37C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DDB168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Signiﬁcant correlation between serum iFABP Marsh grade during GFD (r=0.405, P&lt;0.001)</w:t>
            </w:r>
          </w:p>
          <w:p w14:paraId="58FCF4DD"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7B4AB3C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levels did not correlate with IgA-TGA during GFD (R=0.259, P=0.23)</w:t>
            </w:r>
          </w:p>
        </w:tc>
      </w:tr>
      <w:tr w:rsidR="000F0DE4" w:rsidRPr="000F0DE4" w14:paraId="24425147" w14:textId="77777777" w:rsidTr="005825C7">
        <w:tc>
          <w:tcPr>
            <w:cnfStyle w:val="001000000000" w:firstRow="0" w:lastRow="0" w:firstColumn="1" w:lastColumn="0" w:oddVBand="0" w:evenVBand="0" w:oddHBand="0" w:evenHBand="0" w:firstRowFirstColumn="0" w:firstRowLastColumn="0" w:lastRowFirstColumn="0" w:lastRowLastColumn="0"/>
            <w:tcW w:w="1351" w:type="dxa"/>
            <w:hideMark/>
          </w:tcPr>
          <w:p w14:paraId="73777798"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Vreugdenhil et al 2011</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{"citationItems":[{"id":"ITEM-1","itemData":{"DOI":"10.3109/00365521.2011.627447","ISSN":"0036-5521","author":[{"dropping-particle":"","family":"Vreugdenhil","given":"Anita C","non-dropping-particle":"","parse-names":false,"suffix":""},{"dropping-particle":"","family":"Wolters","given":"Victorien M","non-dropping-particle":"","parse-names":false,"suffix":""},{"dropping-particle":"","family":"Adriaanse","given":"Marlou P","non-dropping-particle":"","parse-names":false,"suffix":""},{"dropping-particle":"","family":"Neucker","given":"Anita M","non-dropping-particle":"Van den","parse-names":false,"suffix":""},{"dropping-particle":"","family":"Bijnen","given":"Annemarie A","non-dropping-particle":"van","parse-names":false,"suffix":""},{"dropping-particle":"","family":"Houwen","given":"Roderick","non-dropping-particle":"","parse-names":false,"suffix":""},{"dropping-particle":"","family":"Buurman","given":"Wim A","non-dropping-particle":"","parse-names":false,"suffix":""}],"container-title":"Scandinavian Journal of Gastroenterology","id":"ITEM-1","issue":"12","issued":{"date-parts":[["2011","12","27"]]},"page":"1435-1441","title":"Additional value of serum I-FABP levels for evaluating celiac disease activity in children","type":"article-journal","volume":"46"},"uris":["http://www.mendeley.com/documents/?uuid=01447ba1-fbd1-33f2-8dd5-c596f87d3e42"]}],"mendeley":{"formattedCitation":"&lt;sup&gt;18&lt;/sup&gt;","plainTextFormattedCitation":"18","previouslyFormattedCitation":"&lt;sup&gt;18&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18</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hideMark/>
          </w:tcPr>
          <w:p w14:paraId="4934081E"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correlation between iFABP and villous atrophy in patients with Coeliac compared with HC</w:t>
            </w:r>
          </w:p>
        </w:tc>
        <w:tc>
          <w:tcPr>
            <w:tcW w:w="1418" w:type="dxa"/>
            <w:hideMark/>
          </w:tcPr>
          <w:p w14:paraId="6C283126"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Paediatrics</w:t>
            </w:r>
          </w:p>
        </w:tc>
        <w:tc>
          <w:tcPr>
            <w:tcW w:w="2542" w:type="dxa"/>
            <w:hideMark/>
          </w:tcPr>
          <w:p w14:paraId="5CF27F3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Coeliac: 49,</w:t>
            </w:r>
          </w:p>
          <w:p w14:paraId="5E07E12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19</w:t>
            </w:r>
          </w:p>
        </w:tc>
        <w:tc>
          <w:tcPr>
            <w:tcW w:w="2348" w:type="dxa"/>
            <w:hideMark/>
          </w:tcPr>
          <w:p w14:paraId="6F55BCD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val="nl-NL" w:eastAsia="en-US"/>
              </w:rPr>
            </w:pPr>
            <w:r w:rsidRPr="000F0DE4">
              <w:rPr>
                <w:rFonts w:eastAsia="DengXian"/>
                <w:sz w:val="16"/>
                <w:szCs w:val="16"/>
                <w:lang w:val="nl-NL" w:eastAsia="en-US"/>
              </w:rPr>
              <w:t>Serum iFABP (Hycult Biotech),</w:t>
            </w:r>
          </w:p>
          <w:p w14:paraId="473B0B0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val="nl-NL" w:eastAsia="en-US"/>
              </w:rPr>
            </w:pPr>
            <w:r w:rsidRPr="000F0DE4">
              <w:rPr>
                <w:rFonts w:eastAsia="DengXian"/>
                <w:sz w:val="16"/>
                <w:szCs w:val="16"/>
                <w:lang w:val="nl-NL" w:eastAsia="en-US"/>
              </w:rPr>
              <w:t>IgA-TGA,</w:t>
            </w:r>
          </w:p>
          <w:p w14:paraId="3F22F3EB"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IgA-EMA,</w:t>
            </w:r>
          </w:p>
          <w:p w14:paraId="3AF4592F"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Marsh Grade</w:t>
            </w:r>
          </w:p>
        </w:tc>
        <w:tc>
          <w:tcPr>
            <w:tcW w:w="6455" w:type="dxa"/>
          </w:tcPr>
          <w:p w14:paraId="4B0E3F9C"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concentrations increased in patients with Coeliac compared with Controls (mean [range] Coeliac: 458 pg/ml [20–2970] vs HC: 20 pg/ml [20–485], P&lt;0.001)</w:t>
            </w:r>
          </w:p>
          <w:p w14:paraId="7CAB0DD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493F374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ROC analysis found iFABP concentration of 224 pg/ml optimal cut-off to discriminate Coeliac vs Controls (AUC: 0.92 [95% CI: 0.84–0.99], p&lt;0.001)</w:t>
            </w:r>
          </w:p>
          <w:p w14:paraId="1938FCA9"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3A418CA7"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concentrations normalised at 3 months GFD in 16/20 (80%) patients who had raised iFABP at diagnosis</w:t>
            </w:r>
          </w:p>
          <w:p w14:paraId="7FBDB16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p>
          <w:p w14:paraId="2B4C2C0A" w14:textId="77777777" w:rsidR="000F0DE4" w:rsidRPr="000F0DE4" w:rsidRDefault="000F0DE4" w:rsidP="000F0DE4">
            <w:pPr>
              <w:cnfStyle w:val="000000000000" w:firstRow="0" w:lastRow="0" w:firstColumn="0" w:lastColumn="0" w:oddVBand="0" w:evenVBand="0" w:oddHBand="0"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iFABP decreased to below cut-off level in 23/25 (92%) patients within 26 weeks of GFD</w:t>
            </w:r>
          </w:p>
        </w:tc>
      </w:tr>
      <w:tr w:rsidR="000F0DE4" w:rsidRPr="000F0DE4" w14:paraId="7C95BE17" w14:textId="77777777" w:rsidTr="005825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1" w:type="dxa"/>
            <w:tcBorders>
              <w:bottom w:val="single" w:sz="4" w:space="0" w:color="auto"/>
            </w:tcBorders>
            <w:hideMark/>
          </w:tcPr>
          <w:p w14:paraId="1F34DBE0"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Wiercinska-Drapalo et al 2008</w:t>
            </w:r>
            <w:r w:rsidRPr="000F0DE4">
              <w:rPr>
                <w:rFonts w:eastAsia="DengXian"/>
                <w:sz w:val="16"/>
                <w:szCs w:val="16"/>
                <w:vertAlign w:val="superscript"/>
                <w:lang w:eastAsia="en-US"/>
              </w:rPr>
              <w:t>[</w:t>
            </w:r>
            <w:r w:rsidRPr="000F0DE4">
              <w:rPr>
                <w:rFonts w:eastAsia="DengXian"/>
                <w:sz w:val="16"/>
                <w:szCs w:val="16"/>
                <w:vertAlign w:val="superscript"/>
                <w:lang w:eastAsia="en-US"/>
              </w:rPr>
              <w:fldChar w:fldCharType="begin" w:fldLock="1"/>
            </w:r>
            <w:r w:rsidRPr="000F0DE4">
              <w:rPr>
                <w:rFonts w:eastAsia="DengXian"/>
                <w:sz w:val="16"/>
                <w:szCs w:val="16"/>
                <w:vertAlign w:val="superscript"/>
                <w:lang w:eastAsia="en-US"/>
              </w:rPr>
              <w:instrText>ADDIN CSL_CITATION {"citationItems":[{"id":"ITEM-1","itemData":{"DOI":"10.1016/j.regpep.2007.12.002","ISSN":"01670115","author":[{"dropping-particle":"","family":"Wiercinska-Drapalo","given":"Alicja","non-dropping-particle":"","parse-names":false,"suffix":""},{"dropping-particle":"","family":"Jaroszewicz","given":"Jerzy","non-dropping-particle":"","parse-names":false,"suffix":""},{"dropping-particle":"","family":"Siwak","given":"Ewa","non-dropping-particle":"","parse-names":false,"suffix":""},{"dropping-particle":"","family":"Pogorzelska","given":"Joanna","non-dropping-particle":"","parse-names":false,"suffix":""},{"dropping-particle":"","family":"Prokopowicz","given":"Danuta","non-dropping-particle":"","parse-names":false,"suffix":""}],"container-title":"Regulatory Peptides","id":"ITEM-1","issue":"1-3","issued":{"date-parts":[["2008","4"]]},"page":"25-28","title":"Intestinal fatty acid binding protein (I-FABP) as a possible biomarker of ileitis in patients with ulcerative colitis","type":"article-journal","volume":"147"},"uris":["http://www.mendeley.com/documents/?uuid=a0227247-1988-3b4c-97c2-684038044416"]}],"mendeley":{"formattedCitation":"&lt;sup&gt;19&lt;/sup&gt;","plainTextFormattedCitation":"19","previouslyFormattedCitation":"&lt;sup&gt;19&lt;/sup&gt;"},"properties":{"noteIndex":0},"schema":"https://github.com/citation-style-language/schema/raw/master/csl-citation.json"}</w:instrText>
            </w:r>
            <w:r w:rsidRPr="000F0DE4">
              <w:rPr>
                <w:rFonts w:eastAsia="DengXian"/>
                <w:sz w:val="16"/>
                <w:szCs w:val="16"/>
                <w:vertAlign w:val="superscript"/>
                <w:lang w:eastAsia="en-US"/>
              </w:rPr>
              <w:fldChar w:fldCharType="separate"/>
            </w:r>
            <w:r w:rsidRPr="000F0DE4">
              <w:rPr>
                <w:rFonts w:eastAsia="DengXian"/>
                <w:b w:val="0"/>
                <w:noProof/>
                <w:sz w:val="16"/>
                <w:szCs w:val="16"/>
                <w:vertAlign w:val="superscript"/>
                <w:lang w:eastAsia="en-US"/>
              </w:rPr>
              <w:t>19</w:t>
            </w:r>
            <w:r w:rsidRPr="000F0DE4">
              <w:rPr>
                <w:rFonts w:eastAsia="DengXian"/>
                <w:sz w:val="16"/>
                <w:szCs w:val="16"/>
                <w:vertAlign w:val="superscript"/>
                <w:lang w:eastAsia="en-US"/>
              </w:rPr>
              <w:fldChar w:fldCharType="end"/>
            </w:r>
            <w:r w:rsidRPr="000F0DE4">
              <w:rPr>
                <w:rFonts w:eastAsia="DengXian"/>
                <w:sz w:val="16"/>
                <w:szCs w:val="16"/>
                <w:vertAlign w:val="superscript"/>
                <w:lang w:eastAsia="en-US"/>
              </w:rPr>
              <w:t>]</w:t>
            </w:r>
          </w:p>
        </w:tc>
        <w:tc>
          <w:tcPr>
            <w:tcW w:w="2193" w:type="dxa"/>
            <w:tcBorders>
              <w:bottom w:val="single" w:sz="4" w:space="0" w:color="auto"/>
            </w:tcBorders>
            <w:hideMark/>
          </w:tcPr>
          <w:p w14:paraId="49E3D40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Explore utility of iFABP with marker of intestinal injury in patients with existing Colitis</w:t>
            </w:r>
          </w:p>
        </w:tc>
        <w:tc>
          <w:tcPr>
            <w:tcW w:w="1418" w:type="dxa"/>
            <w:tcBorders>
              <w:bottom w:val="single" w:sz="4" w:space="0" w:color="auto"/>
            </w:tcBorders>
            <w:hideMark/>
          </w:tcPr>
          <w:p w14:paraId="4448E39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Adults</w:t>
            </w:r>
          </w:p>
        </w:tc>
        <w:tc>
          <w:tcPr>
            <w:tcW w:w="2542" w:type="dxa"/>
            <w:tcBorders>
              <w:bottom w:val="single" w:sz="4" w:space="0" w:color="auto"/>
            </w:tcBorders>
            <w:hideMark/>
          </w:tcPr>
          <w:p w14:paraId="3B50A8D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Colitis: 42,</w:t>
            </w:r>
          </w:p>
          <w:p w14:paraId="20694F4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Controls: 20</w:t>
            </w:r>
          </w:p>
        </w:tc>
        <w:tc>
          <w:tcPr>
            <w:tcW w:w="2348" w:type="dxa"/>
            <w:tcBorders>
              <w:bottom w:val="single" w:sz="4" w:space="0" w:color="auto"/>
            </w:tcBorders>
            <w:hideMark/>
          </w:tcPr>
          <w:p w14:paraId="0312A86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(Hycult Biotech),</w:t>
            </w:r>
          </w:p>
          <w:p w14:paraId="7DD3B3A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CRP, </w:t>
            </w:r>
          </w:p>
          <w:p w14:paraId="3D9F58D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ESR, </w:t>
            </w:r>
          </w:p>
          <w:p w14:paraId="25204524"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White blood cell count, </w:t>
            </w:r>
          </w:p>
          <w:p w14:paraId="6209346B"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Platelet count, </w:t>
            </w:r>
          </w:p>
          <w:p w14:paraId="162CCB8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Haemoglobin, </w:t>
            </w:r>
          </w:p>
          <w:p w14:paraId="4F87FD8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Fibrinogen, </w:t>
            </w:r>
          </w:p>
          <w:p w14:paraId="2F1568C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Total protein, </w:t>
            </w:r>
          </w:p>
          <w:p w14:paraId="63615A21"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Albumin </w:t>
            </w:r>
          </w:p>
        </w:tc>
        <w:tc>
          <w:tcPr>
            <w:tcW w:w="6455" w:type="dxa"/>
            <w:tcBorders>
              <w:bottom w:val="single" w:sz="4" w:space="0" w:color="auto"/>
            </w:tcBorders>
          </w:tcPr>
          <w:p w14:paraId="28CB9AE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Mean serum iFABP significantly increased in patients with Colitis vs HC (mean [SD], Colitis: 166.9± 36.3 vs. Controls: 61.3± 7.8 pg/mL, p&lt;0.05)</w:t>
            </w:r>
          </w:p>
          <w:p w14:paraId="26024D83"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416459E8"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Patients with pancolitis had increased iFABP vs left-sided colitis (mean [SD], pancolitis: 249.89±54.84 pg/mL vs left sided colitis: 61.8±8.5 pg/mL, p&lt;0.001)</w:t>
            </w:r>
          </w:p>
          <w:p w14:paraId="41D9DF6A"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5E5CBFF2"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Patients with severe disease had increased serum iFABP concentration vs patients with mild disease (mean [SD], severe disease: 260.5±60.6 vs mild disease: 61.5±7.9 pg/mL, p&lt;0.001)</w:t>
            </w:r>
          </w:p>
          <w:p w14:paraId="273C89F9"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5885CDE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Serum iFABP strongly significantly correlated with Meyers scale (r=0.86, p&lt;0.001)</w:t>
            </w:r>
          </w:p>
          <w:p w14:paraId="203801F6"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1FB01050"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 xml:space="preserve">Serum iFABP moderately significantly correlated with </w:t>
            </w:r>
            <w:proofErr w:type="spellStart"/>
            <w:r w:rsidRPr="000F0DE4">
              <w:rPr>
                <w:rFonts w:eastAsia="DengXian"/>
                <w:sz w:val="16"/>
                <w:szCs w:val="16"/>
                <w:lang w:eastAsia="en-US"/>
              </w:rPr>
              <w:t>hsCRP</w:t>
            </w:r>
            <w:proofErr w:type="spellEnd"/>
            <w:r w:rsidRPr="000F0DE4">
              <w:rPr>
                <w:rFonts w:eastAsia="DengXian"/>
                <w:sz w:val="16"/>
                <w:szCs w:val="16"/>
                <w:lang w:eastAsia="en-US"/>
              </w:rPr>
              <w:t xml:space="preserve"> (r=0.33, p&lt;0.05)</w:t>
            </w:r>
          </w:p>
          <w:p w14:paraId="406E8DA7"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p>
          <w:p w14:paraId="6C3D092C" w14:textId="77777777" w:rsidR="000F0DE4" w:rsidRPr="000F0DE4" w:rsidRDefault="000F0DE4" w:rsidP="000F0DE4">
            <w:pPr>
              <w:cnfStyle w:val="000000100000" w:firstRow="0" w:lastRow="0" w:firstColumn="0" w:lastColumn="0" w:oddVBand="0" w:evenVBand="0" w:oddHBand="1" w:evenHBand="0" w:firstRowFirstColumn="0" w:firstRowLastColumn="0" w:lastRowFirstColumn="0" w:lastRowLastColumn="0"/>
              <w:rPr>
                <w:rFonts w:eastAsia="DengXian"/>
                <w:sz w:val="16"/>
                <w:szCs w:val="16"/>
                <w:lang w:eastAsia="en-US"/>
              </w:rPr>
            </w:pPr>
            <w:r w:rsidRPr="000F0DE4">
              <w:rPr>
                <w:rFonts w:eastAsia="DengXian"/>
                <w:sz w:val="16"/>
                <w:szCs w:val="16"/>
                <w:lang w:eastAsia="en-US"/>
              </w:rPr>
              <w:t>No significant correlation between serum iFABP and patients age, sex, disease duration, or with routine laboratory parameter</w:t>
            </w:r>
          </w:p>
        </w:tc>
      </w:tr>
      <w:tr w:rsidR="000F0DE4" w:rsidRPr="000F0DE4" w14:paraId="7E75FF02" w14:textId="77777777" w:rsidTr="005825C7">
        <w:tc>
          <w:tcPr>
            <w:cnfStyle w:val="001000000000" w:firstRow="0" w:lastRow="0" w:firstColumn="1" w:lastColumn="0" w:oddVBand="0" w:evenVBand="0" w:oddHBand="0" w:evenHBand="0" w:firstRowFirstColumn="0" w:firstRowLastColumn="0" w:lastRowFirstColumn="0" w:lastRowLastColumn="0"/>
            <w:tcW w:w="16307" w:type="dxa"/>
            <w:gridSpan w:val="6"/>
            <w:tcBorders>
              <w:top w:val="single" w:sz="4" w:space="0" w:color="auto"/>
            </w:tcBorders>
            <w:shd w:val="clear" w:color="auto" w:fill="auto"/>
          </w:tcPr>
          <w:p w14:paraId="17AA61C8" w14:textId="77777777" w:rsidR="000F0DE4" w:rsidRPr="000F0DE4" w:rsidRDefault="000F0DE4" w:rsidP="000F0DE4">
            <w:pPr>
              <w:rPr>
                <w:rFonts w:eastAsia="DengXian"/>
                <w:sz w:val="16"/>
                <w:szCs w:val="16"/>
                <w:lang w:eastAsia="en-US"/>
              </w:rPr>
            </w:pPr>
            <w:r w:rsidRPr="000F0DE4">
              <w:rPr>
                <w:rFonts w:eastAsia="DengXian"/>
                <w:sz w:val="16"/>
                <w:szCs w:val="16"/>
                <w:lang w:eastAsia="en-US"/>
              </w:rPr>
              <w:t xml:space="preserve">Abbreviations: Coeliac: coeliac disease, Controls: healthy controls, Crohn’s: Crohn’s disease, UC: Colitis, CDAI: Crohn’s Disease Activity Index, IGF: insulin-like growth factor, CLDN-3: claudin 3, TGA: tissue transglutaminase, HLA: human leukocyte antigen, DGP: deamidated gluten peptides, ULN: upper limit of normal, EMA: </w:t>
            </w:r>
            <w:proofErr w:type="spellStart"/>
            <w:r w:rsidRPr="000F0DE4">
              <w:rPr>
                <w:rFonts w:eastAsia="DengXian"/>
                <w:sz w:val="16"/>
                <w:szCs w:val="16"/>
                <w:lang w:eastAsia="en-US"/>
              </w:rPr>
              <w:t>endomysial</w:t>
            </w:r>
            <w:proofErr w:type="spellEnd"/>
            <w:r w:rsidRPr="000F0DE4">
              <w:rPr>
                <w:rFonts w:eastAsia="DengXian"/>
                <w:sz w:val="16"/>
                <w:szCs w:val="16"/>
                <w:lang w:eastAsia="en-US"/>
              </w:rPr>
              <w:t xml:space="preserve"> antibodies, ELISA: enzyme-linked immunosorbent assay, qPCR: quantitative polymerase chain reaction. iFABP: intestinal fatty acid binding protein, IFX infliximab, IL: interleukin, TNF: tumour necrosis factor, CRP: C reactive protein, ESR: erythrocyte sedimentation rate, HBI: Harvey-Bradshaw index, SD: standard deviation, ROC: receiver operating characteristic, </w:t>
            </w:r>
            <w:proofErr w:type="spellStart"/>
            <w:r w:rsidRPr="000F0DE4">
              <w:rPr>
                <w:rFonts w:eastAsia="DengXian"/>
                <w:sz w:val="16"/>
                <w:szCs w:val="16"/>
                <w:lang w:eastAsia="en-US"/>
              </w:rPr>
              <w:t>wk</w:t>
            </w:r>
            <w:proofErr w:type="spellEnd"/>
            <w:r w:rsidRPr="000F0DE4">
              <w:rPr>
                <w:rFonts w:eastAsia="DengXian"/>
                <w:sz w:val="16"/>
                <w:szCs w:val="16"/>
                <w:lang w:eastAsia="en-US"/>
              </w:rPr>
              <w:t>: weeks, NCWS: non-Coeliac wheat sensitivity, LPS: lipopolysaccharide, LBP: LPS-binding protein, SES-CD: simple endoscopic score, SCCAI: simple clinical colitis activity index, FC: faecal calprotectin, L-FABP: liver fatty acid binding protein, villous-height to crypt-depth ratio (</w:t>
            </w:r>
            <w:proofErr w:type="spellStart"/>
            <w:r w:rsidRPr="000F0DE4">
              <w:rPr>
                <w:rFonts w:eastAsia="DengXian"/>
                <w:sz w:val="16"/>
                <w:szCs w:val="16"/>
                <w:lang w:eastAsia="en-US"/>
              </w:rPr>
              <w:t>Vh:Cd</w:t>
            </w:r>
            <w:proofErr w:type="spellEnd"/>
            <w:r w:rsidRPr="000F0DE4">
              <w:rPr>
                <w:rFonts w:eastAsia="DengXian"/>
                <w:sz w:val="16"/>
                <w:szCs w:val="16"/>
                <w:lang w:eastAsia="en-US"/>
              </w:rPr>
              <w:t xml:space="preserve">), intraepithelial lymphocyte count (IEL), AUC: area-under-the-curve, </w:t>
            </w:r>
            <w:proofErr w:type="spellStart"/>
            <w:r w:rsidRPr="000F0DE4">
              <w:rPr>
                <w:rFonts w:eastAsia="DengXian"/>
                <w:sz w:val="16"/>
                <w:szCs w:val="16"/>
                <w:lang w:eastAsia="en-US"/>
              </w:rPr>
              <w:t>RCoeliacII</w:t>
            </w:r>
            <w:proofErr w:type="spellEnd"/>
            <w:r w:rsidRPr="000F0DE4">
              <w:rPr>
                <w:rFonts w:eastAsia="DengXian"/>
                <w:sz w:val="16"/>
                <w:szCs w:val="16"/>
                <w:lang w:eastAsia="en-US"/>
              </w:rPr>
              <w:t>: refractory celiac disease type II</w:t>
            </w:r>
          </w:p>
        </w:tc>
      </w:tr>
    </w:tbl>
    <w:p w14:paraId="55805D2E" w14:textId="77777777" w:rsidR="00AE17F4" w:rsidRPr="000F0DE4" w:rsidRDefault="00372585" w:rsidP="000F0DE4"/>
    <w:sectPr w:rsidR="00AE17F4" w:rsidRPr="000F0DE4" w:rsidSect="000F0DE4">
      <w:pgSz w:w="16838" w:h="11906" w:orient="landscape"/>
      <w:pgMar w:top="28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060"/>
    <w:rsid w:val="000F0DE4"/>
    <w:rsid w:val="003003E9"/>
    <w:rsid w:val="00372585"/>
    <w:rsid w:val="003F7994"/>
    <w:rsid w:val="00747792"/>
    <w:rsid w:val="00753A8F"/>
    <w:rsid w:val="00B73D1E"/>
    <w:rsid w:val="00CA12B8"/>
    <w:rsid w:val="00FF10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9221"/>
  <w15:chartTrackingRefBased/>
  <w15:docId w15:val="{DD4B5559-228B-4759-99F9-3A60E6AA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060"/>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41">
    <w:name w:val="Plain Table 41"/>
    <w:basedOn w:val="TableNormal"/>
    <w:next w:val="PlainTable4"/>
    <w:uiPriority w:val="44"/>
    <w:rsid w:val="00FF1060"/>
    <w:pPr>
      <w:spacing w:after="0" w:line="240" w:lineRule="auto"/>
    </w:pPr>
    <w:rPr>
      <w:rFonts w:ascii="Calibri" w:eastAsia="Calibri" w:hAnsi="Calibri"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FF106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11">
    <w:name w:val="Plain Table 411"/>
    <w:basedOn w:val="TableNormal"/>
    <w:next w:val="PlainTable4"/>
    <w:uiPriority w:val="44"/>
    <w:rsid w:val="000F0DE4"/>
    <w:pPr>
      <w:spacing w:after="0" w:line="240" w:lineRule="auto"/>
    </w:pPr>
    <w:rPr>
      <w:rFonts w:ascii="Calibri" w:eastAsia="Calibri" w:hAnsi="Calibri"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12">
    <w:name w:val="Plain Table 412"/>
    <w:basedOn w:val="TableNormal"/>
    <w:next w:val="PlainTable4"/>
    <w:uiPriority w:val="44"/>
    <w:rsid w:val="000F0DE4"/>
    <w:pPr>
      <w:spacing w:after="0" w:line="240" w:lineRule="auto"/>
    </w:pPr>
    <w:rPr>
      <w:rFonts w:ascii="Calibri" w:eastAsia="Calibri" w:hAnsi="Calibri" w:cs="Times New Roman"/>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Caption">
    <w:name w:val="caption"/>
    <w:basedOn w:val="Normal"/>
    <w:next w:val="Normal"/>
    <w:uiPriority w:val="35"/>
    <w:unhideWhenUsed/>
    <w:qFormat/>
    <w:rsid w:val="003F799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7722</Words>
  <Characters>44016</Characters>
  <Application>Microsoft Office Word</Application>
  <DocSecurity>0</DocSecurity>
  <Lines>366</Lines>
  <Paragraphs>103</Paragraphs>
  <ScaleCrop>false</ScaleCrop>
  <Company/>
  <LinksUpToDate>false</LinksUpToDate>
  <CharactersWithSpaces>51635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Logan</dc:creator>
  <cp:keywords/>
  <dc:description/>
  <cp:lastModifiedBy>Ziaur Rahman Bijli G.</cp:lastModifiedBy>
  <cp:revision>7</cp:revision>
  <dcterms:created xsi:type="dcterms:W3CDTF">2021-02-10T11:16:00Z</dcterms:created>
  <dcterms:modified xsi:type="dcterms:W3CDTF">2022-05-18T08:18:00Z</dcterms:modified>
</cp:coreProperties>
</file>