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75" w:rsidRDefault="00572475" w:rsidP="00572475">
      <w:pPr>
        <w:spacing w:after="0" w:line="480" w:lineRule="auto"/>
        <w:rPr>
          <w:rFonts w:cstheme="minorHAnsi"/>
          <w:noProof/>
          <w:sz w:val="24"/>
          <w:szCs w:val="24"/>
          <w:lang w:val="en-GB" w:eastAsia="nb-NO"/>
        </w:rPr>
      </w:pPr>
      <w:r>
        <w:rPr>
          <w:rFonts w:cstheme="minorHAnsi"/>
          <w:noProof/>
          <w:sz w:val="24"/>
          <w:szCs w:val="24"/>
          <w:lang w:val="en-GB" w:eastAsia="nb-NO"/>
        </w:rPr>
        <w:t xml:space="preserve">Figure </w:t>
      </w:r>
      <w:r w:rsidR="006B3FF3">
        <w:rPr>
          <w:rFonts w:cstheme="minorHAnsi"/>
          <w:noProof/>
          <w:sz w:val="24"/>
          <w:szCs w:val="24"/>
          <w:lang w:val="en-GB" w:eastAsia="nb-NO"/>
        </w:rPr>
        <w:t>S1</w:t>
      </w:r>
      <w:bookmarkStart w:id="0" w:name="_GoBack"/>
      <w:bookmarkEnd w:id="0"/>
      <w:r>
        <w:rPr>
          <w:rFonts w:cstheme="minorHAnsi"/>
          <w:noProof/>
          <w:sz w:val="24"/>
          <w:szCs w:val="24"/>
          <w:lang w:val="en-GB" w:eastAsia="nb-NO"/>
        </w:rPr>
        <w:t xml:space="preserve"> (supplemantory)</w:t>
      </w:r>
    </w:p>
    <w:p w:rsidR="00572475" w:rsidRDefault="00572475" w:rsidP="00572475">
      <w:pPr>
        <w:spacing w:after="0" w:line="480" w:lineRule="auto"/>
        <w:rPr>
          <w:rFonts w:cstheme="minorHAnsi"/>
          <w:noProof/>
          <w:sz w:val="24"/>
          <w:szCs w:val="24"/>
          <w:lang w:val="en-GB" w:eastAsia="nb-NO"/>
        </w:rPr>
      </w:pPr>
      <w:r>
        <w:rPr>
          <w:rFonts w:cstheme="minorHAnsi"/>
          <w:noProof/>
          <w:sz w:val="24"/>
          <w:szCs w:val="24"/>
          <w:lang w:val="en-GB" w:eastAsia="nb-NO"/>
        </w:rPr>
        <w:t xml:space="preserve">Boxplot of IL1RL </w:t>
      </w:r>
      <w:r w:rsidRPr="00B0787B">
        <w:rPr>
          <w:rFonts w:eastAsia="Times New Roman" w:cstheme="minorHAnsi"/>
          <w:color w:val="000000"/>
          <w:sz w:val="24"/>
          <w:szCs w:val="24"/>
          <w:lang w:val="en-US" w:eastAsia="nb-NO"/>
        </w:rPr>
        <w:t>cytokine measurements comparing</w:t>
      </w:r>
      <w:r>
        <w:rPr>
          <w:rFonts w:eastAsia="Times New Roman" w:cstheme="minorHAnsi"/>
          <w:color w:val="000000"/>
          <w:sz w:val="24"/>
          <w:szCs w:val="24"/>
          <w:lang w:val="en-US" w:eastAsia="nb-NO"/>
        </w:rPr>
        <w:t xml:space="preserve"> HC,</w:t>
      </w:r>
      <w:r w:rsidRPr="00B0787B">
        <w:rPr>
          <w:rFonts w:eastAsia="Times New Roman" w:cstheme="minorHAnsi"/>
          <w:color w:val="000000"/>
          <w:sz w:val="24"/>
          <w:szCs w:val="24"/>
          <w:lang w:val="en-US" w:eastAsia="nb-NO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en-US" w:eastAsia="nb-NO"/>
        </w:rPr>
        <w:t>L</w:t>
      </w:r>
      <w:r>
        <w:rPr>
          <w:rFonts w:eastAsia="Times New Roman"/>
          <w:color w:val="000000"/>
          <w:lang w:val="en-US" w:eastAsia="nb-NO"/>
        </w:rPr>
        <w:t>TR</w:t>
      </w:r>
      <w:r w:rsidRPr="00B0787B">
        <w:rPr>
          <w:rFonts w:eastAsia="Times New Roman" w:cstheme="minorHAnsi"/>
          <w:color w:val="000000"/>
          <w:sz w:val="24"/>
          <w:szCs w:val="24"/>
          <w:lang w:val="en-US" w:eastAsia="nb-NO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en-US" w:eastAsia="nb-NO"/>
        </w:rPr>
        <w:t>and</w:t>
      </w:r>
      <w:r w:rsidRPr="00B0787B">
        <w:rPr>
          <w:rFonts w:eastAsia="Times New Roman" w:cstheme="minorHAnsi"/>
          <w:color w:val="000000"/>
          <w:sz w:val="24"/>
          <w:szCs w:val="24"/>
          <w:lang w:val="en-US" w:eastAsia="nb-NO"/>
        </w:rPr>
        <w:t xml:space="preserve"> patients in remission with relapse</w:t>
      </w:r>
      <w:r>
        <w:rPr>
          <w:rFonts w:eastAsia="Times New Roman" w:cstheme="minorHAnsi"/>
          <w:color w:val="000000"/>
          <w:sz w:val="24"/>
          <w:szCs w:val="24"/>
          <w:lang w:val="en-US" w:eastAsia="nb-NO"/>
        </w:rPr>
        <w:t xml:space="preserve">. CT FC= Cycle threshold fold change, HC= Healthy controls, </w:t>
      </w:r>
      <w:r>
        <w:rPr>
          <w:rFonts w:eastAsia="Times New Roman"/>
          <w:color w:val="000000"/>
          <w:lang w:val="en-US" w:eastAsia="nb-NO"/>
        </w:rPr>
        <w:t>LTR=Long-term remission</w:t>
      </w:r>
    </w:p>
    <w:p w:rsidR="00572475" w:rsidRDefault="00572475" w:rsidP="00572475">
      <w:pPr>
        <w:spacing w:after="0" w:line="480" w:lineRule="auto"/>
        <w:rPr>
          <w:rFonts w:cstheme="minorHAnsi"/>
          <w:noProof/>
          <w:sz w:val="24"/>
          <w:szCs w:val="24"/>
          <w:lang w:val="en-GB" w:eastAsia="nb-NO"/>
        </w:rPr>
      </w:pPr>
      <w:r>
        <w:rPr>
          <w:rFonts w:cstheme="minorHAnsi"/>
          <w:noProof/>
          <w:sz w:val="24"/>
          <w:szCs w:val="24"/>
          <w:lang w:val="en-IN" w:eastAsia="en-IN"/>
        </w:rPr>
        <w:drawing>
          <wp:inline distT="0" distB="0" distL="0" distR="0" wp14:anchorId="4801D1BE" wp14:editId="08D84842">
            <wp:extent cx="5760720" cy="3385820"/>
            <wp:effectExtent l="0" t="0" r="0" b="508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xplot220822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E6E" w:rsidRDefault="006B3FF3"/>
    <w:sectPr w:rsidR="0025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75"/>
    <w:rsid w:val="00572475"/>
    <w:rsid w:val="006B3FF3"/>
    <w:rsid w:val="00B01647"/>
    <w:rsid w:val="00ED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FE2DA-06E4-4D27-8A91-A50607BE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47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Johnsen Kay-Martin</dc:creator>
  <cp:keywords/>
  <dc:description/>
  <cp:lastModifiedBy>Suganya S.</cp:lastModifiedBy>
  <cp:revision>2</cp:revision>
  <dcterms:created xsi:type="dcterms:W3CDTF">2022-08-26T13:20:00Z</dcterms:created>
  <dcterms:modified xsi:type="dcterms:W3CDTF">2022-10-17T11:41:00Z</dcterms:modified>
</cp:coreProperties>
</file>