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D3D" w:rsidRPr="00726ABE" w:rsidRDefault="00D04D3D" w:rsidP="00D04D3D">
      <w:pPr>
        <w:spacing w:beforeLines="50" w:before="156" w:afterLines="50" w:after="156" w:line="360" w:lineRule="auto"/>
        <w:rPr>
          <w:rFonts w:ascii="Times New Roman" w:hAnsi="Times New Roman" w:cs="Times New Roman"/>
          <w:sz w:val="21"/>
          <w:szCs w:val="21"/>
        </w:rPr>
      </w:pPr>
      <w:bookmarkStart w:id="0" w:name="_GoBack"/>
      <w:r w:rsidRPr="00480E93">
        <w:rPr>
          <w:rFonts w:ascii="Times New Roman" w:hAnsi="Times New Roman" w:cs="Times New Roman"/>
          <w:b/>
          <w:bCs/>
          <w:color w:val="000000" w:themeColor="text1"/>
        </w:rPr>
        <w:t xml:space="preserve">Supplemental 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Table </w:t>
      </w:r>
      <w:r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>3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. Correlation analysis between clinical characteristics and </w:t>
      </w:r>
      <w:r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>PLAGL1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 expression in</w:t>
      </w:r>
      <w:r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 our 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>P</w:t>
      </w:r>
      <w:r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>AAD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 </w:t>
      </w:r>
      <w:r w:rsidRPr="00726ABE">
        <w:rPr>
          <w:rFonts w:ascii="Times New Roman" w:eastAsia="等线" w:hAnsi="Times New Roman" w:cs="Times New Roman"/>
          <w:b/>
          <w:bCs/>
          <w:color w:val="000000"/>
          <w:sz w:val="21"/>
          <w:szCs w:val="21"/>
        </w:rPr>
        <w:t>verification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 cohort 2.</w:t>
      </w:r>
    </w:p>
    <w:tbl>
      <w:tblPr>
        <w:tblW w:w="8224" w:type="dxa"/>
        <w:tblLook w:val="04A0" w:firstRow="1" w:lastRow="0" w:firstColumn="1" w:lastColumn="0" w:noHBand="0" w:noVBand="1"/>
      </w:tblPr>
      <w:tblGrid>
        <w:gridCol w:w="2410"/>
        <w:gridCol w:w="1482"/>
        <w:gridCol w:w="1495"/>
        <w:gridCol w:w="1633"/>
        <w:gridCol w:w="1204"/>
      </w:tblGrid>
      <w:tr w:rsidR="00D04D3D" w:rsidRPr="00F03326" w:rsidTr="00FC7D94">
        <w:trPr>
          <w:trHeight w:val="322"/>
        </w:trPr>
        <w:tc>
          <w:tcPr>
            <w:tcW w:w="241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Characteristics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Style w:val="fontstyle01"/>
                <w:rFonts w:ascii="Times New Roman" w:hAnsi="Times New Roman" w:cs="Times New Roman"/>
                <w:bCs w:val="0"/>
                <w:color w:val="auto"/>
                <w:sz w:val="21"/>
                <w:szCs w:val="21"/>
              </w:rPr>
              <w:t>PLAGL1</w:t>
            </w: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 xml:space="preserve"> expression (n = 100)</w:t>
            </w:r>
          </w:p>
        </w:tc>
        <w:tc>
          <w:tcPr>
            <w:tcW w:w="163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  <w:t>OR</w:t>
            </w: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(95%</w:t>
            </w:r>
            <w:r w:rsidRPr="00F0332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  <w:t>CI</w:t>
            </w: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120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  <w:t>P</w:t>
            </w: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 xml:space="preserve"> value</w:t>
            </w:r>
          </w:p>
        </w:tc>
      </w:tr>
      <w:tr w:rsidR="00D04D3D" w:rsidRPr="00F03326" w:rsidTr="00FC7D94">
        <w:trPr>
          <w:trHeight w:val="322"/>
        </w:trPr>
        <w:tc>
          <w:tcPr>
            <w:tcW w:w="241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Low (n = 48)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High (n = 52)</w:t>
            </w:r>
          </w:p>
        </w:tc>
        <w:tc>
          <w:tcPr>
            <w:tcW w:w="163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&lt;60 years,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19(39.6)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28(53.8)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1.78(0.80-3.94)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0.153</w:t>
            </w:r>
          </w:p>
        </w:tc>
      </w:tr>
      <w:tr w:rsidR="00D04D3D" w:rsidRPr="00F03326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≥60 years,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29(60.4)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24(46.2)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8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Female,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15(31.3)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22(42.3)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1.61(0.71-3.67)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0.253</w:t>
            </w:r>
          </w:p>
        </w:tc>
      </w:tr>
      <w:tr w:rsidR="00D04D3D" w:rsidRPr="00F03326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Male,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33(68.8)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30(57.7)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30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Tumor location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Head/neck,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30(62.5)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30(57.7)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0.82(0.37-1.83)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0.624</w:t>
            </w:r>
          </w:p>
        </w:tc>
      </w:tr>
      <w:tr w:rsidR="00D04D3D" w:rsidRPr="00F03326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Body/tail,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18(37.5)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22(42.3)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Pathologic stage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Ⅰ-Ⅱ,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32(66.7)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37(71.2)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1.23(0.53-2.88)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0.628</w:t>
            </w: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Ⅲ-Ⅳ,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16(33.3)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15(28.8)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T classification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T1-T2,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32(66.7)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46(88.5)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3.83(1.35-10.86)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</w:t>
            </w: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T3-T4,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16(33.3)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6(11.5)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Lymph node metastasis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No,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22(45.8)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32(61.5)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1.89(0.85-4.19)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0.115</w:t>
            </w: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Yes,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26(54.2)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20(38.5)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Distant metastasis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No,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46(95.8)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52(100)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/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0.137</w:t>
            </w: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Yes,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2(4.2)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0(0)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AJCC TNM stage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Ⅰ,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11(22.9)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29(55.8)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4.24(1.78-10.10)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8.7×10</w:t>
            </w: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perscript"/>
              </w:rPr>
              <w:t>-4</w:t>
            </w: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Ⅱ-Ⅳ,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37(77.1)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23(44.2)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Ki67</w:t>
            </w: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  <w:vertAlign w:val="superscript"/>
              </w:rPr>
              <w:t>+</w:t>
            </w: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 xml:space="preserve"> cell rate</w:t>
            </w:r>
          </w:p>
        </w:tc>
        <w:tc>
          <w:tcPr>
            <w:tcW w:w="16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≤10%,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23(47.9)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41(78.8)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4.05(1.69-9.71)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D04D3D" w:rsidRPr="00F03326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&gt;10%, n (%)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25(52.1)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F0332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11(21.2)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D04D3D" w:rsidRPr="00F03326" w:rsidRDefault="00D04D3D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D04D3D" w:rsidRPr="00726ABE" w:rsidRDefault="00D04D3D" w:rsidP="00D04D3D">
      <w:pPr>
        <w:spacing w:beforeLines="50" w:before="156" w:afterLines="50" w:after="156" w:line="360" w:lineRule="auto"/>
        <w:rPr>
          <w:sz w:val="21"/>
          <w:szCs w:val="21"/>
        </w:rPr>
      </w:pPr>
      <w:r w:rsidRPr="00726ABE">
        <w:rPr>
          <w:rFonts w:ascii="Times New Roman" w:hAnsi="Times New Roman" w:cs="Times New Roman"/>
          <w:color w:val="000000"/>
          <w:sz w:val="21"/>
          <w:szCs w:val="21"/>
        </w:rPr>
        <w:t>PC, pancreatic cancer; OR, odds ratio; CI, confidence interval.</w:t>
      </w:r>
    </w:p>
    <w:p w:rsidR="00ED756A" w:rsidRPr="00D04D3D" w:rsidRDefault="00D04D3D"/>
    <w:sectPr w:rsidR="00ED756A" w:rsidRPr="00D04D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-Bold">
    <w:altName w:val="Corbel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D3D"/>
    <w:rsid w:val="004D21F8"/>
    <w:rsid w:val="009C13D0"/>
    <w:rsid w:val="00D0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50C0F1-17BD-428B-886A-52A4B2B6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D3D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04D3D"/>
    <w:rPr>
      <w:rFonts w:ascii="Corbel-Bold" w:hAnsi="Corbel-Bold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ai</dc:creator>
  <cp:keywords/>
  <dc:description/>
  <cp:lastModifiedBy>S ai</cp:lastModifiedBy>
  <cp:revision>1</cp:revision>
  <dcterms:created xsi:type="dcterms:W3CDTF">2021-10-13T14:48:00Z</dcterms:created>
  <dcterms:modified xsi:type="dcterms:W3CDTF">2021-10-13T14:48:00Z</dcterms:modified>
</cp:coreProperties>
</file>