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C2B9" w14:textId="77777777" w:rsidR="008B3E73" w:rsidRDefault="008B3E73" w:rsidP="008B3E73">
      <w:pPr>
        <w:spacing w:line="360" w:lineRule="auto"/>
        <w:jc w:val="left"/>
        <w:rPr>
          <w:szCs w:val="22"/>
        </w:rPr>
      </w:pPr>
      <w:bookmarkStart w:id="0" w:name="_Hlk101356134"/>
      <w:r>
        <w:rPr>
          <w:b/>
          <w:bCs/>
          <w:szCs w:val="22"/>
        </w:rPr>
        <w:t>Additional file 3.</w:t>
      </w:r>
      <w:r w:rsidRPr="00E873BE">
        <w:rPr>
          <w:szCs w:val="22"/>
        </w:rPr>
        <w:t xml:space="preserve"> DOC.  </w:t>
      </w:r>
      <w:r>
        <w:rPr>
          <w:szCs w:val="22"/>
        </w:rPr>
        <w:t xml:space="preserve">Changes in steroid dose/frequency </w:t>
      </w:r>
      <w:proofErr w:type="gramStart"/>
      <w:r>
        <w:rPr>
          <w:szCs w:val="22"/>
        </w:rPr>
        <w:t>during the course of</w:t>
      </w:r>
      <w:proofErr w:type="gramEnd"/>
      <w:r>
        <w:rPr>
          <w:szCs w:val="22"/>
        </w:rPr>
        <w:t xml:space="preserve"> the treatment regimen</w:t>
      </w:r>
      <w:r w:rsidRPr="006A3861">
        <w:rPr>
          <w:szCs w:val="22"/>
        </w:rPr>
        <w:t xml:space="preserve"> </w:t>
      </w:r>
      <w:r w:rsidRPr="00E05CD9">
        <w:rPr>
          <w:szCs w:val="22"/>
        </w:rPr>
        <w:t>in patients with moderate-to-severe UC on tofacitinib</w:t>
      </w:r>
      <w:bookmarkEnd w:id="0"/>
      <w:r w:rsidRPr="00E05CD9">
        <w:rPr>
          <w:szCs w:val="22"/>
        </w:rPr>
        <w:t>.</w:t>
      </w:r>
    </w:p>
    <w:p w14:paraId="7AD4FAD6" w14:textId="77777777" w:rsidR="008B3E73" w:rsidRDefault="008B3E73" w:rsidP="008B3E73">
      <w:pPr>
        <w:spacing w:line="360" w:lineRule="auto"/>
        <w:jc w:val="left"/>
        <w:rPr>
          <w:szCs w:val="22"/>
        </w:rPr>
      </w:pPr>
    </w:p>
    <w:p w14:paraId="57A7D675" w14:textId="77777777" w:rsidR="008B3E73" w:rsidRDefault="008B3E73" w:rsidP="008B3E73">
      <w:pPr>
        <w:spacing w:line="360" w:lineRule="auto"/>
        <w:jc w:val="left"/>
        <w:rPr>
          <w:szCs w:val="22"/>
        </w:rPr>
      </w:pPr>
      <w:r>
        <w:rPr>
          <w:noProof/>
          <w:lang w:val="de-DE" w:eastAsia="de-DE"/>
        </w:rPr>
        <w:drawing>
          <wp:inline distT="0" distB="0" distL="0" distR="0" wp14:anchorId="5DFE9B6E" wp14:editId="720CAE8B">
            <wp:extent cx="6492949" cy="3652284"/>
            <wp:effectExtent l="0" t="0" r="3175" b="5715"/>
            <wp:docPr id="33" name="Graphic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7328" cy="365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F298" w14:textId="5CDB23F0" w:rsidR="00502780" w:rsidRDefault="008B3E73" w:rsidP="008B3E73">
      <w:bookmarkStart w:id="1" w:name="_Hlk101356112"/>
      <w:r w:rsidRPr="00E05CD9">
        <w:rPr>
          <w:szCs w:val="22"/>
        </w:rPr>
        <w:t>UC, ulcerative colitis</w:t>
      </w:r>
      <w:bookmarkEnd w:id="1"/>
      <w:r w:rsidRPr="00E05CD9">
        <w:rPr>
          <w:szCs w:val="22"/>
        </w:rPr>
        <w:t>.</w:t>
      </w:r>
    </w:p>
    <w:sectPr w:rsidR="005027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E73"/>
    <w:rsid w:val="00502780"/>
    <w:rsid w:val="008B3E73"/>
    <w:rsid w:val="00E873BE"/>
    <w:rsid w:val="00FE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E505"/>
  <w15:chartTrackingRefBased/>
  <w15:docId w15:val="{493D180E-C3EC-4C00-9FD5-AB227A15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E73"/>
    <w:pPr>
      <w:spacing w:line="480" w:lineRule="auto"/>
      <w:jc w:val="both"/>
    </w:pPr>
    <w:rPr>
      <w:rFonts w:ascii="Arial" w:eastAsiaTheme="minorEastAsia" w:hAnsi="Arial" w:cs="Arial"/>
      <w:szCs w:val="18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>Omnicom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Jones (Adelphi Real World)</dc:creator>
  <cp:keywords/>
  <dc:description/>
  <cp:lastModifiedBy>Natasha Jones (Adelphi Real World)</cp:lastModifiedBy>
  <cp:revision>3</cp:revision>
  <dcterms:created xsi:type="dcterms:W3CDTF">2022-09-06T09:38:00Z</dcterms:created>
  <dcterms:modified xsi:type="dcterms:W3CDTF">2022-09-06T13:00:00Z</dcterms:modified>
</cp:coreProperties>
</file>