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1EFB1" w14:textId="77777777" w:rsidR="00C5651F" w:rsidRPr="00D66EE4" w:rsidRDefault="00C5651F" w:rsidP="00C5651F">
      <w:pPr>
        <w:spacing w:line="360" w:lineRule="auto"/>
        <w:rPr>
          <w:rFonts w:ascii="Times New Roman" w:hAnsi="Times New Roman" w:cs="Times New Roman"/>
          <w:b/>
          <w:bCs/>
        </w:rPr>
      </w:pPr>
      <w:r w:rsidRPr="00D66EE4">
        <w:rPr>
          <w:rFonts w:ascii="Times New Roman" w:hAnsi="Times New Roman" w:cs="Times New Roman"/>
          <w:b/>
          <w:bCs/>
        </w:rPr>
        <w:t>SUPPLEMENT</w:t>
      </w:r>
    </w:p>
    <w:p w14:paraId="36A55169" w14:textId="77777777" w:rsidR="00C5651F" w:rsidRPr="00D66EE4" w:rsidRDefault="00C5651F" w:rsidP="00C5651F">
      <w:pPr>
        <w:rPr>
          <w:rFonts w:ascii="Times New Roman" w:hAnsi="Times New Roman" w:cs="Times New Roman"/>
          <w:b/>
          <w:bCs/>
        </w:rPr>
      </w:pPr>
      <w:r w:rsidRPr="00D66EE4">
        <w:rPr>
          <w:rFonts w:ascii="Times New Roman" w:hAnsi="Times New Roman" w:cs="Times New Roman"/>
          <w:b/>
          <w:bCs/>
        </w:rPr>
        <w:t>Table S1. Details of the Algorithm Used to Identify Inadequate Response for Crohn’s Disease and Ulcerative Colitis</w:t>
      </w:r>
    </w:p>
    <w:tbl>
      <w:tblPr>
        <w:tblStyle w:val="TableGrid3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39"/>
        <w:gridCol w:w="6977"/>
      </w:tblGrid>
      <w:tr w:rsidR="00C5651F" w:rsidRPr="00D66EE4" w14:paraId="0275ED4D" w14:textId="77777777" w:rsidTr="00A2005F">
        <w:tc>
          <w:tcPr>
            <w:tcW w:w="1131" w:type="pct"/>
          </w:tcPr>
          <w:p w14:paraId="7F310980" w14:textId="77777777" w:rsidR="00C5651F" w:rsidRPr="00D66EE4" w:rsidRDefault="00C5651F" w:rsidP="00A2005F">
            <w:pPr>
              <w:spacing w:line="360" w:lineRule="auto"/>
              <w:rPr>
                <w:b/>
                <w:sz w:val="22"/>
                <w:szCs w:val="22"/>
              </w:rPr>
            </w:pPr>
            <w:r w:rsidRPr="00D66EE4">
              <w:rPr>
                <w:b/>
                <w:sz w:val="22"/>
                <w:szCs w:val="22"/>
              </w:rPr>
              <w:t>Criteria</w:t>
            </w:r>
          </w:p>
        </w:tc>
        <w:tc>
          <w:tcPr>
            <w:tcW w:w="3869" w:type="pct"/>
          </w:tcPr>
          <w:p w14:paraId="174663F8" w14:textId="77777777" w:rsidR="00C5651F" w:rsidRPr="00D66EE4" w:rsidRDefault="00C5651F" w:rsidP="00A2005F">
            <w:pPr>
              <w:spacing w:line="360" w:lineRule="auto"/>
              <w:rPr>
                <w:b/>
                <w:sz w:val="22"/>
                <w:szCs w:val="22"/>
              </w:rPr>
            </w:pPr>
            <w:r w:rsidRPr="00D66EE4">
              <w:rPr>
                <w:b/>
                <w:sz w:val="22"/>
                <w:szCs w:val="22"/>
              </w:rPr>
              <w:t>Description and implementation</w:t>
            </w:r>
          </w:p>
        </w:tc>
      </w:tr>
      <w:tr w:rsidR="00C5651F" w:rsidRPr="00D66EE4" w14:paraId="73554921" w14:textId="77777777" w:rsidTr="00A2005F">
        <w:tc>
          <w:tcPr>
            <w:tcW w:w="1131" w:type="pct"/>
          </w:tcPr>
          <w:p w14:paraId="011D4C0A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Low adherence to index medication</w:t>
            </w:r>
          </w:p>
          <w:p w14:paraId="5BFABD6D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3D41EC5D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Low adherence = 1</w:t>
            </w:r>
          </w:p>
        </w:tc>
        <w:tc>
          <w:tcPr>
            <w:tcW w:w="3869" w:type="pct"/>
          </w:tcPr>
          <w:p w14:paraId="2515767E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Defined as Proportion of Days Covered (PDC) &lt; 80%. PDC was calculated as the ratio of the total number of days with drug at hand to the length of the time period under investigation (365 days).</w:t>
            </w:r>
          </w:p>
          <w:p w14:paraId="436F76EC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26320996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Total number of days with drug at hand was calculated as follows:</w:t>
            </w:r>
          </w:p>
          <w:p w14:paraId="68A68EC4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58BFD5C9" w14:textId="77777777" w:rsidR="00C5651F" w:rsidRPr="00D66EE4" w:rsidRDefault="00C5651F" w:rsidP="00A2005F">
            <w:pPr>
              <w:numPr>
                <w:ilvl w:val="0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 xml:space="preserve">For outpatient Rx claims, the days’ supply values were summed across all claims for the index drug. </w:t>
            </w:r>
          </w:p>
          <w:p w14:paraId="52795F07" w14:textId="77777777" w:rsidR="00C5651F" w:rsidRPr="00D66EE4" w:rsidRDefault="00C5651F" w:rsidP="00A2005F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For medical claims, days’ supply was equal to the labelled maintenance frequency:</w:t>
            </w:r>
          </w:p>
          <w:p w14:paraId="153F75AC" w14:textId="77777777" w:rsidR="00C5651F" w:rsidRPr="00D66EE4" w:rsidRDefault="00C5651F" w:rsidP="00A2005F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Adalimumab: 14 days (SC)</w:t>
            </w:r>
          </w:p>
          <w:p w14:paraId="3E921110" w14:textId="77777777" w:rsidR="00C5651F" w:rsidRPr="00D66EE4" w:rsidRDefault="00C5651F" w:rsidP="00A2005F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Certolizumab: 28 days (SC)</w:t>
            </w:r>
          </w:p>
          <w:p w14:paraId="04A57AE4" w14:textId="77777777" w:rsidR="00C5651F" w:rsidRPr="00D66EE4" w:rsidRDefault="00C5651F" w:rsidP="00A2005F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Golimumab: 56days (IV), 28 days (SC)</w:t>
            </w:r>
          </w:p>
          <w:p w14:paraId="5B683BC4" w14:textId="77777777" w:rsidR="00C5651F" w:rsidRPr="00D66EE4" w:rsidRDefault="00C5651F" w:rsidP="00A2005F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Infliximab: 56 days</w:t>
            </w:r>
          </w:p>
          <w:p w14:paraId="48C9BE39" w14:textId="77777777" w:rsidR="00C5651F" w:rsidRPr="00D66EE4" w:rsidRDefault="00C5651F" w:rsidP="00A2005F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bCs/>
                <w:sz w:val="22"/>
                <w:szCs w:val="22"/>
              </w:rPr>
              <w:t>Tofacitinib: 1 day (Tab)</w:t>
            </w:r>
          </w:p>
          <w:p w14:paraId="7E935962" w14:textId="77777777" w:rsidR="00C5651F" w:rsidRPr="00D66EE4" w:rsidRDefault="00C5651F" w:rsidP="00A2005F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 xml:space="preserve">Ustekinumab, Stelara infusion only for Crohn’s Disease patients: 56 days </w:t>
            </w:r>
          </w:p>
          <w:p w14:paraId="75D90C25" w14:textId="77777777" w:rsidR="00C5651F" w:rsidRPr="00D66EE4" w:rsidRDefault="00C5651F" w:rsidP="00A2005F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Natalizumab: 28 days (SC)</w:t>
            </w:r>
          </w:p>
          <w:p w14:paraId="22B3D7E9" w14:textId="77777777" w:rsidR="00C5651F" w:rsidRPr="00D66EE4" w:rsidRDefault="00C5651F" w:rsidP="00A2005F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Vedolizumab: 56 days (IV)</w:t>
            </w:r>
          </w:p>
          <w:p w14:paraId="686ED1D8" w14:textId="77777777" w:rsidR="00C5651F" w:rsidRPr="00D66EE4" w:rsidRDefault="00C5651F" w:rsidP="00A2005F">
            <w:pPr>
              <w:pStyle w:val="ListParagraph"/>
              <w:spacing w:line="360" w:lineRule="auto"/>
              <w:ind w:left="1440"/>
              <w:rPr>
                <w:sz w:val="22"/>
                <w:szCs w:val="22"/>
              </w:rPr>
            </w:pPr>
          </w:p>
          <w:p w14:paraId="7E754141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In both cases, overlapping days’ supply across fills were subtracted from the total (with total Rx overlapping days across all fills being capped at 14 days; no cap for medical claims). If multiple claims occur on the same date, further cleaning may be applied.</w:t>
            </w:r>
          </w:p>
        </w:tc>
      </w:tr>
      <w:tr w:rsidR="00C5651F" w:rsidRPr="00D66EE4" w14:paraId="68C7FE24" w14:textId="77777777" w:rsidTr="00A2005F">
        <w:tc>
          <w:tcPr>
            <w:tcW w:w="1131" w:type="pct"/>
          </w:tcPr>
          <w:p w14:paraId="29E37432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 xml:space="preserve">Switch/add non-index advanced therapies </w:t>
            </w:r>
          </w:p>
          <w:p w14:paraId="15ED69B9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4FFDA397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Advanced therapy switch/add = 1</w:t>
            </w:r>
          </w:p>
        </w:tc>
        <w:tc>
          <w:tcPr>
            <w:tcW w:w="3869" w:type="pct"/>
          </w:tcPr>
          <w:p w14:paraId="5079B956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 xml:space="preserve">Patients who initiate other non-index advanced therapy medications during post-index period (365 days) were flagged. Only </w:t>
            </w:r>
            <w:r w:rsidRPr="00D66EE4">
              <w:rPr>
                <w:sz w:val="22"/>
                <w:szCs w:val="22"/>
                <w:u w:val="single"/>
              </w:rPr>
              <w:t>on-label</w:t>
            </w:r>
            <w:r w:rsidRPr="00D66EE4">
              <w:rPr>
                <w:sz w:val="22"/>
                <w:szCs w:val="22"/>
              </w:rPr>
              <w:t xml:space="preserve"> switch/addition was used for purposes of the algorithm.</w:t>
            </w:r>
          </w:p>
        </w:tc>
      </w:tr>
      <w:tr w:rsidR="00C5651F" w:rsidRPr="00D66EE4" w14:paraId="1BD49263" w14:textId="77777777" w:rsidTr="00A2005F">
        <w:trPr>
          <w:trHeight w:val="1152"/>
        </w:trPr>
        <w:tc>
          <w:tcPr>
            <w:tcW w:w="1131" w:type="pct"/>
          </w:tcPr>
          <w:p w14:paraId="5B6DAC7A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lastRenderedPageBreak/>
              <w:t xml:space="preserve">Add of new conventional therapy </w:t>
            </w:r>
          </w:p>
          <w:p w14:paraId="197EB8C3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2D82CEA8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Conventional therapy add = 1</w:t>
            </w:r>
          </w:p>
        </w:tc>
        <w:tc>
          <w:tcPr>
            <w:tcW w:w="3869" w:type="pct"/>
          </w:tcPr>
          <w:p w14:paraId="0E3ED741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 xml:space="preserve">Indicator for patient who initiated therapy during 12 months post-index period with a new conventional therapy that they were not already taking during the pre-index period </w:t>
            </w:r>
          </w:p>
        </w:tc>
      </w:tr>
      <w:tr w:rsidR="00C5651F" w:rsidRPr="00D66EE4" w14:paraId="65DE56AF" w14:textId="77777777" w:rsidTr="00A2005F">
        <w:tc>
          <w:tcPr>
            <w:tcW w:w="1131" w:type="pct"/>
          </w:tcPr>
          <w:p w14:paraId="4500952A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 xml:space="preserve">Increase in dose or frequency of index advanced therapy </w:t>
            </w:r>
          </w:p>
          <w:p w14:paraId="426744C0" w14:textId="77777777" w:rsidR="00C5651F" w:rsidRPr="00D66EE4" w:rsidRDefault="00C5651F" w:rsidP="00A2005F">
            <w:pPr>
              <w:spacing w:line="360" w:lineRule="auto"/>
              <w:ind w:left="360" w:hanging="360"/>
              <w:rPr>
                <w:sz w:val="22"/>
                <w:szCs w:val="22"/>
              </w:rPr>
            </w:pPr>
          </w:p>
          <w:p w14:paraId="0EC54116" w14:textId="77777777" w:rsidR="00C5651F" w:rsidRPr="00D66EE4" w:rsidRDefault="00C5651F" w:rsidP="00A2005F">
            <w:pPr>
              <w:spacing w:line="360" w:lineRule="auto"/>
              <w:ind w:left="360" w:hanging="360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Dose increase = 1</w:t>
            </w:r>
          </w:p>
        </w:tc>
        <w:tc>
          <w:tcPr>
            <w:tcW w:w="3869" w:type="pct"/>
          </w:tcPr>
          <w:p w14:paraId="405E9979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Dose escalation was assessed by comparing the first observed dose for the index advanced therapy after loading to all doses observed during the remainder of follow-up. If any dose was at least 20% higher than the index dose, the patient was flagged as having escalated their dose. Only the index advanced therapy was assessed.</w:t>
            </w:r>
          </w:p>
          <w:p w14:paraId="08327E71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14297378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Dose will be calculated as follows:</w:t>
            </w:r>
          </w:p>
          <w:p w14:paraId="153F81D6" w14:textId="77777777" w:rsidR="00C5651F" w:rsidRPr="00D66EE4" w:rsidRDefault="00C5651F" w:rsidP="00A2005F">
            <w:pPr>
              <w:pStyle w:val="ListParagraph"/>
              <w:numPr>
                <w:ilvl w:val="2"/>
                <w:numId w:val="1"/>
              </w:num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For outpatient Rx claims:</w:t>
            </w:r>
          </w:p>
          <w:p w14:paraId="4064ADE8" w14:textId="77777777" w:rsidR="00C5651F" w:rsidRPr="00D66EE4" w:rsidRDefault="00C5651F" w:rsidP="00A2005F">
            <w:pPr>
              <w:pStyle w:val="ListParagraph"/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Dose = (Strength x Quantity Dispensed (QD))/Days’ supply</w:t>
            </w:r>
          </w:p>
          <w:p w14:paraId="71707BD7" w14:textId="77777777" w:rsidR="00C5651F" w:rsidRPr="00D66EE4" w:rsidRDefault="00C5651F" w:rsidP="00A2005F">
            <w:pPr>
              <w:pStyle w:val="ListParagraph"/>
              <w:numPr>
                <w:ilvl w:val="2"/>
                <w:numId w:val="1"/>
              </w:num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For medical claims:</w:t>
            </w:r>
          </w:p>
          <w:p w14:paraId="034BC9CA" w14:textId="77777777" w:rsidR="00C5651F" w:rsidRPr="00D66EE4" w:rsidRDefault="00C5651F" w:rsidP="00A2005F">
            <w:pPr>
              <w:pStyle w:val="ListParagraph"/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 xml:space="preserve">Dose = (Strength based on HCPCS code) x (Billed units) </w:t>
            </w:r>
          </w:p>
          <w:p w14:paraId="0D890667" w14:textId="77777777" w:rsidR="00C5651F" w:rsidRPr="00D66EE4" w:rsidRDefault="00C5651F" w:rsidP="00A2005F">
            <w:pPr>
              <w:pStyle w:val="ListParagraph"/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(The total dosing amount was used without considering the time window between two administrations.)</w:t>
            </w:r>
          </w:p>
          <w:p w14:paraId="5CC763DA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684E8925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 xml:space="preserve">For patients who only received IV administrations, the number of claims was calculated. This frequency must be within 120% of the number expected during 12 </w:t>
            </w:r>
            <w:proofErr w:type="spellStart"/>
            <w:r w:rsidRPr="00D66EE4">
              <w:rPr>
                <w:sz w:val="22"/>
                <w:szCs w:val="22"/>
              </w:rPr>
              <w:t>months time</w:t>
            </w:r>
            <w:proofErr w:type="spellEnd"/>
            <w:r w:rsidRPr="00D66EE4">
              <w:rPr>
                <w:sz w:val="22"/>
                <w:szCs w:val="22"/>
              </w:rPr>
              <w:t xml:space="preserve"> period based on guidelines. The following number of infusions by drug was considered as a frequency increase and flagged:</w:t>
            </w:r>
          </w:p>
          <w:p w14:paraId="27F04050" w14:textId="77777777" w:rsidR="00C5651F" w:rsidRPr="00D66EE4" w:rsidRDefault="00C5651F" w:rsidP="00A2005F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color w:val="000000"/>
                <w:sz w:val="22"/>
                <w:szCs w:val="22"/>
              </w:rPr>
            </w:pPr>
            <w:r w:rsidRPr="00D66EE4">
              <w:rPr>
                <w:color w:val="000000"/>
                <w:sz w:val="22"/>
                <w:szCs w:val="22"/>
              </w:rPr>
              <w:t>Golimumab: ≥ 10 claims</w:t>
            </w:r>
          </w:p>
          <w:p w14:paraId="46DFF7CE" w14:textId="77777777" w:rsidR="00C5651F" w:rsidRPr="00D66EE4" w:rsidRDefault="00C5651F" w:rsidP="00A2005F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color w:val="000000"/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 xml:space="preserve">Infliximab: </w:t>
            </w:r>
            <w:r w:rsidRPr="00D66EE4">
              <w:rPr>
                <w:color w:val="000000"/>
                <w:sz w:val="22"/>
                <w:szCs w:val="22"/>
              </w:rPr>
              <w:t>≥ 12 claims</w:t>
            </w:r>
          </w:p>
          <w:p w14:paraId="19328343" w14:textId="77777777" w:rsidR="00C5651F" w:rsidRPr="00D66EE4" w:rsidRDefault="00C5651F" w:rsidP="00A2005F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color w:val="000000"/>
                <w:sz w:val="22"/>
                <w:szCs w:val="22"/>
              </w:rPr>
            </w:pPr>
            <w:r w:rsidRPr="00D66EE4">
              <w:rPr>
                <w:color w:val="000000"/>
                <w:sz w:val="22"/>
                <w:szCs w:val="22"/>
              </w:rPr>
              <w:t>Natalizumab:  ≥ 16 claims</w:t>
            </w:r>
          </w:p>
          <w:p w14:paraId="41E26A9F" w14:textId="77777777" w:rsidR="00C5651F" w:rsidRPr="00D66EE4" w:rsidRDefault="00C5651F" w:rsidP="00A2005F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color w:val="000000"/>
                <w:sz w:val="22"/>
                <w:szCs w:val="22"/>
              </w:rPr>
            </w:pPr>
            <w:r w:rsidRPr="00D66EE4">
              <w:rPr>
                <w:bCs/>
                <w:sz w:val="22"/>
                <w:szCs w:val="22"/>
              </w:rPr>
              <w:t xml:space="preserve">Vedolizumab: </w:t>
            </w:r>
            <w:r w:rsidRPr="00D66EE4">
              <w:rPr>
                <w:color w:val="000000"/>
                <w:sz w:val="22"/>
                <w:szCs w:val="22"/>
              </w:rPr>
              <w:t>≥ 10 claims</w:t>
            </w:r>
          </w:p>
          <w:p w14:paraId="262121F7" w14:textId="77777777" w:rsidR="00C5651F" w:rsidRPr="00D66EE4" w:rsidRDefault="00C5651F" w:rsidP="00A2005F">
            <w:pPr>
              <w:spacing w:line="360" w:lineRule="auto"/>
              <w:ind w:left="360"/>
              <w:rPr>
                <w:color w:val="000000"/>
                <w:sz w:val="22"/>
                <w:szCs w:val="22"/>
              </w:rPr>
            </w:pPr>
          </w:p>
          <w:p w14:paraId="6020D027" w14:textId="77777777" w:rsidR="00C5651F" w:rsidRPr="00D66EE4" w:rsidRDefault="00C5651F" w:rsidP="00A2005F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D66EE4">
              <w:rPr>
                <w:color w:val="000000"/>
                <w:sz w:val="22"/>
                <w:szCs w:val="22"/>
              </w:rPr>
              <w:t xml:space="preserve">For </w:t>
            </w:r>
            <w:proofErr w:type="spellStart"/>
            <w:r w:rsidRPr="00D66EE4">
              <w:rPr>
                <w:color w:val="000000"/>
                <w:sz w:val="22"/>
                <w:szCs w:val="22"/>
              </w:rPr>
              <w:t>ustekinumab</w:t>
            </w:r>
            <w:proofErr w:type="spellEnd"/>
            <w:r w:rsidRPr="00D66EE4">
              <w:rPr>
                <w:color w:val="000000"/>
                <w:sz w:val="22"/>
                <w:szCs w:val="22"/>
              </w:rPr>
              <w:t>, criterion was not applicable as only a single IV administration is used.</w:t>
            </w:r>
          </w:p>
        </w:tc>
      </w:tr>
      <w:tr w:rsidR="00C5651F" w:rsidRPr="00D66EE4" w14:paraId="23AACEF3" w14:textId="77777777" w:rsidTr="00A2005F">
        <w:tc>
          <w:tcPr>
            <w:tcW w:w="1131" w:type="pct"/>
          </w:tcPr>
          <w:p w14:paraId="1DB074B5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 xml:space="preserve">Increase in dose of oral glucocorticoid </w:t>
            </w:r>
          </w:p>
          <w:p w14:paraId="157A0445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05028D9B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Increase = 1</w:t>
            </w:r>
          </w:p>
        </w:tc>
        <w:tc>
          <w:tcPr>
            <w:tcW w:w="3869" w:type="pct"/>
          </w:tcPr>
          <w:p w14:paraId="4DFF322C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For patients who received no prescriptions for oral glucocorticoids during the 6 months prior to the index date, cannot receive more than 30 days of oral glucocorticoids (as measured by days’ supply; equal to &gt;1 fill) between index date + 90 days and index date + 365 days, inclusive.</w:t>
            </w:r>
          </w:p>
          <w:p w14:paraId="5234AB08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49924512" w14:textId="77777777" w:rsidR="00C5651F" w:rsidRPr="00D66EE4" w:rsidRDefault="00C5651F" w:rsidP="00A2005F">
            <w:pPr>
              <w:pStyle w:val="ListBullet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For patients who received prescriptions for oral glucocorticoids in the 6 months prior to the index date, the cumulative glucocorticoid dose in the 6 months prior to end of follow-up (index date+184 to index date+365) must be similar (that is, within 120%) to the cumulative dose in the 6 months prior to the index visit date.</w:t>
            </w:r>
          </w:p>
          <w:p w14:paraId="0B70A45A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7B5DB7E1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Cumulative dose was calculated as the sum, across all fills, of [Strength x QD x Corticosteroid equivalent dose (see Table S3)] on each fill; only applied to oral glucocorticoids.</w:t>
            </w:r>
          </w:p>
          <w:p w14:paraId="556432DD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00003982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Both medical and pharmacy claims were assessed.</w:t>
            </w:r>
          </w:p>
        </w:tc>
      </w:tr>
      <w:tr w:rsidR="00C5651F" w:rsidRPr="00D66EE4" w14:paraId="02C36243" w14:textId="77777777" w:rsidTr="00A2005F">
        <w:tc>
          <w:tcPr>
            <w:tcW w:w="1131" w:type="pct"/>
          </w:tcPr>
          <w:p w14:paraId="6AD205E3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lastRenderedPageBreak/>
              <w:t>Use of new pain medication class not observed at pre-index</w:t>
            </w:r>
          </w:p>
          <w:p w14:paraId="1638B347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18426E28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New treatment class = 1</w:t>
            </w:r>
          </w:p>
        </w:tc>
        <w:tc>
          <w:tcPr>
            <w:tcW w:w="3869" w:type="pct"/>
          </w:tcPr>
          <w:p w14:paraId="4788B352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Indicator for patients who initiated therapy during 12 months post-index period with a new pain medication class that they were not already taking during pre-index period.</w:t>
            </w:r>
          </w:p>
          <w:p w14:paraId="625432DE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533065EF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 xml:space="preserve">Classes included opioids, NSAIDs, non-narcotic analgesics, neuromodulators. Use of a new drug at follow-up that was in the same class as drugs used at pre-index were </w:t>
            </w:r>
            <w:r w:rsidRPr="00D66EE4">
              <w:rPr>
                <w:sz w:val="22"/>
                <w:szCs w:val="22"/>
                <w:u w:val="single"/>
              </w:rPr>
              <w:t>not</w:t>
            </w:r>
            <w:r w:rsidRPr="00D66EE4">
              <w:rPr>
                <w:sz w:val="22"/>
                <w:szCs w:val="22"/>
              </w:rPr>
              <w:t xml:space="preserve"> flagged. Both medical and pharmacy claims were assessed.</w:t>
            </w:r>
          </w:p>
        </w:tc>
      </w:tr>
      <w:tr w:rsidR="00C5651F" w:rsidRPr="00D66EE4" w14:paraId="7CACA596" w14:textId="77777777" w:rsidTr="00A2005F">
        <w:tc>
          <w:tcPr>
            <w:tcW w:w="1131" w:type="pct"/>
          </w:tcPr>
          <w:p w14:paraId="1C9D4F0D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Surgery for UC/CD</w:t>
            </w:r>
          </w:p>
          <w:p w14:paraId="59EE6DBB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</w:p>
          <w:p w14:paraId="2AF47EC5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Treatment = 1</w:t>
            </w:r>
          </w:p>
        </w:tc>
        <w:tc>
          <w:tcPr>
            <w:tcW w:w="3869" w:type="pct"/>
          </w:tcPr>
          <w:p w14:paraId="00B00B42" w14:textId="77777777" w:rsidR="00C5651F" w:rsidRPr="00D66EE4" w:rsidRDefault="00C5651F" w:rsidP="00A2005F">
            <w:pPr>
              <w:spacing w:line="360" w:lineRule="auto"/>
              <w:rPr>
                <w:sz w:val="22"/>
                <w:szCs w:val="22"/>
              </w:rPr>
            </w:pPr>
            <w:r w:rsidRPr="00D66EE4">
              <w:rPr>
                <w:sz w:val="22"/>
                <w:szCs w:val="22"/>
              </w:rPr>
              <w:t>Indicator for claims for the listed surgery procedures in the applicable disease area at any time during the 12 months post-index period. This was assessed in medical claims only.</w:t>
            </w:r>
          </w:p>
        </w:tc>
      </w:tr>
    </w:tbl>
    <w:p w14:paraId="065957B2" w14:textId="77777777" w:rsidR="00C5651F" w:rsidRPr="00D66EE4" w:rsidRDefault="00C5651F" w:rsidP="00C5651F">
      <w:pPr>
        <w:spacing w:line="360" w:lineRule="auto"/>
        <w:rPr>
          <w:rFonts w:ascii="Times New Roman" w:hAnsi="Times New Roman" w:cs="Times New Roman"/>
        </w:rPr>
      </w:pPr>
    </w:p>
    <w:p w14:paraId="2C85EB68" w14:textId="77777777" w:rsidR="00C5651F" w:rsidRPr="00D66EE4" w:rsidRDefault="00C5651F" w:rsidP="00C5651F">
      <w:pPr>
        <w:rPr>
          <w:rFonts w:ascii="Times New Roman" w:eastAsia="Times New Roman" w:hAnsi="Times New Roman" w:cs="Times New Roman"/>
          <w:b/>
          <w:bCs/>
          <w:lang w:val="en-US"/>
        </w:rPr>
      </w:pPr>
      <w:r w:rsidRPr="00D66EE4">
        <w:rPr>
          <w:rFonts w:ascii="Times New Roman" w:hAnsi="Times New Roman"/>
        </w:rPr>
        <w:br w:type="page"/>
      </w:r>
    </w:p>
    <w:p w14:paraId="28A4C0E9" w14:textId="77777777" w:rsidR="00C5651F" w:rsidRPr="00D66EE4" w:rsidRDefault="00C5651F" w:rsidP="00C5651F">
      <w:pPr>
        <w:pStyle w:val="Caption"/>
        <w:keepNext w:val="0"/>
        <w:keepLines w:val="0"/>
        <w:widowControl w:val="0"/>
        <w:spacing w:line="360" w:lineRule="auto"/>
        <w:ind w:left="0" w:firstLine="0"/>
        <w:rPr>
          <w:rFonts w:ascii="Times New Roman" w:hAnsi="Times New Roman"/>
          <w:szCs w:val="22"/>
        </w:rPr>
      </w:pPr>
      <w:r w:rsidRPr="00D66EE4">
        <w:rPr>
          <w:rFonts w:ascii="Times New Roman" w:hAnsi="Times New Roman"/>
          <w:szCs w:val="22"/>
        </w:rPr>
        <w:lastRenderedPageBreak/>
        <w:t xml:space="preserve">Table S2. Current Procedural Terminology Codes for Crohn’s Disease and Ulcerative Colitis Surgery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6894"/>
      </w:tblGrid>
      <w:tr w:rsidR="00C5651F" w:rsidRPr="00D66EE4" w14:paraId="48512799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53897319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66EE4">
              <w:rPr>
                <w:rFonts w:ascii="Times New Roman" w:hAnsi="Times New Roman" w:cs="Times New Roman"/>
                <w:b/>
                <w:bCs/>
              </w:rPr>
              <w:t>Current Procedural Terminology codes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5B1178B9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66EE4">
              <w:rPr>
                <w:rFonts w:ascii="Times New Roman" w:hAnsi="Times New Roman" w:cs="Times New Roman"/>
                <w:b/>
                <w:bCs/>
              </w:rPr>
              <w:t>Description</w:t>
            </w:r>
          </w:p>
        </w:tc>
      </w:tr>
      <w:tr w:rsidR="00C5651F" w:rsidRPr="00D66EE4" w14:paraId="1C920996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6C6902FA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44160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13A42E54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 xml:space="preserve">Colectomy, partial, with removal of terminal ileum with </w:t>
            </w:r>
            <w:proofErr w:type="spellStart"/>
            <w:r w:rsidRPr="00D66EE4">
              <w:rPr>
                <w:rFonts w:ascii="Times New Roman" w:hAnsi="Times New Roman" w:cs="Times New Roman"/>
              </w:rPr>
              <w:t>ileocolostomy</w:t>
            </w:r>
            <w:proofErr w:type="spellEnd"/>
          </w:p>
        </w:tc>
      </w:tr>
      <w:tr w:rsidR="00C5651F" w:rsidRPr="00D66EE4" w14:paraId="0187C585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29867465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44205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262C034F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 xml:space="preserve">Laparoscopy, surgical; colectomy, partial, with removal of terminal ileum with </w:t>
            </w:r>
            <w:proofErr w:type="spellStart"/>
            <w:r w:rsidRPr="00D66EE4">
              <w:rPr>
                <w:rFonts w:ascii="Times New Roman" w:hAnsi="Times New Roman" w:cs="Times New Roman"/>
              </w:rPr>
              <w:t>ileocolostomy</w:t>
            </w:r>
            <w:proofErr w:type="spellEnd"/>
          </w:p>
        </w:tc>
      </w:tr>
      <w:tr w:rsidR="00C5651F" w:rsidRPr="00D66EE4" w14:paraId="0769874A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50B12E4C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44120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3849EF2E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Enterectomy, resection of small intestine; single resection and anastomosis</w:t>
            </w:r>
          </w:p>
        </w:tc>
      </w:tr>
      <w:tr w:rsidR="00C5651F" w:rsidRPr="00D66EE4" w14:paraId="44534F93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7677D19C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46270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6DB1428F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Surgical treatment of anal fistula (fistulectomy/fistulotomy); subcutaneous</w:t>
            </w:r>
          </w:p>
        </w:tc>
      </w:tr>
      <w:tr w:rsidR="00C5651F" w:rsidRPr="00D66EE4" w14:paraId="35D163BF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4B209C55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46050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3D1A523B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Incision and drainage, perianal abscess, superficial</w:t>
            </w:r>
          </w:p>
        </w:tc>
      </w:tr>
      <w:tr w:rsidR="00C5651F" w:rsidRPr="00D66EE4" w14:paraId="62AAF44C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3CEC66B6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44310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542D232A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Ileostomy or jejunostomy, non-tube</w:t>
            </w:r>
          </w:p>
        </w:tc>
      </w:tr>
      <w:tr w:rsidR="00C5651F" w:rsidRPr="00D66EE4" w14:paraId="7D5B4194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536AF2FB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46060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48F86C30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Incision and drainage of ischiorectal or intramural abscess, with fistulectomy or fistulotomy, submuscular, with or without placement of seton</w:t>
            </w:r>
          </w:p>
        </w:tc>
      </w:tr>
      <w:tr w:rsidR="00C5651F" w:rsidRPr="00D66EE4" w14:paraId="31880852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30EFCA4B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44140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7A307F13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Colectomy, partial; with anastomosis</w:t>
            </w:r>
          </w:p>
        </w:tc>
      </w:tr>
      <w:tr w:rsidR="00C5651F" w:rsidRPr="00D66EE4" w14:paraId="0F2F24F7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4AB3F48D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44187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74B998FD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Laparoscopy, surgical; ileostomy or jejunostomy, non-tube</w:t>
            </w:r>
          </w:p>
        </w:tc>
      </w:tr>
      <w:tr w:rsidR="00C5651F" w:rsidRPr="00D66EE4" w14:paraId="5A40DFC3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1EA9BF5F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44202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711F565B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Laparoscopy, surgical; enterectomy, resection of small intestine, single resection and anastomosis</w:t>
            </w:r>
          </w:p>
        </w:tc>
      </w:tr>
      <w:tr w:rsidR="00C5651F" w:rsidRPr="00D66EE4" w14:paraId="43F71FBF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05D51BAD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46280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5B937B89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 xml:space="preserve">Surgical treatment of anal fistula (fistulectomy/fistulotomy); </w:t>
            </w:r>
            <w:proofErr w:type="spellStart"/>
            <w:r w:rsidRPr="00D66EE4">
              <w:rPr>
                <w:rFonts w:ascii="Times New Roman" w:hAnsi="Times New Roman" w:cs="Times New Roman"/>
              </w:rPr>
              <w:t>transsphincteric</w:t>
            </w:r>
            <w:proofErr w:type="spellEnd"/>
            <w:r w:rsidRPr="00D66EE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66EE4">
              <w:rPr>
                <w:rFonts w:ascii="Times New Roman" w:hAnsi="Times New Roman" w:cs="Times New Roman"/>
              </w:rPr>
              <w:t>suprasphincteric</w:t>
            </w:r>
            <w:proofErr w:type="spellEnd"/>
            <w:r w:rsidRPr="00D66EE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66EE4">
              <w:rPr>
                <w:rFonts w:ascii="Times New Roman" w:hAnsi="Times New Roman" w:cs="Times New Roman"/>
              </w:rPr>
              <w:t>extrasphincteric</w:t>
            </w:r>
            <w:proofErr w:type="spellEnd"/>
            <w:r w:rsidRPr="00D66EE4">
              <w:rPr>
                <w:rFonts w:ascii="Times New Roman" w:hAnsi="Times New Roman" w:cs="Times New Roman"/>
              </w:rPr>
              <w:t xml:space="preserve"> or multiple, including placement of seton, when performed</w:t>
            </w:r>
          </w:p>
        </w:tc>
      </w:tr>
      <w:tr w:rsidR="00C5651F" w:rsidRPr="00D66EE4" w14:paraId="49C5B7AE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7A89A837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44204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0E075147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Laparoscopy, surgical; colectomy, partial, with anastomosis</w:t>
            </w:r>
          </w:p>
        </w:tc>
      </w:tr>
      <w:tr w:rsidR="00C5651F" w:rsidRPr="00D66EE4" w14:paraId="1F2A56E3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41247277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44150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2E481A6B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 xml:space="preserve">Colectomy, total, abdominal, without proctectomy; with ileostomy or </w:t>
            </w:r>
            <w:proofErr w:type="spellStart"/>
            <w:r w:rsidRPr="00D66EE4">
              <w:rPr>
                <w:rFonts w:ascii="Times New Roman" w:hAnsi="Times New Roman" w:cs="Times New Roman"/>
              </w:rPr>
              <w:t>ileoproctostomy</w:t>
            </w:r>
            <w:proofErr w:type="spellEnd"/>
          </w:p>
        </w:tc>
      </w:tr>
      <w:tr w:rsidR="00C5651F" w:rsidRPr="00D66EE4" w14:paraId="3DD62909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3653F80A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44155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4E5F6C9A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Colectomy, total, abdominal, with proctectomy; with ileostomy</w:t>
            </w:r>
          </w:p>
        </w:tc>
      </w:tr>
      <w:tr w:rsidR="00C5651F" w:rsidRPr="00D66EE4" w14:paraId="17B0F280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5BF116FC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44158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4B0B9DC9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Colectomy, total, abdominal, with proctectomy; with ileoanal anastomosis, creation of ileal reservoir (S or J), includes loop ileostomy, and rectal mucosectomy, when performed</w:t>
            </w:r>
          </w:p>
        </w:tc>
      </w:tr>
      <w:tr w:rsidR="00C5651F" w:rsidRPr="00D66EE4" w14:paraId="4A4DEB54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7A53E11A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44210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7EEFA305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 xml:space="preserve">Laparoscopy, surgical; colectomy, total, abdominal, without proctectomy, with ileostomy or </w:t>
            </w:r>
            <w:proofErr w:type="spellStart"/>
            <w:r w:rsidRPr="00D66EE4">
              <w:rPr>
                <w:rFonts w:ascii="Times New Roman" w:hAnsi="Times New Roman" w:cs="Times New Roman"/>
              </w:rPr>
              <w:t>ileoproctostomy</w:t>
            </w:r>
            <w:proofErr w:type="spellEnd"/>
          </w:p>
        </w:tc>
      </w:tr>
      <w:tr w:rsidR="00C5651F" w:rsidRPr="00D66EE4" w14:paraId="739380F4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2A49E0BD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44211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6F3F89B9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Laparoscopy, surgical; colectomy, total, abdominal, with proctectomy, with ileoanal anastomosis, creation of ileal reservoir (S or J), with loop ileostomy, includes rectal mucosectomy, when performed</w:t>
            </w:r>
          </w:p>
        </w:tc>
      </w:tr>
      <w:tr w:rsidR="00C5651F" w:rsidRPr="00D66EE4" w14:paraId="4DC7AC61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7CC70F7E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44212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7BAA428A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Laparoscopy, surgical; colectomy, total, abdominal, with proctectomy, with ileostomy</w:t>
            </w:r>
          </w:p>
        </w:tc>
      </w:tr>
      <w:tr w:rsidR="00C5651F" w:rsidRPr="00D66EE4" w14:paraId="3DD80A1F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002CF602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45113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57E66C5D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Proctectomy, partial, with rectal mucosectomy, ileoanal anastomosis, creation of ileal reservoir (S or J), with or without loop ileostomy</w:t>
            </w:r>
          </w:p>
        </w:tc>
      </w:tr>
      <w:tr w:rsidR="00C5651F" w:rsidRPr="00D66EE4" w14:paraId="6D5C8EE5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2409236D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45119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0DA0D01D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Proctectomy, combined abdominoperineal pull-through procedure (</w:t>
            </w:r>
            <w:proofErr w:type="spellStart"/>
            <w:r w:rsidRPr="00D66EE4">
              <w:rPr>
                <w:rFonts w:ascii="Times New Roman" w:hAnsi="Times New Roman" w:cs="Times New Roman"/>
              </w:rPr>
              <w:t>eg</w:t>
            </w:r>
            <w:proofErr w:type="spellEnd"/>
            <w:r w:rsidRPr="00D66EE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66EE4">
              <w:rPr>
                <w:rFonts w:ascii="Times New Roman" w:hAnsi="Times New Roman" w:cs="Times New Roman"/>
              </w:rPr>
              <w:t>colo</w:t>
            </w:r>
            <w:proofErr w:type="spellEnd"/>
            <w:r w:rsidRPr="00D66EE4">
              <w:rPr>
                <w:rFonts w:ascii="Times New Roman" w:hAnsi="Times New Roman" w:cs="Times New Roman"/>
              </w:rPr>
              <w:t>-anal anastomosis), with creation of colonic reservoir (</w:t>
            </w:r>
            <w:proofErr w:type="spellStart"/>
            <w:r w:rsidRPr="00D66EE4">
              <w:rPr>
                <w:rFonts w:ascii="Times New Roman" w:hAnsi="Times New Roman" w:cs="Times New Roman"/>
              </w:rPr>
              <w:t>eg</w:t>
            </w:r>
            <w:proofErr w:type="spellEnd"/>
            <w:r w:rsidRPr="00D66EE4">
              <w:rPr>
                <w:rFonts w:ascii="Times New Roman" w:hAnsi="Times New Roman" w:cs="Times New Roman"/>
              </w:rPr>
              <w:t>, j-pouch), with diverting enterostomy when performed</w:t>
            </w:r>
          </w:p>
        </w:tc>
      </w:tr>
      <w:tr w:rsidR="00C5651F" w:rsidRPr="00D66EE4" w14:paraId="4C2FAC0B" w14:textId="77777777" w:rsidTr="00A2005F">
        <w:trPr>
          <w:cantSplit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12E2E766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45397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25D3DF71" w14:textId="77777777" w:rsidR="00C5651F" w:rsidRPr="00D66EE4" w:rsidRDefault="00C5651F" w:rsidP="00A2005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Laparoscopy, surgical; proctectomy, combined abdominoperineal pull-through procedure (</w:t>
            </w:r>
            <w:proofErr w:type="spellStart"/>
            <w:r w:rsidRPr="00D66EE4">
              <w:rPr>
                <w:rFonts w:ascii="Times New Roman" w:hAnsi="Times New Roman" w:cs="Times New Roman"/>
              </w:rPr>
              <w:t>eg</w:t>
            </w:r>
            <w:proofErr w:type="spellEnd"/>
            <w:r w:rsidRPr="00D66EE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66EE4">
              <w:rPr>
                <w:rFonts w:ascii="Times New Roman" w:hAnsi="Times New Roman" w:cs="Times New Roman"/>
              </w:rPr>
              <w:t>colo</w:t>
            </w:r>
            <w:proofErr w:type="spellEnd"/>
            <w:r w:rsidRPr="00D66EE4">
              <w:rPr>
                <w:rFonts w:ascii="Times New Roman" w:hAnsi="Times New Roman" w:cs="Times New Roman"/>
              </w:rPr>
              <w:t>-anal anastomosis), with creation of colonic reservoir (</w:t>
            </w:r>
            <w:proofErr w:type="spellStart"/>
            <w:r w:rsidRPr="00D66EE4">
              <w:rPr>
                <w:rFonts w:ascii="Times New Roman" w:hAnsi="Times New Roman" w:cs="Times New Roman"/>
              </w:rPr>
              <w:t>eg</w:t>
            </w:r>
            <w:proofErr w:type="spellEnd"/>
            <w:r w:rsidRPr="00D66EE4">
              <w:rPr>
                <w:rFonts w:ascii="Times New Roman" w:hAnsi="Times New Roman" w:cs="Times New Roman"/>
              </w:rPr>
              <w:t>, J-pouch), with diverting enterostomy, when performed</w:t>
            </w:r>
          </w:p>
        </w:tc>
      </w:tr>
    </w:tbl>
    <w:p w14:paraId="5BE81276" w14:textId="77777777" w:rsidR="00C5651F" w:rsidRPr="00D66EE4" w:rsidRDefault="00C5651F" w:rsidP="00C5651F">
      <w:pPr>
        <w:spacing w:line="360" w:lineRule="auto"/>
        <w:rPr>
          <w:rFonts w:ascii="Times New Roman" w:hAnsi="Times New Roman" w:cs="Times New Roman"/>
        </w:rPr>
      </w:pPr>
    </w:p>
    <w:p w14:paraId="71192B5B" w14:textId="77777777" w:rsidR="00C5651F" w:rsidRPr="00D66EE4" w:rsidRDefault="00C5651F" w:rsidP="00C5651F">
      <w:pPr>
        <w:rPr>
          <w:rFonts w:ascii="Times New Roman" w:hAnsi="Times New Roman" w:cs="Times New Roman"/>
          <w:b/>
          <w:bCs/>
        </w:rPr>
      </w:pPr>
    </w:p>
    <w:p w14:paraId="6DA130E0" w14:textId="5B482C55" w:rsidR="00C5651F" w:rsidRPr="00D66EE4" w:rsidRDefault="00C5651F" w:rsidP="00C5651F">
      <w:pPr>
        <w:pStyle w:val="Caption"/>
        <w:spacing w:line="360" w:lineRule="auto"/>
        <w:ind w:left="0" w:firstLine="0"/>
        <w:rPr>
          <w:rFonts w:ascii="Times New Roman" w:hAnsi="Times New Roman"/>
          <w:szCs w:val="22"/>
        </w:rPr>
      </w:pPr>
      <w:r w:rsidRPr="00D66EE4">
        <w:rPr>
          <w:rFonts w:ascii="Times New Roman" w:hAnsi="Times New Roman"/>
          <w:szCs w:val="22"/>
        </w:rPr>
        <w:lastRenderedPageBreak/>
        <w:t xml:space="preserve">Table S3. Oral corticosteroid conversions table </w:t>
      </w:r>
      <w:r w:rsidRPr="00D66EE4">
        <w:rPr>
          <w:rFonts w:ascii="Times New Roman" w:hAnsi="Times New Roman"/>
          <w:szCs w:val="22"/>
        </w:rPr>
        <w:fldChar w:fldCharType="begin">
          <w:fldData xml:space="preserve">PEVuZE5vdGU+PENpdGU+PEF1dGhvcj5Dem9jazwvQXV0aG9yPjxZZWFyPjIwMDU8L1llYXI+PFJl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=
</w:fldData>
        </w:fldChar>
      </w:r>
      <w:r w:rsidRPr="00D66EE4">
        <w:rPr>
          <w:rFonts w:ascii="Times New Roman" w:hAnsi="Times New Roman"/>
          <w:szCs w:val="22"/>
        </w:rPr>
        <w:instrText xml:space="preserve"> ADDIN EN.CITE </w:instrText>
      </w:r>
      <w:r w:rsidRPr="00D66EE4">
        <w:rPr>
          <w:rFonts w:ascii="Times New Roman" w:hAnsi="Times New Roman"/>
          <w:szCs w:val="22"/>
        </w:rPr>
        <w:fldChar w:fldCharType="begin">
          <w:fldData xml:space="preserve">PEVuZE5vdGU+PENpdGU+PEF1dGhvcj5Dem9jazwvQXV0aG9yPjxZZWFyPjIwMDU8L1llYXI+PFJl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=
</w:fldData>
        </w:fldChar>
      </w:r>
      <w:r w:rsidRPr="00D66EE4">
        <w:rPr>
          <w:rFonts w:ascii="Times New Roman" w:hAnsi="Times New Roman"/>
          <w:szCs w:val="22"/>
        </w:rPr>
        <w:instrText xml:space="preserve"> ADDIN EN.CITE.DATA </w:instrText>
      </w:r>
      <w:r w:rsidRPr="00D66EE4">
        <w:rPr>
          <w:rFonts w:ascii="Times New Roman" w:hAnsi="Times New Roman"/>
          <w:szCs w:val="22"/>
        </w:rPr>
      </w:r>
      <w:r w:rsidRPr="00D66EE4">
        <w:rPr>
          <w:rFonts w:ascii="Times New Roman" w:hAnsi="Times New Roman"/>
          <w:szCs w:val="22"/>
        </w:rPr>
        <w:fldChar w:fldCharType="end"/>
      </w:r>
      <w:r w:rsidRPr="00D66EE4">
        <w:rPr>
          <w:rFonts w:ascii="Times New Roman" w:hAnsi="Times New Roman"/>
          <w:szCs w:val="22"/>
        </w:rPr>
      </w:r>
      <w:r w:rsidRPr="00D66EE4">
        <w:rPr>
          <w:rFonts w:ascii="Times New Roman" w:hAnsi="Times New Roman"/>
          <w:szCs w:val="22"/>
        </w:rPr>
        <w:fldChar w:fldCharType="separate"/>
      </w:r>
      <w:r w:rsidRPr="00D66EE4">
        <w:rPr>
          <w:rFonts w:ascii="Times New Roman" w:hAnsi="Times New Roman"/>
          <w:noProof/>
          <w:szCs w:val="22"/>
        </w:rPr>
        <w:t>(</w:t>
      </w:r>
      <w:r w:rsidR="007D6FC8">
        <w:rPr>
          <w:rFonts w:ascii="Times New Roman" w:hAnsi="Times New Roman"/>
          <w:noProof/>
          <w:szCs w:val="22"/>
        </w:rPr>
        <w:t>22-24</w:t>
      </w:r>
      <w:r w:rsidRPr="00D66EE4">
        <w:rPr>
          <w:rFonts w:ascii="Times New Roman" w:hAnsi="Times New Roman"/>
          <w:noProof/>
          <w:szCs w:val="22"/>
        </w:rPr>
        <w:t>)</w:t>
      </w:r>
      <w:r w:rsidRPr="00D66EE4">
        <w:rPr>
          <w:rFonts w:ascii="Times New Roman" w:hAnsi="Times New Roman"/>
          <w:szCs w:val="22"/>
        </w:rPr>
        <w:fldChar w:fldCharType="end"/>
      </w:r>
    </w:p>
    <w:tbl>
      <w:tblPr>
        <w:tblW w:w="39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5"/>
        <w:gridCol w:w="2629"/>
      </w:tblGrid>
      <w:tr w:rsidR="00C5651F" w:rsidRPr="00D66EE4" w14:paraId="287179A1" w14:textId="77777777" w:rsidTr="00A2005F">
        <w:trPr>
          <w:trHeight w:val="495"/>
          <w:tblHeader/>
          <w:jc w:val="center"/>
        </w:trPr>
        <w:tc>
          <w:tcPr>
            <w:tcW w:w="317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5BDCF417" w14:textId="77777777" w:rsidR="00C5651F" w:rsidRPr="00D66EE4" w:rsidRDefault="00C5651F" w:rsidP="00A2005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D66EE4">
              <w:rPr>
                <w:rFonts w:ascii="Times New Roman" w:hAnsi="Times New Roman" w:cs="Times New Roman"/>
                <w:b/>
                <w:bCs/>
              </w:rPr>
              <w:t>Compound</w:t>
            </w:r>
          </w:p>
        </w:tc>
        <w:tc>
          <w:tcPr>
            <w:tcW w:w="182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468CF3CA" w14:textId="77777777" w:rsidR="00C5651F" w:rsidRPr="00D66EE4" w:rsidRDefault="00C5651F" w:rsidP="00A2005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EE4">
              <w:rPr>
                <w:rFonts w:ascii="Times New Roman" w:hAnsi="Times New Roman" w:cs="Times New Roman"/>
                <w:b/>
                <w:bCs/>
              </w:rPr>
              <w:t>Equivalent Dose (mg)</w:t>
            </w:r>
          </w:p>
        </w:tc>
      </w:tr>
      <w:tr w:rsidR="00C5651F" w:rsidRPr="00D66EE4" w14:paraId="7B70E73A" w14:textId="77777777" w:rsidTr="00A2005F">
        <w:trPr>
          <w:trHeight w:val="25"/>
          <w:tblHeader/>
          <w:jc w:val="center"/>
        </w:trPr>
        <w:tc>
          <w:tcPr>
            <w:tcW w:w="317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</w:tcPr>
          <w:p w14:paraId="2453E8E3" w14:textId="77777777" w:rsidR="00C5651F" w:rsidRPr="00D66EE4" w:rsidRDefault="00C5651F" w:rsidP="00A2005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Betamethasone</w:t>
            </w:r>
          </w:p>
        </w:tc>
        <w:tc>
          <w:tcPr>
            <w:tcW w:w="182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</w:tcPr>
          <w:p w14:paraId="421A064F" w14:textId="77777777" w:rsidR="00C5651F" w:rsidRPr="00D66EE4" w:rsidRDefault="00C5651F" w:rsidP="00A2005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0.75</w:t>
            </w:r>
          </w:p>
        </w:tc>
      </w:tr>
      <w:tr w:rsidR="00C5651F" w:rsidRPr="00D66EE4" w14:paraId="4F957B8F" w14:textId="77777777" w:rsidTr="00A2005F">
        <w:trPr>
          <w:trHeight w:val="80"/>
          <w:tblHeader/>
          <w:jc w:val="center"/>
        </w:trPr>
        <w:tc>
          <w:tcPr>
            <w:tcW w:w="317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</w:tcPr>
          <w:p w14:paraId="356396CE" w14:textId="77777777" w:rsidR="00C5651F" w:rsidRPr="00D66EE4" w:rsidRDefault="00C5651F" w:rsidP="00A2005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Budesonide</w:t>
            </w:r>
          </w:p>
        </w:tc>
        <w:tc>
          <w:tcPr>
            <w:tcW w:w="182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</w:tcPr>
          <w:p w14:paraId="489D24B1" w14:textId="77777777" w:rsidR="00C5651F" w:rsidRPr="00D66EE4" w:rsidRDefault="00C5651F" w:rsidP="00A2005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0.375</w:t>
            </w:r>
          </w:p>
        </w:tc>
      </w:tr>
      <w:tr w:rsidR="00C5651F" w:rsidRPr="00D66EE4" w14:paraId="5703A460" w14:textId="77777777" w:rsidTr="00A2005F">
        <w:trPr>
          <w:trHeight w:val="72"/>
          <w:jc w:val="center"/>
        </w:trPr>
        <w:tc>
          <w:tcPr>
            <w:tcW w:w="317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34B1EDF3" w14:textId="77777777" w:rsidR="00C5651F" w:rsidRPr="00D66EE4" w:rsidRDefault="00C5651F" w:rsidP="00A2005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Cortisone</w:t>
            </w:r>
          </w:p>
        </w:tc>
        <w:tc>
          <w:tcPr>
            <w:tcW w:w="182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29024451" w14:textId="77777777" w:rsidR="00C5651F" w:rsidRPr="00D66EE4" w:rsidRDefault="00C5651F" w:rsidP="00A2005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25</w:t>
            </w:r>
          </w:p>
        </w:tc>
      </w:tr>
      <w:tr w:rsidR="00C5651F" w:rsidRPr="00D66EE4" w14:paraId="7F82EF0D" w14:textId="77777777" w:rsidTr="00A2005F">
        <w:trPr>
          <w:trHeight w:val="72"/>
          <w:jc w:val="center"/>
        </w:trPr>
        <w:tc>
          <w:tcPr>
            <w:tcW w:w="317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</w:tcPr>
          <w:p w14:paraId="41C5E59F" w14:textId="77777777" w:rsidR="00C5651F" w:rsidRPr="00D66EE4" w:rsidRDefault="00C5651F" w:rsidP="00A2005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Deflazacort</w:t>
            </w:r>
          </w:p>
        </w:tc>
        <w:tc>
          <w:tcPr>
            <w:tcW w:w="182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</w:tcPr>
          <w:p w14:paraId="6006CA12" w14:textId="77777777" w:rsidR="00C5651F" w:rsidRPr="00D66EE4" w:rsidRDefault="00C5651F" w:rsidP="00A2005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7.5</w:t>
            </w:r>
          </w:p>
        </w:tc>
      </w:tr>
      <w:tr w:rsidR="00C5651F" w:rsidRPr="00D66EE4" w14:paraId="419C5D31" w14:textId="77777777" w:rsidTr="00A2005F">
        <w:trPr>
          <w:trHeight w:val="20"/>
          <w:jc w:val="center"/>
        </w:trPr>
        <w:tc>
          <w:tcPr>
            <w:tcW w:w="317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5D19AFBF" w14:textId="77777777" w:rsidR="00C5651F" w:rsidRPr="00D66EE4" w:rsidRDefault="00C5651F" w:rsidP="00A2005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Dexamethasone (Decadron)</w:t>
            </w:r>
          </w:p>
        </w:tc>
        <w:tc>
          <w:tcPr>
            <w:tcW w:w="182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3D780D20" w14:textId="77777777" w:rsidR="00C5651F" w:rsidRPr="00D66EE4" w:rsidRDefault="00C5651F" w:rsidP="00A2005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0.75</w:t>
            </w:r>
          </w:p>
        </w:tc>
      </w:tr>
      <w:tr w:rsidR="00C5651F" w:rsidRPr="00D66EE4" w14:paraId="000BB87B" w14:textId="77777777" w:rsidTr="00A2005F">
        <w:trPr>
          <w:trHeight w:val="20"/>
          <w:jc w:val="center"/>
        </w:trPr>
        <w:tc>
          <w:tcPr>
            <w:tcW w:w="317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26AFEF1A" w14:textId="77777777" w:rsidR="00C5651F" w:rsidRPr="00D66EE4" w:rsidRDefault="00C5651F" w:rsidP="00A2005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Hydrocortisone</w:t>
            </w:r>
          </w:p>
        </w:tc>
        <w:tc>
          <w:tcPr>
            <w:tcW w:w="182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46748B2B" w14:textId="77777777" w:rsidR="00C5651F" w:rsidRPr="00D66EE4" w:rsidRDefault="00C5651F" w:rsidP="00A2005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20</w:t>
            </w:r>
          </w:p>
        </w:tc>
      </w:tr>
      <w:tr w:rsidR="00C5651F" w:rsidRPr="00D66EE4" w14:paraId="5C4B3CE0" w14:textId="77777777" w:rsidTr="00A2005F">
        <w:trPr>
          <w:trHeight w:val="20"/>
          <w:jc w:val="center"/>
        </w:trPr>
        <w:tc>
          <w:tcPr>
            <w:tcW w:w="317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5CB10193" w14:textId="77777777" w:rsidR="00C5651F" w:rsidRPr="00D66EE4" w:rsidRDefault="00C5651F" w:rsidP="00A2005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Methylprednisolone (12-36 Hours)</w:t>
            </w:r>
          </w:p>
        </w:tc>
        <w:tc>
          <w:tcPr>
            <w:tcW w:w="182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0D965BC5" w14:textId="77777777" w:rsidR="00C5651F" w:rsidRPr="00D66EE4" w:rsidRDefault="00C5651F" w:rsidP="00A2005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</w:t>
            </w:r>
          </w:p>
        </w:tc>
      </w:tr>
      <w:tr w:rsidR="00C5651F" w:rsidRPr="00D66EE4" w14:paraId="6D948D9A" w14:textId="77777777" w:rsidTr="00A2005F">
        <w:trPr>
          <w:trHeight w:val="20"/>
          <w:jc w:val="center"/>
        </w:trPr>
        <w:tc>
          <w:tcPr>
            <w:tcW w:w="317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</w:tcPr>
          <w:p w14:paraId="4D6B52F0" w14:textId="77777777" w:rsidR="00C5651F" w:rsidRPr="00D66EE4" w:rsidRDefault="00C5651F" w:rsidP="00A2005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Paramethasone</w:t>
            </w:r>
          </w:p>
        </w:tc>
        <w:tc>
          <w:tcPr>
            <w:tcW w:w="182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</w:tcPr>
          <w:p w14:paraId="29599ACE" w14:textId="77777777" w:rsidR="00C5651F" w:rsidRPr="00D66EE4" w:rsidRDefault="00C5651F" w:rsidP="00A2005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2</w:t>
            </w:r>
          </w:p>
        </w:tc>
      </w:tr>
      <w:tr w:rsidR="00C5651F" w:rsidRPr="00D66EE4" w14:paraId="685EEA1F" w14:textId="77777777" w:rsidTr="00A2005F">
        <w:trPr>
          <w:trHeight w:val="20"/>
          <w:jc w:val="center"/>
        </w:trPr>
        <w:tc>
          <w:tcPr>
            <w:tcW w:w="317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770932B2" w14:textId="77777777" w:rsidR="00C5651F" w:rsidRPr="00D66EE4" w:rsidRDefault="00C5651F" w:rsidP="00A2005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Prednisolone</w:t>
            </w:r>
          </w:p>
        </w:tc>
        <w:tc>
          <w:tcPr>
            <w:tcW w:w="182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36EACA48" w14:textId="77777777" w:rsidR="00C5651F" w:rsidRPr="00D66EE4" w:rsidRDefault="00C5651F" w:rsidP="00A2005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5</w:t>
            </w:r>
          </w:p>
        </w:tc>
      </w:tr>
      <w:tr w:rsidR="00C5651F" w:rsidRPr="00D66EE4" w14:paraId="37000627" w14:textId="77777777" w:rsidTr="00A2005F">
        <w:trPr>
          <w:trHeight w:val="20"/>
          <w:jc w:val="center"/>
        </w:trPr>
        <w:tc>
          <w:tcPr>
            <w:tcW w:w="317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1C48896C" w14:textId="77777777" w:rsidR="00C5651F" w:rsidRPr="00D66EE4" w:rsidRDefault="00C5651F" w:rsidP="00A2005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Prednisone</w:t>
            </w:r>
          </w:p>
        </w:tc>
        <w:tc>
          <w:tcPr>
            <w:tcW w:w="182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14:paraId="25CCA5C4" w14:textId="77777777" w:rsidR="00C5651F" w:rsidRPr="00D66EE4" w:rsidRDefault="00C5651F" w:rsidP="00A2005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5</w:t>
            </w:r>
          </w:p>
        </w:tc>
      </w:tr>
      <w:tr w:rsidR="00C5651F" w:rsidRPr="00D66EE4" w14:paraId="094D94B2" w14:textId="77777777" w:rsidTr="00A2005F">
        <w:trPr>
          <w:trHeight w:val="20"/>
          <w:jc w:val="center"/>
        </w:trPr>
        <w:tc>
          <w:tcPr>
            <w:tcW w:w="317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</w:tcPr>
          <w:p w14:paraId="16F8D79E" w14:textId="77777777" w:rsidR="00C5651F" w:rsidRPr="00D66EE4" w:rsidRDefault="00C5651F" w:rsidP="00A2005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Triamcinolone</w:t>
            </w:r>
          </w:p>
        </w:tc>
        <w:tc>
          <w:tcPr>
            <w:tcW w:w="1825" w:type="pct"/>
            <w:tcMar>
              <w:top w:w="45" w:type="dxa"/>
              <w:left w:w="150" w:type="dxa"/>
              <w:bottom w:w="0" w:type="dxa"/>
              <w:right w:w="150" w:type="dxa"/>
            </w:tcMar>
            <w:vAlign w:val="center"/>
          </w:tcPr>
          <w:p w14:paraId="63748CE2" w14:textId="77777777" w:rsidR="00C5651F" w:rsidRPr="00D66EE4" w:rsidRDefault="00C5651F" w:rsidP="00A2005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D66EE4">
              <w:rPr>
                <w:rFonts w:ascii="Times New Roman" w:hAnsi="Times New Roman" w:cs="Times New Roman"/>
              </w:rPr>
              <w:t>4</w:t>
            </w:r>
          </w:p>
        </w:tc>
      </w:tr>
    </w:tbl>
    <w:p w14:paraId="004E14EF" w14:textId="77777777" w:rsidR="00C5651F" w:rsidRPr="00D66EE4" w:rsidRDefault="00C5651F" w:rsidP="00C5651F">
      <w:pPr>
        <w:rPr>
          <w:rFonts w:ascii="Times New Roman" w:hAnsi="Times New Roman" w:cs="Times New Roman"/>
          <w:b/>
          <w:bCs/>
        </w:rPr>
      </w:pPr>
    </w:p>
    <w:p w14:paraId="4E85C501" w14:textId="77777777" w:rsidR="00C5651F" w:rsidRPr="00D66EE4" w:rsidRDefault="00C5651F" w:rsidP="00C5651F">
      <w:pPr>
        <w:rPr>
          <w:rFonts w:ascii="Times New Roman" w:hAnsi="Times New Roman" w:cs="Times New Roman"/>
          <w:b/>
          <w:bCs/>
        </w:rPr>
      </w:pPr>
    </w:p>
    <w:p w14:paraId="7CE38955" w14:textId="77777777" w:rsidR="00C5651F" w:rsidRPr="00D66EE4" w:rsidRDefault="00C5651F" w:rsidP="00C5651F">
      <w:pPr>
        <w:spacing w:line="360" w:lineRule="auto"/>
        <w:rPr>
          <w:rFonts w:ascii="Times New Roman" w:hAnsi="Times New Roman" w:cs="Times New Roman"/>
          <w:b/>
          <w:bCs/>
        </w:rPr>
      </w:pPr>
      <w:r w:rsidRPr="00D66EE4">
        <w:rPr>
          <w:rFonts w:ascii="Times New Roman" w:hAnsi="Times New Roman" w:cs="Times New Roman"/>
          <w:b/>
          <w:bCs/>
        </w:rPr>
        <w:t>Figure S1. Patient identification</w:t>
      </w:r>
    </w:p>
    <w:p w14:paraId="78CA9C7B" w14:textId="7AD9A320" w:rsidR="000E25B5" w:rsidRDefault="00C5651F" w:rsidP="00C5651F">
      <w:pPr>
        <w:spacing w:line="360" w:lineRule="auto"/>
        <w:rPr>
          <w:rFonts w:ascii="Times New Roman" w:hAnsi="Times New Roman" w:cs="Times New Roman"/>
          <w:b/>
          <w:bCs/>
        </w:rPr>
      </w:pPr>
      <w:r w:rsidRPr="00D66EE4">
        <w:rPr>
          <w:rFonts w:ascii="Times New Roman" w:hAnsi="Times New Roman" w:cs="Times New Roman"/>
          <w:b/>
          <w:bCs/>
          <w:noProof/>
          <w:lang w:eastAsia="en-IN"/>
        </w:rPr>
        <w:drawing>
          <wp:inline distT="0" distB="0" distL="0" distR="0" wp14:anchorId="169A4A8A" wp14:editId="382A3F90">
            <wp:extent cx="6355080" cy="3957065"/>
            <wp:effectExtent l="0" t="0" r="7620" b="5715"/>
            <wp:docPr id="1" name="Picture 1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835" cy="396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E25B5" w:rsidSect="00A717C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A44EA" w14:textId="77777777" w:rsidR="00135AAC" w:rsidRDefault="00135AAC">
      <w:pPr>
        <w:spacing w:after="0" w:line="240" w:lineRule="auto"/>
      </w:pPr>
      <w:r>
        <w:separator/>
      </w:r>
    </w:p>
  </w:endnote>
  <w:endnote w:type="continuationSeparator" w:id="0">
    <w:p w14:paraId="532936DF" w14:textId="77777777" w:rsidR="00135AAC" w:rsidRDefault="00135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77592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D55054" w14:textId="77777777" w:rsidR="00A12F0B" w:rsidRDefault="00C565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17C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D777843" w14:textId="77777777" w:rsidR="00A12F0B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19D02" w14:textId="77777777" w:rsidR="00135AAC" w:rsidRDefault="00135AAC">
      <w:pPr>
        <w:spacing w:after="0" w:line="240" w:lineRule="auto"/>
      </w:pPr>
      <w:r>
        <w:separator/>
      </w:r>
    </w:p>
  </w:footnote>
  <w:footnote w:type="continuationSeparator" w:id="0">
    <w:p w14:paraId="7BD1A8B6" w14:textId="77777777" w:rsidR="00135AAC" w:rsidRDefault="00135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0314C"/>
    <w:multiLevelType w:val="hybridMultilevel"/>
    <w:tmpl w:val="F1560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6457B"/>
    <w:multiLevelType w:val="hybridMultilevel"/>
    <w:tmpl w:val="510248D0"/>
    <w:lvl w:ilvl="0" w:tplc="FFFFFFFF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02924"/>
    <w:multiLevelType w:val="hybridMultilevel"/>
    <w:tmpl w:val="BBEE48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1B2CF8"/>
    <w:multiLevelType w:val="multilevel"/>
    <w:tmpl w:val="30C69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52233358">
    <w:abstractNumId w:val="3"/>
  </w:num>
  <w:num w:numId="2" w16cid:durableId="1797485719">
    <w:abstractNumId w:val="2"/>
  </w:num>
  <w:num w:numId="3" w16cid:durableId="179707735">
    <w:abstractNumId w:val="1"/>
  </w:num>
  <w:num w:numId="4" w16cid:durableId="793908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51F"/>
    <w:rsid w:val="000C1BEE"/>
    <w:rsid w:val="000C609F"/>
    <w:rsid w:val="000E25B5"/>
    <w:rsid w:val="00135AAC"/>
    <w:rsid w:val="006D7057"/>
    <w:rsid w:val="007D6FC8"/>
    <w:rsid w:val="00A717CE"/>
    <w:rsid w:val="00C5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DDA23"/>
  <w15:chartTrackingRefBased/>
  <w15:docId w15:val="{7505225A-C65A-40B6-A1AC-A54B1F65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5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5651F"/>
    <w:pPr>
      <w:ind w:left="720"/>
      <w:contextualSpacing/>
    </w:pPr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565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51F"/>
  </w:style>
  <w:style w:type="character" w:customStyle="1" w:styleId="ListParagraphChar">
    <w:name w:val="List Paragraph Char"/>
    <w:basedOn w:val="DefaultParagraphFont"/>
    <w:link w:val="ListParagraph"/>
    <w:uiPriority w:val="34"/>
    <w:rsid w:val="00C5651F"/>
    <w:rPr>
      <w:lang w:val="en-US"/>
    </w:rPr>
  </w:style>
  <w:style w:type="paragraph" w:styleId="Caption">
    <w:name w:val="caption"/>
    <w:basedOn w:val="Normal"/>
    <w:next w:val="Normal"/>
    <w:uiPriority w:val="99"/>
    <w:qFormat/>
    <w:rsid w:val="00C5651F"/>
    <w:pPr>
      <w:keepNext/>
      <w:keepLines/>
      <w:spacing w:before="240" w:after="120" w:line="259" w:lineRule="atLeast"/>
      <w:ind w:left="2304" w:hanging="2304"/>
    </w:pPr>
    <w:rPr>
      <w:rFonts w:ascii="Arial" w:eastAsia="Times New Roman" w:hAnsi="Arial" w:cs="Times New Roman"/>
      <w:b/>
      <w:bCs/>
      <w:szCs w:val="20"/>
      <w:lang w:val="en-US"/>
    </w:rPr>
  </w:style>
  <w:style w:type="table" w:customStyle="1" w:styleId="TableGrid3">
    <w:name w:val="Table Grid3"/>
    <w:basedOn w:val="TableNormal"/>
    <w:next w:val="TableGrid"/>
    <w:rsid w:val="00C565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C5651F"/>
    <w:pPr>
      <w:numPr>
        <w:numId w:val="3"/>
      </w:num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C56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C5651F"/>
  </w:style>
  <w:style w:type="character" w:customStyle="1" w:styleId="EndNoteBibliographyChar">
    <w:name w:val="EndNote Bibliography Char"/>
    <w:basedOn w:val="DefaultParagraphFont"/>
    <w:link w:val="EndNoteBibliography"/>
    <w:locked/>
    <w:rsid w:val="000E25B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E25B5"/>
    <w:pPr>
      <w:spacing w:line="240" w:lineRule="auto"/>
    </w:pPr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7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1100</Words>
  <Characters>6270</Characters>
  <Application>Microsoft Office Word</Application>
  <DocSecurity>0</DocSecurity>
  <Lines>52</Lines>
  <Paragraphs>14</Paragraphs>
  <ScaleCrop>false</ScaleCrop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Bannikoppa</dc:creator>
  <cp:keywords/>
  <dc:description/>
  <cp:lastModifiedBy>Moksha Shah</cp:lastModifiedBy>
  <cp:revision>4</cp:revision>
  <dcterms:created xsi:type="dcterms:W3CDTF">2022-03-30T06:28:00Z</dcterms:created>
  <dcterms:modified xsi:type="dcterms:W3CDTF">2023-02-23T23:08:00Z</dcterms:modified>
</cp:coreProperties>
</file>