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F3744" w14:textId="782A7C6C" w:rsidR="005150E3" w:rsidRDefault="005150E3">
      <w:pPr>
        <w:rPr>
          <w:rFonts w:ascii="Times New Roman" w:hAnsi="Times New Roman" w:cs="Times New Roman"/>
          <w:sz w:val="24"/>
          <w:szCs w:val="24"/>
        </w:rPr>
      </w:pPr>
      <w:r w:rsidRPr="00D34456">
        <w:rPr>
          <w:rFonts w:ascii="Times New Roman" w:hAnsi="Times New Roman" w:cs="Times New Roman"/>
          <w:sz w:val="24"/>
          <w:szCs w:val="24"/>
        </w:rPr>
        <w:t>Supplementary file</w:t>
      </w:r>
      <w:r w:rsidR="00DD2896">
        <w:rPr>
          <w:rFonts w:ascii="Times New Roman" w:hAnsi="Times New Roman" w:cs="Times New Roman"/>
          <w:sz w:val="24"/>
          <w:szCs w:val="24"/>
        </w:rPr>
        <w:t xml:space="preserve"> 3</w:t>
      </w:r>
    </w:p>
    <w:p w14:paraId="6FA670A6" w14:textId="2BDBA7B3" w:rsidR="00631D0C" w:rsidRPr="00A712A9" w:rsidRDefault="00A712A9">
      <w:pPr>
        <w:rPr>
          <w:rFonts w:ascii="Times New Roman" w:hAnsi="Times New Roman" w:cs="Times New Roman"/>
          <w:b/>
          <w:bCs/>
          <w:sz w:val="24"/>
          <w:szCs w:val="24"/>
        </w:rPr>
      </w:pPr>
      <w:r w:rsidRPr="00A712A9">
        <w:rPr>
          <w:rFonts w:ascii="Times New Roman" w:hAnsi="Times New Roman" w:cs="Times New Roman"/>
          <w:b/>
          <w:bCs/>
          <w:sz w:val="24"/>
          <w:szCs w:val="24"/>
        </w:rPr>
        <w:t xml:space="preserve">Databases and search strategy </w:t>
      </w:r>
    </w:p>
    <w:p w14:paraId="217BF265" w14:textId="7C77C1ED" w:rsidR="00631D0C" w:rsidRPr="00D358D6" w:rsidRDefault="00631D0C" w:rsidP="00631D0C">
      <w:pPr>
        <w:spacing w:afterLines="50" w:after="120" w:line="360" w:lineRule="auto"/>
        <w:jc w:val="both"/>
        <w:rPr>
          <w:rFonts w:ascii="Times New Roman" w:eastAsia="Times New Roman" w:hAnsi="Times New Roman" w:cs="Times New Roman"/>
          <w:sz w:val="24"/>
          <w:szCs w:val="24"/>
        </w:rPr>
      </w:pPr>
      <w:r w:rsidRPr="00D358D6">
        <w:rPr>
          <w:rFonts w:ascii="Times New Roman" w:eastAsia="Times New Roman" w:hAnsi="Times New Roman" w:cs="Times New Roman"/>
          <w:color w:val="000000"/>
          <w:sz w:val="24"/>
          <w:szCs w:val="24"/>
        </w:rPr>
        <w:t xml:space="preserve">PubMed, Google Scholar, </w:t>
      </w:r>
      <w:proofErr w:type="spellStart"/>
      <w:r w:rsidRPr="00D358D6">
        <w:rPr>
          <w:rFonts w:ascii="Times New Roman" w:eastAsia="Times New Roman" w:hAnsi="Times New Roman" w:cs="Times New Roman"/>
          <w:color w:val="000000"/>
          <w:sz w:val="24"/>
          <w:szCs w:val="24"/>
        </w:rPr>
        <w:t>Hinari</w:t>
      </w:r>
      <w:proofErr w:type="spellEnd"/>
      <w:r w:rsidRPr="00D358D6">
        <w:rPr>
          <w:rFonts w:ascii="Times New Roman" w:eastAsia="Times New Roman" w:hAnsi="Times New Roman" w:cs="Times New Roman"/>
          <w:color w:val="000000"/>
          <w:sz w:val="24"/>
          <w:szCs w:val="24"/>
        </w:rPr>
        <w:t xml:space="preserve">, Scopus, and the </w:t>
      </w:r>
      <w:r w:rsidR="006B5BC8">
        <w:rPr>
          <w:rFonts w:ascii="Times New Roman" w:eastAsia="Times New Roman" w:hAnsi="Times New Roman" w:cs="Times New Roman"/>
          <w:color w:val="000000"/>
          <w:sz w:val="24"/>
          <w:szCs w:val="24"/>
        </w:rPr>
        <w:t>D</w:t>
      </w:r>
      <w:r w:rsidRPr="00D358D6">
        <w:rPr>
          <w:rFonts w:ascii="Times New Roman" w:eastAsia="Times New Roman" w:hAnsi="Times New Roman" w:cs="Times New Roman"/>
          <w:color w:val="000000"/>
          <w:sz w:val="24"/>
          <w:szCs w:val="24"/>
        </w:rPr>
        <w:t xml:space="preserve">irectory of Open Access Journals (DOAJ) were searched to identify potential articles on </w:t>
      </w:r>
      <w:r w:rsidRPr="00D358D6">
        <w:rPr>
          <w:rFonts w:ascii="Times New Roman" w:eastAsia="Times New Roman" w:hAnsi="Times New Roman" w:cs="Times New Roman"/>
          <w:i/>
          <w:iCs/>
          <w:color w:val="000000"/>
          <w:sz w:val="24"/>
          <w:szCs w:val="24"/>
        </w:rPr>
        <w:t>H. pylori</w:t>
      </w:r>
      <w:r w:rsidRPr="00D358D6">
        <w:rPr>
          <w:rFonts w:ascii="Times New Roman" w:eastAsia="Times New Roman" w:hAnsi="Times New Roman" w:cs="Times New Roman"/>
          <w:color w:val="000000"/>
          <w:sz w:val="24"/>
          <w:szCs w:val="24"/>
        </w:rPr>
        <w:t xml:space="preserve"> eradication in Africa. The search was conducted following the PRISMA guideline and checklists (</w:t>
      </w:r>
      <w:r w:rsidRPr="00D358D6">
        <w:rPr>
          <w:rFonts w:ascii="Times New Roman" w:eastAsia="Times New Roman" w:hAnsi="Times New Roman" w:cs="Times New Roman"/>
          <w:color w:val="000000"/>
          <w:sz w:val="24"/>
          <w:szCs w:val="24"/>
        </w:rPr>
        <w:fldChar w:fldCharType="begin"/>
      </w:r>
      <w:r w:rsidRPr="00D358D6">
        <w:rPr>
          <w:rFonts w:ascii="Times New Roman" w:eastAsia="Times New Roman" w:hAnsi="Times New Roman" w:cs="Times New Roman"/>
          <w:color w:val="000000"/>
          <w:sz w:val="24"/>
          <w:szCs w:val="24"/>
        </w:rPr>
        <w:instrText xml:space="preserve"> ADDIN EN.CITE &lt;EndNote&gt;&lt;Cite&gt;&lt;Author&gt;Moher&lt;/Author&gt;&lt;Year&gt;2015&lt;/Year&gt;&lt;RecNum&gt;29&lt;/RecNum&gt;&lt;DisplayText&gt;[12]&lt;/DisplayText&gt;&lt;record&gt;&lt;rec-number&gt;29&lt;/rec-number&gt;&lt;foreign-keys&gt;&lt;key app="EN" db-id="wteaptz5cxrdziefx0k5v9dr9a9vveeee5d9" timestamp="1662263896"&gt;29&lt;/key&gt;&lt;/foreign-keys&gt;&lt;ref-type name="Journal Article"&gt;17&lt;/ref-type&gt;&lt;contributors&gt;&lt;authors&gt;&lt;author&gt;Moher, D.&lt;/author&gt;&lt;author&gt;Shamseer, L.&lt;/author&gt;&lt;author&gt;Clarke, M.&lt;/author&gt;&lt;author&gt;Ghersi, D.&lt;/author&gt;&lt;author&gt;Liberati, A.&lt;/author&gt;&lt;author&gt;Petticrew, M.&lt;/author&gt;&lt;author&gt;Shekelle, P.&lt;/author&gt;&lt;author&gt;Stewart, L. A.&lt;/author&gt;&lt;/authors&gt;&lt;/contributors&gt;&lt;auth-address&gt;Ottawa Hospital Research Institute and University of Ottawa, Ottawa, Canada. dmoher@ohri.ca.&lt;/auth-address&gt;&lt;titles&gt;&lt;title&gt;Preferred reporting items for systematic review and meta-analysis protocols (PRISMA-P) 2015 statement&lt;/title&gt;&lt;secondary-title&gt;Syst Rev&lt;/secondary-title&gt;&lt;/titles&gt;&lt;periodical&gt;&lt;full-title&gt;Syst Rev&lt;/full-title&gt;&lt;/periodical&gt;&lt;pages&gt;1&lt;/pages&gt;&lt;volume&gt;4&lt;/volume&gt;&lt;number&gt;1&lt;/number&gt;&lt;edition&gt;20150101&lt;/edition&gt;&lt;keywords&gt;&lt;keyword&gt;Access to Information&lt;/keyword&gt;&lt;keyword&gt;Checklist&lt;/keyword&gt;&lt;keyword&gt;Evidence-Based Medicine&lt;/keyword&gt;&lt;keyword&gt;*Guideline Adherence&lt;/keyword&gt;&lt;keyword&gt;Humans&lt;/keyword&gt;&lt;keyword&gt;*Meta-Analysis as Topic&lt;/keyword&gt;&lt;keyword&gt;Publishing/organization &amp;amp; administration/*standards&lt;/keyword&gt;&lt;keyword&gt;Quality Control&lt;/keyword&gt;&lt;keyword&gt;*Systematic Reviews as Topic&lt;/keyword&gt;&lt;/keywords&gt;&lt;dates&gt;&lt;year&gt;2015&lt;/year&gt;&lt;pub-dates&gt;&lt;date&gt;Jan 1&lt;/date&gt;&lt;/pub-dates&gt;&lt;/dates&gt;&lt;isbn&gt;2046-4053&lt;/isbn&gt;&lt;accession-num&gt;25554246&lt;/accession-num&gt;&lt;urls&gt;&lt;/urls&gt;&lt;custom2&gt;PMC4320440&lt;/custom2&gt;&lt;electronic-resource-num&gt;10.1186/2046-4053-4-1&lt;/electronic-resource-num&gt;&lt;remote-database-provider&gt;NLM&lt;/remote-database-provider&gt;&lt;language&gt;eng&lt;/language&gt;&lt;/record&gt;&lt;/Cite&gt;&lt;/EndNote&gt;</w:instrText>
      </w:r>
      <w:r w:rsidRPr="00D358D6">
        <w:rPr>
          <w:rFonts w:ascii="Times New Roman" w:eastAsia="Times New Roman" w:hAnsi="Times New Roman" w:cs="Times New Roman"/>
          <w:color w:val="000000"/>
          <w:sz w:val="24"/>
          <w:szCs w:val="24"/>
        </w:rPr>
        <w:fldChar w:fldCharType="separate"/>
      </w:r>
      <w:r w:rsidRPr="00D358D6">
        <w:rPr>
          <w:rFonts w:ascii="Times New Roman" w:eastAsia="Times New Roman" w:hAnsi="Times New Roman" w:cs="Times New Roman"/>
          <w:noProof/>
          <w:color w:val="000000"/>
          <w:sz w:val="24"/>
          <w:szCs w:val="24"/>
        </w:rPr>
        <w:t>[12]</w:t>
      </w:r>
      <w:r w:rsidRPr="00D358D6">
        <w:rPr>
          <w:rFonts w:ascii="Times New Roman" w:eastAsia="Times New Roman" w:hAnsi="Times New Roman" w:cs="Times New Roman"/>
          <w:color w:val="000000"/>
          <w:sz w:val="24"/>
          <w:szCs w:val="24"/>
        </w:rPr>
        <w:fldChar w:fldCharType="end"/>
      </w:r>
      <w:r w:rsidRPr="00D358D6">
        <w:rPr>
          <w:rFonts w:ascii="Times New Roman" w:eastAsia="Times New Roman" w:hAnsi="Times New Roman" w:cs="Times New Roman"/>
          <w:color w:val="000000"/>
          <w:sz w:val="24"/>
          <w:szCs w:val="24"/>
        </w:rPr>
        <w:t xml:space="preserve">, Fig. 1). To search PubMed, the following terms were combined using </w:t>
      </w:r>
      <w:proofErr w:type="spellStart"/>
      <w:r w:rsidRPr="00D358D6">
        <w:rPr>
          <w:rFonts w:ascii="Times New Roman" w:eastAsia="Times New Roman" w:hAnsi="Times New Roman" w:cs="Times New Roman"/>
          <w:color w:val="000000"/>
          <w:sz w:val="24"/>
          <w:szCs w:val="24"/>
        </w:rPr>
        <w:t>MeSH</w:t>
      </w:r>
      <w:proofErr w:type="spellEnd"/>
      <w:r w:rsidRPr="00D358D6">
        <w:rPr>
          <w:rFonts w:ascii="Times New Roman" w:eastAsia="Times New Roman" w:hAnsi="Times New Roman" w:cs="Times New Roman"/>
          <w:color w:val="000000"/>
          <w:sz w:val="24"/>
          <w:szCs w:val="24"/>
        </w:rPr>
        <w:t xml:space="preserve"> (Medical Subject Headings) and Boolean operators; </w:t>
      </w:r>
      <w:r w:rsidRPr="00D358D6">
        <w:rPr>
          <w:rFonts w:ascii="Times New Roman" w:hAnsi="Times New Roman" w:cs="Times New Roman"/>
          <w:sz w:val="24"/>
          <w:szCs w:val="24"/>
        </w:rPr>
        <w:t>“</w:t>
      </w:r>
      <w:r w:rsidRPr="00CC0C96">
        <w:rPr>
          <w:rFonts w:ascii="Times New Roman" w:hAnsi="Times New Roman" w:cs="Times New Roman"/>
          <w:i/>
          <w:sz w:val="24"/>
          <w:szCs w:val="24"/>
        </w:rPr>
        <w:t>H</w:t>
      </w:r>
      <w:r w:rsidRPr="00D358D6">
        <w:rPr>
          <w:rFonts w:ascii="Times New Roman" w:hAnsi="Times New Roman" w:cs="Times New Roman"/>
          <w:i/>
          <w:sz w:val="24"/>
          <w:szCs w:val="24"/>
        </w:rPr>
        <w:t>elicobacter pylori</w:t>
      </w:r>
      <w:r w:rsidRPr="00D358D6">
        <w:rPr>
          <w:rFonts w:ascii="Times New Roman" w:hAnsi="Times New Roman" w:cs="Times New Roman"/>
          <w:sz w:val="24"/>
          <w:szCs w:val="24"/>
        </w:rPr>
        <w:t>” “OR” “</w:t>
      </w:r>
      <w:r w:rsidRPr="00CC0C96">
        <w:rPr>
          <w:rFonts w:ascii="Times New Roman" w:hAnsi="Times New Roman" w:cs="Times New Roman"/>
          <w:i/>
          <w:sz w:val="24"/>
          <w:szCs w:val="24"/>
        </w:rPr>
        <w:t>H. pylori</w:t>
      </w:r>
      <w:r w:rsidRPr="00D358D6">
        <w:rPr>
          <w:rFonts w:ascii="Times New Roman" w:hAnsi="Times New Roman" w:cs="Times New Roman"/>
          <w:sz w:val="24"/>
          <w:szCs w:val="24"/>
        </w:rPr>
        <w:t xml:space="preserve">” AND “eradication therapy” OR “treatment failure” OR “triple therapy” OR “quadruple therapy” OR “antimicrobial resistance” OR “antibacterial resistance” OR “antibiotic resistance” OR “efficacy” OR “effectiveness” OR “treatment” AND </w:t>
      </w:r>
      <w:r w:rsidRPr="00D358D6">
        <w:rPr>
          <w:rStyle w:val="fontstyle01"/>
          <w:rFonts w:ascii="Times New Roman" w:hAnsi="Times New Roman" w:cs="Times New Roman"/>
          <w:sz w:val="24"/>
          <w:szCs w:val="24"/>
        </w:rPr>
        <w:t xml:space="preserve">“Africa” OR “Algeria” OR “Angola” OR “Benin” OR “Botswana” 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Burkina Faso</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OR “Burundi” OR “Cameroon” OR</w:t>
      </w:r>
      <w:r w:rsidRPr="00D358D6">
        <w:rPr>
          <w:rFonts w:ascii="Times New Roman" w:hAnsi="Times New Roman" w:cs="Times New Roman"/>
          <w:color w:val="000000"/>
          <w:sz w:val="24"/>
          <w:szCs w:val="24"/>
        </w:rPr>
        <w:t xml:space="preserve">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Canary Islands</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Cape Verde</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Central African Republic</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OR “Chad” OR “Comoros” OR “Congo” OR</w:t>
      </w:r>
      <w:r w:rsidRPr="00D358D6">
        <w:rPr>
          <w:rFonts w:ascii="Times New Roman" w:hAnsi="Times New Roman" w:cs="Times New Roman"/>
          <w:color w:val="000000"/>
          <w:sz w:val="24"/>
          <w:szCs w:val="24"/>
        </w:rPr>
        <w:t xml:space="preserve">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Democratic Republic of Congo</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“Djibouti” OR “Egypt” 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Equatorial Guinea</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OR “Eritrea” OR “Ethiopia” OR</w:t>
      </w:r>
      <w:r w:rsidRPr="00D358D6">
        <w:rPr>
          <w:rFonts w:ascii="Times New Roman" w:hAnsi="Times New Roman" w:cs="Times New Roman"/>
          <w:color w:val="000000"/>
          <w:sz w:val="24"/>
          <w:szCs w:val="24"/>
        </w:rPr>
        <w:t xml:space="preserve"> “</w:t>
      </w:r>
      <w:r w:rsidRPr="00D358D6">
        <w:rPr>
          <w:rStyle w:val="fontstyle01"/>
          <w:rFonts w:ascii="Times New Roman" w:hAnsi="Times New Roman" w:cs="Times New Roman"/>
          <w:sz w:val="24"/>
          <w:szCs w:val="24"/>
        </w:rPr>
        <w:t xml:space="preserve">Gabon” OR “Gambia” OR “Ghana” OR “Guinea” 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Guinea Bissau</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Ivory Coast</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Cote d</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Ivoire</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OR</w:t>
      </w:r>
      <w:r w:rsidRPr="00D358D6">
        <w:rPr>
          <w:rFonts w:ascii="Times New Roman" w:hAnsi="Times New Roman" w:cs="Times New Roman"/>
          <w:color w:val="000000"/>
          <w:sz w:val="24"/>
          <w:szCs w:val="24"/>
        </w:rPr>
        <w:t xml:space="preserve"> “</w:t>
      </w:r>
      <w:r w:rsidRPr="00D358D6">
        <w:rPr>
          <w:rStyle w:val="fontstyle01"/>
          <w:rFonts w:ascii="Times New Roman" w:hAnsi="Times New Roman" w:cs="Times New Roman"/>
          <w:sz w:val="24"/>
          <w:szCs w:val="24"/>
        </w:rPr>
        <w:t>Jamahiriya” OR “Kenya” OR “Lesotho” OR “Liberia” OR “Libya” OR “Madagascar” OR “Malawi” OR “Mali” OR “Mauritania”</w:t>
      </w:r>
      <w:r w:rsidRPr="00D358D6">
        <w:rPr>
          <w:rFonts w:ascii="Times New Roman" w:hAnsi="Times New Roman" w:cs="Times New Roman"/>
          <w:color w:val="000000"/>
          <w:sz w:val="24"/>
          <w:szCs w:val="24"/>
        </w:rPr>
        <w:t xml:space="preserve"> </w:t>
      </w:r>
      <w:r w:rsidRPr="00D358D6">
        <w:rPr>
          <w:rStyle w:val="fontstyle01"/>
          <w:rFonts w:ascii="Times New Roman" w:hAnsi="Times New Roman" w:cs="Times New Roman"/>
          <w:sz w:val="24"/>
          <w:szCs w:val="24"/>
        </w:rPr>
        <w:t xml:space="preserve">OR </w:t>
      </w:r>
      <w:r w:rsidRPr="00D358D6">
        <w:rPr>
          <w:rFonts w:ascii="Times New Roman" w:hAnsi="Times New Roman" w:cs="Times New Roman"/>
          <w:sz w:val="24"/>
          <w:szCs w:val="24"/>
        </w:rPr>
        <w:t>“Mauritius” OR “Mayotte” OR “Morocco” OR “Mozambique” OR “Namibia” OR “Niger” OR “Nigeria” OR “Rwanda” OR “Sao Tome” OR “Senegal” OR “Seychelles” OR “Sierra Leone” OR “Somalia” OR “South Africa” OR “South Sudan” OR “St Helena” OR “Sudan” OR “Swaziland” OR “Tanzania” OR “Togo” OR “Tunisia” OR “Uganda” OR “Western Sahara” OR “Zaire” OR “Zambia” OR “Zimbabwe” OR “Central Africa” OR “Central African” OR “West Africa” OR “West African” OR “Western Africa” OR “Western African” OR “East Africa” OR “East African”</w:t>
      </w:r>
      <w:r w:rsidRPr="00D358D6">
        <w:rPr>
          <w:rFonts w:ascii="Times New Roman" w:hAnsi="Times New Roman" w:cs="Times New Roman"/>
          <w:color w:val="000000"/>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Eastern Africa</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Eastern African</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North Africa</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North African</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Northern Africa</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OR</w:t>
      </w:r>
      <w:r w:rsidRPr="00D358D6">
        <w:rPr>
          <w:rFonts w:ascii="Times New Roman" w:hAnsi="Times New Roman" w:cs="Times New Roman"/>
          <w:color w:val="000000"/>
          <w:sz w:val="24"/>
          <w:szCs w:val="24"/>
        </w:rPr>
        <w:t xml:space="preserve">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Northern African</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South African</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Southern Africa</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Southern African</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sub Saharan Africa</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OR</w:t>
      </w:r>
      <w:r w:rsidRPr="00D358D6">
        <w:rPr>
          <w:rFonts w:ascii="Times New Roman" w:hAnsi="Times New Roman" w:cs="Times New Roman"/>
          <w:color w:val="000000"/>
          <w:sz w:val="24"/>
          <w:szCs w:val="24"/>
        </w:rPr>
        <w:t xml:space="preserve"> </w:t>
      </w:r>
      <w:r w:rsidRPr="00D358D6">
        <w:rPr>
          <w:rStyle w:val="fontstyle21"/>
          <w:rFonts w:ascii="Times New Roman" w:hAnsi="Times New Roman" w:cs="Times New Roman"/>
          <w:sz w:val="24"/>
          <w:szCs w:val="24"/>
        </w:rPr>
        <w:t>“</w:t>
      </w:r>
      <w:r w:rsidRPr="00D358D6">
        <w:rPr>
          <w:rStyle w:val="fontstyle01"/>
          <w:rFonts w:ascii="Times New Roman" w:hAnsi="Times New Roman" w:cs="Times New Roman"/>
          <w:sz w:val="24"/>
          <w:szCs w:val="24"/>
        </w:rPr>
        <w:t>sub Saharan African</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proofErr w:type="spellStart"/>
      <w:r w:rsidRPr="00D358D6">
        <w:rPr>
          <w:rStyle w:val="fontstyle01"/>
          <w:rFonts w:ascii="Times New Roman" w:hAnsi="Times New Roman" w:cs="Times New Roman"/>
          <w:sz w:val="24"/>
          <w:szCs w:val="24"/>
        </w:rPr>
        <w:t>subSaharan</w:t>
      </w:r>
      <w:proofErr w:type="spellEnd"/>
      <w:r w:rsidRPr="00D358D6">
        <w:rPr>
          <w:rStyle w:val="fontstyle01"/>
          <w:rFonts w:ascii="Times New Roman" w:hAnsi="Times New Roman" w:cs="Times New Roman"/>
          <w:sz w:val="24"/>
          <w:szCs w:val="24"/>
        </w:rPr>
        <w:t xml:space="preserve"> Africa</w:t>
      </w:r>
      <w:r w:rsidRPr="00D358D6">
        <w:rPr>
          <w:rStyle w:val="fontstyle21"/>
          <w:rFonts w:ascii="Times New Roman" w:hAnsi="Times New Roman" w:cs="Times New Roman"/>
          <w:sz w:val="24"/>
          <w:szCs w:val="24"/>
        </w:rPr>
        <w:t xml:space="preserve">” </w:t>
      </w:r>
      <w:r w:rsidRPr="00D358D6">
        <w:rPr>
          <w:rStyle w:val="fontstyle01"/>
          <w:rFonts w:ascii="Times New Roman" w:hAnsi="Times New Roman" w:cs="Times New Roman"/>
          <w:sz w:val="24"/>
          <w:szCs w:val="24"/>
        </w:rPr>
        <w:t xml:space="preserve">OR </w:t>
      </w:r>
      <w:r w:rsidRPr="00D358D6">
        <w:rPr>
          <w:rStyle w:val="fontstyle21"/>
          <w:rFonts w:ascii="Times New Roman" w:hAnsi="Times New Roman" w:cs="Times New Roman"/>
          <w:sz w:val="24"/>
          <w:szCs w:val="24"/>
        </w:rPr>
        <w:t>“</w:t>
      </w:r>
      <w:proofErr w:type="spellStart"/>
      <w:r w:rsidRPr="00D358D6">
        <w:rPr>
          <w:rStyle w:val="fontstyle01"/>
          <w:rFonts w:ascii="Times New Roman" w:hAnsi="Times New Roman" w:cs="Times New Roman"/>
          <w:sz w:val="24"/>
          <w:szCs w:val="24"/>
        </w:rPr>
        <w:t>subSaharan</w:t>
      </w:r>
      <w:proofErr w:type="spellEnd"/>
      <w:r w:rsidRPr="00D358D6">
        <w:rPr>
          <w:rStyle w:val="fontstyle01"/>
          <w:rFonts w:ascii="Times New Roman" w:hAnsi="Times New Roman" w:cs="Times New Roman"/>
          <w:sz w:val="24"/>
          <w:szCs w:val="24"/>
        </w:rPr>
        <w:t xml:space="preserve"> African</w:t>
      </w:r>
      <w:r w:rsidRPr="00D358D6">
        <w:rPr>
          <w:rStyle w:val="fontstyle21"/>
          <w:rFonts w:ascii="Times New Roman" w:hAnsi="Times New Roman" w:cs="Times New Roman"/>
          <w:sz w:val="24"/>
          <w:szCs w:val="24"/>
        </w:rPr>
        <w:t>”</w:t>
      </w:r>
      <w:r w:rsidRPr="00D358D6">
        <w:rPr>
          <w:rFonts w:ascii="Times New Roman" w:eastAsia="Times New Roman" w:hAnsi="Times New Roman" w:cs="Times New Roman"/>
          <w:sz w:val="24"/>
          <w:szCs w:val="24"/>
        </w:rPr>
        <w:t xml:space="preserve">. The search included articles published in both English and non-English language. Google Translate was used to determine a publication’s eligibility for data extraction if it was written in a language other than English. To minimize bias and reduce the chance of missing studies, each author participated in extracting relevant articles from the different databases. The search results were combined into EndNote 20 (Clarivate Analytics USA). </w:t>
      </w:r>
      <w:r w:rsidRPr="00D358D6">
        <w:rPr>
          <w:rFonts w:ascii="Times New Roman" w:eastAsia="Times New Roman" w:hAnsi="Times New Roman" w:cs="Times New Roman"/>
          <w:color w:val="000000"/>
          <w:sz w:val="24"/>
          <w:szCs w:val="24"/>
        </w:rPr>
        <w:t xml:space="preserve">Articles were selected based on predefined inclusion criteria. This study included articles with the following characteristics: Observational or </w:t>
      </w:r>
      <w:r w:rsidRPr="00D358D6">
        <w:rPr>
          <w:rFonts w:ascii="Times New Roman" w:eastAsia="Times New Roman" w:hAnsi="Times New Roman" w:cs="Times New Roman"/>
          <w:color w:val="000000"/>
          <w:sz w:val="24"/>
          <w:szCs w:val="24"/>
        </w:rPr>
        <w:lastRenderedPageBreak/>
        <w:t xml:space="preserve">Randomized Clinical Trials (RCT), original journal articles, articles that reported </w:t>
      </w:r>
      <w:r w:rsidRPr="00D358D6">
        <w:rPr>
          <w:rFonts w:ascii="Times New Roman" w:eastAsia="Times New Roman" w:hAnsi="Times New Roman" w:cs="Times New Roman"/>
          <w:i/>
          <w:iCs/>
          <w:color w:val="000000"/>
          <w:sz w:val="24"/>
          <w:szCs w:val="24"/>
        </w:rPr>
        <w:t>H. pylori</w:t>
      </w:r>
      <w:r w:rsidRPr="00D358D6">
        <w:rPr>
          <w:rFonts w:ascii="Times New Roman" w:eastAsia="Times New Roman" w:hAnsi="Times New Roman" w:cs="Times New Roman"/>
          <w:color w:val="000000"/>
          <w:sz w:val="24"/>
          <w:szCs w:val="24"/>
        </w:rPr>
        <w:t xml:space="preserve"> eradication therapy on human subjects, and articles that reported </w:t>
      </w:r>
      <w:r w:rsidRPr="00D358D6">
        <w:rPr>
          <w:rFonts w:ascii="Times New Roman" w:eastAsia="Times New Roman" w:hAnsi="Times New Roman" w:cs="Times New Roman"/>
          <w:i/>
          <w:iCs/>
          <w:color w:val="000000"/>
          <w:sz w:val="24"/>
          <w:szCs w:val="24"/>
        </w:rPr>
        <w:t>H. pylori</w:t>
      </w:r>
      <w:r w:rsidRPr="00D358D6">
        <w:rPr>
          <w:rFonts w:ascii="Times New Roman" w:eastAsia="Times New Roman" w:hAnsi="Times New Roman" w:cs="Times New Roman"/>
          <w:color w:val="000000"/>
          <w:sz w:val="24"/>
          <w:szCs w:val="24"/>
        </w:rPr>
        <w:t xml:space="preserve"> eradication therapy in Africa. Duplicate studies, studies that reported </w:t>
      </w:r>
      <w:r w:rsidRPr="00CC0C96">
        <w:rPr>
          <w:rFonts w:ascii="Times New Roman" w:eastAsia="Times New Roman" w:hAnsi="Times New Roman" w:cs="Times New Roman"/>
          <w:i/>
          <w:color w:val="000000"/>
          <w:sz w:val="24"/>
          <w:szCs w:val="24"/>
        </w:rPr>
        <w:t>in vitro</w:t>
      </w:r>
      <w:r w:rsidRPr="00D358D6">
        <w:rPr>
          <w:rFonts w:ascii="Times New Roman" w:eastAsia="Times New Roman" w:hAnsi="Times New Roman" w:cs="Times New Roman"/>
          <w:color w:val="000000"/>
          <w:sz w:val="24"/>
          <w:szCs w:val="24"/>
        </w:rPr>
        <w:t xml:space="preserve"> anti-</w:t>
      </w:r>
      <w:r w:rsidRPr="00D358D6">
        <w:rPr>
          <w:rFonts w:ascii="Times New Roman" w:eastAsia="Times New Roman" w:hAnsi="Times New Roman" w:cs="Times New Roman"/>
          <w:i/>
          <w:iCs/>
          <w:color w:val="000000"/>
          <w:sz w:val="24"/>
          <w:szCs w:val="24"/>
        </w:rPr>
        <w:t>H. pylori</w:t>
      </w:r>
      <w:r w:rsidRPr="00D358D6">
        <w:rPr>
          <w:rFonts w:ascii="Times New Roman" w:eastAsia="Times New Roman" w:hAnsi="Times New Roman" w:cs="Times New Roman"/>
          <w:color w:val="000000"/>
          <w:sz w:val="24"/>
          <w:szCs w:val="24"/>
        </w:rPr>
        <w:t xml:space="preserve"> susceptibility testing, studies that primary objective was not eradication therapy, and studies with inconsistent methodology or results were excluded. </w:t>
      </w:r>
      <w:r w:rsidRPr="00D358D6">
        <w:rPr>
          <w:rFonts w:ascii="Times New Roman" w:eastAsia="Times New Roman" w:hAnsi="Times New Roman" w:cs="Times New Roman"/>
          <w:sz w:val="24"/>
          <w:szCs w:val="24"/>
        </w:rPr>
        <w:t xml:space="preserve">All articles that met the eligibility requirements and were published up through March 2022 were included. </w:t>
      </w:r>
      <w:r w:rsidRPr="00D358D6">
        <w:rPr>
          <w:rFonts w:ascii="Times New Roman" w:eastAsia="Times New Roman" w:hAnsi="Times New Roman" w:cs="Times New Roman"/>
          <w:color w:val="000000"/>
          <w:sz w:val="24"/>
          <w:szCs w:val="24"/>
        </w:rPr>
        <w:t xml:space="preserve">Two-stage selection of the articles was conducted. During stage one, the titles, abstracts, </w:t>
      </w:r>
      <w:proofErr w:type="gramStart"/>
      <w:r w:rsidRPr="00D358D6">
        <w:rPr>
          <w:rFonts w:ascii="Times New Roman" w:eastAsia="Times New Roman" w:hAnsi="Times New Roman" w:cs="Times New Roman"/>
          <w:color w:val="000000"/>
          <w:sz w:val="24"/>
          <w:szCs w:val="24"/>
        </w:rPr>
        <w:t>tables</w:t>
      </w:r>
      <w:proofErr w:type="gramEnd"/>
      <w:r w:rsidRPr="00D358D6">
        <w:rPr>
          <w:rFonts w:ascii="Times New Roman" w:eastAsia="Times New Roman" w:hAnsi="Times New Roman" w:cs="Times New Roman"/>
          <w:color w:val="000000"/>
          <w:sz w:val="24"/>
          <w:szCs w:val="24"/>
        </w:rPr>
        <w:t xml:space="preserve"> and figures of all retrieved articles were reviewed, and those articles that addressed the study question were deemed eligible for further review. However, those articles that did not satisfy our selection criteria were dropped. During stage two, the eligible articles were reviewed in full detail, and data mining was performed. </w:t>
      </w:r>
    </w:p>
    <w:p w14:paraId="3B8A8981" w14:textId="77777777" w:rsidR="00631D0C" w:rsidRPr="00D34456" w:rsidRDefault="00631D0C">
      <w:pPr>
        <w:rPr>
          <w:rFonts w:ascii="Times New Roman" w:hAnsi="Times New Roman" w:cs="Times New Roman"/>
          <w:sz w:val="24"/>
          <w:szCs w:val="24"/>
        </w:rPr>
      </w:pPr>
    </w:p>
    <w:p w14:paraId="0BAF5AC9" w14:textId="77777777" w:rsidR="005150E3" w:rsidRPr="00D34456" w:rsidRDefault="005150E3">
      <w:pPr>
        <w:rPr>
          <w:rFonts w:ascii="Times New Roman" w:hAnsi="Times New Roman" w:cs="Times New Roman"/>
          <w:sz w:val="24"/>
          <w:szCs w:val="24"/>
        </w:rPr>
      </w:pPr>
    </w:p>
    <w:sectPr w:rsidR="005150E3" w:rsidRPr="00D34456" w:rsidSect="00E869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3CC87" w14:textId="77777777" w:rsidR="00F02E9C" w:rsidRDefault="00F02E9C" w:rsidP="00DD2896">
      <w:pPr>
        <w:spacing w:after="0" w:line="240" w:lineRule="auto"/>
      </w:pPr>
      <w:r>
        <w:separator/>
      </w:r>
    </w:p>
  </w:endnote>
  <w:endnote w:type="continuationSeparator" w:id="0">
    <w:p w14:paraId="6CA095D4" w14:textId="77777777" w:rsidR="00F02E9C" w:rsidRDefault="00F02E9C" w:rsidP="00DD2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dvOT82c4f4c4">
    <w:altName w:val="Times New Roman"/>
    <w:panose1 w:val="00000000000000000000"/>
    <w:charset w:val="00"/>
    <w:family w:val="roman"/>
    <w:notTrueType/>
    <w:pitch w:val="default"/>
  </w:font>
  <w:font w:name="AdvOT82c4f4c4+20">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D2721" w14:textId="77777777" w:rsidR="00F02E9C" w:rsidRDefault="00F02E9C" w:rsidP="00DD2896">
      <w:pPr>
        <w:spacing w:after="0" w:line="240" w:lineRule="auto"/>
      </w:pPr>
      <w:r>
        <w:separator/>
      </w:r>
    </w:p>
  </w:footnote>
  <w:footnote w:type="continuationSeparator" w:id="0">
    <w:p w14:paraId="6142B576" w14:textId="77777777" w:rsidR="00F02E9C" w:rsidRDefault="00F02E9C" w:rsidP="00DD28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E3"/>
    <w:rsid w:val="005150E3"/>
    <w:rsid w:val="00631D0C"/>
    <w:rsid w:val="006B5BC8"/>
    <w:rsid w:val="00A712A9"/>
    <w:rsid w:val="00B04326"/>
    <w:rsid w:val="00D34456"/>
    <w:rsid w:val="00DB5158"/>
    <w:rsid w:val="00DD2896"/>
    <w:rsid w:val="00E431FB"/>
    <w:rsid w:val="00E869BC"/>
    <w:rsid w:val="00F02E9C"/>
    <w:rsid w:val="00F72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38EB"/>
  <w15:chartTrackingRefBased/>
  <w15:docId w15:val="{7D54862C-4573-45D9-91A5-B9E882D66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31D0C"/>
    <w:rPr>
      <w:rFonts w:ascii="AdvOT82c4f4c4" w:hAnsi="AdvOT82c4f4c4" w:hint="default"/>
      <w:b w:val="0"/>
      <w:bCs w:val="0"/>
      <w:i w:val="0"/>
      <w:iCs w:val="0"/>
      <w:color w:val="000000"/>
      <w:sz w:val="18"/>
      <w:szCs w:val="18"/>
    </w:rPr>
  </w:style>
  <w:style w:type="character" w:customStyle="1" w:styleId="fontstyle21">
    <w:name w:val="fontstyle21"/>
    <w:basedOn w:val="DefaultParagraphFont"/>
    <w:rsid w:val="00631D0C"/>
    <w:rPr>
      <w:rFonts w:ascii="AdvOT82c4f4c4+20" w:hAnsi="AdvOT82c4f4c4+20" w:hint="default"/>
      <w:b w:val="0"/>
      <w:bCs w:val="0"/>
      <w:i w:val="0"/>
      <w:iCs w:val="0"/>
      <w:color w:val="000000"/>
      <w:sz w:val="18"/>
      <w:szCs w:val="18"/>
    </w:rPr>
  </w:style>
  <w:style w:type="character" w:styleId="LineNumber">
    <w:name w:val="line number"/>
    <w:basedOn w:val="DefaultParagraphFont"/>
    <w:uiPriority w:val="99"/>
    <w:semiHidden/>
    <w:unhideWhenUsed/>
    <w:rsid w:val="00B04326"/>
  </w:style>
  <w:style w:type="paragraph" w:styleId="Header">
    <w:name w:val="header"/>
    <w:basedOn w:val="Normal"/>
    <w:link w:val="HeaderChar"/>
    <w:uiPriority w:val="99"/>
    <w:unhideWhenUsed/>
    <w:rsid w:val="00DD28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896"/>
  </w:style>
  <w:style w:type="paragraph" w:styleId="Footer">
    <w:name w:val="footer"/>
    <w:basedOn w:val="Normal"/>
    <w:link w:val="FooterChar"/>
    <w:uiPriority w:val="99"/>
    <w:unhideWhenUsed/>
    <w:rsid w:val="00DD2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797</Words>
  <Characters>4543</Characters>
  <Application>Microsoft Office Word</Application>
  <DocSecurity>0</DocSecurity>
  <Lines>37</Lines>
  <Paragraphs>10</Paragraphs>
  <ScaleCrop>false</ScaleCrop>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SINTAYEHU FEKADU KEBEDE</dc:creator>
  <cp:keywords/>
  <dc:description/>
  <cp:lastModifiedBy>SINTAYEHU FEKADU KEBEDE</cp:lastModifiedBy>
  <cp:revision>13</cp:revision>
  <dcterms:created xsi:type="dcterms:W3CDTF">2023-02-15T11:25:00Z</dcterms:created>
  <dcterms:modified xsi:type="dcterms:W3CDTF">2023-02-16T09:21:00Z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b5c09f51-145c-49ab-a4d5-2e24c6aae8bf</vt:lpwstr>
  </property>
</Properties>
</file>