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2EFD9" w:themeColor="accent6" w:themeTint="33"/>
  <w:body>
    <w:p w14:paraId="59ACEA7D" w14:textId="77777777" w:rsidR="00AB5106" w:rsidRDefault="00A9240F">
      <w:pPr>
        <w:framePr w:wrap="auto" w:yAlign="inline"/>
        <w:rPr>
          <w:rFonts w:ascii="Times New Roman" w:eastAsia="宋体" w:hAnsi="Times New Roman" w:cs="Times New Roman"/>
          <w:color w:val="auto"/>
          <w:sz w:val="24"/>
          <w:szCs w:val="24"/>
        </w:rPr>
      </w:pPr>
      <w:r>
        <w:rPr>
          <w:rFonts w:ascii="Times New Roman" w:eastAsia="黑体" w:hAnsi="Times New Roman" w:cs="Times New Roman"/>
          <w:color w:val="auto"/>
          <w:sz w:val="24"/>
          <w:szCs w:val="24"/>
        </w:rPr>
        <w:t>Supplementary Table 1 Characteristic of included studies</w:t>
      </w:r>
    </w:p>
    <w:tbl>
      <w:tblPr>
        <w:tblW w:w="14737" w:type="dxa"/>
        <w:tblInd w:w="113" w:type="dxa"/>
        <w:tblBorders>
          <w:top w:val="single" w:sz="8" w:space="0" w:color="auto"/>
          <w:bottom w:val="single" w:sz="8" w:space="0" w:color="auto"/>
        </w:tblBorders>
        <w:tblLayout w:type="fixed"/>
        <w:tblLook w:val="04A0" w:firstRow="1" w:lastRow="0" w:firstColumn="1" w:lastColumn="0" w:noHBand="0" w:noVBand="1"/>
      </w:tblPr>
      <w:tblGrid>
        <w:gridCol w:w="1090"/>
        <w:gridCol w:w="751"/>
        <w:gridCol w:w="700"/>
        <w:gridCol w:w="2304"/>
        <w:gridCol w:w="787"/>
        <w:gridCol w:w="1093"/>
        <w:gridCol w:w="1347"/>
        <w:gridCol w:w="995"/>
        <w:gridCol w:w="1134"/>
        <w:gridCol w:w="952"/>
        <w:gridCol w:w="1316"/>
        <w:gridCol w:w="829"/>
        <w:gridCol w:w="1439"/>
      </w:tblGrid>
      <w:tr w:rsidR="00AB5106" w14:paraId="59ACEA87" w14:textId="77777777">
        <w:trPr>
          <w:trHeight w:val="349"/>
        </w:trPr>
        <w:tc>
          <w:tcPr>
            <w:tcW w:w="1090" w:type="dxa"/>
            <w:vMerge w:val="restart"/>
            <w:vAlign w:val="center"/>
          </w:tcPr>
          <w:p w14:paraId="59ACEA7E" w14:textId="77777777" w:rsidR="00AB5106" w:rsidRDefault="00A9240F">
            <w:pPr>
              <w:framePr w:wrap="auto" w:yAlign="inline"/>
              <w:jc w:val="center"/>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Study ID</w:t>
            </w:r>
            <w:r>
              <w:rPr>
                <w:rFonts w:ascii="Times New Roman" w:eastAsia="宋体" w:hAnsi="Times New Roman" w:cs="Times New Roman"/>
                <w:b/>
                <w:bCs/>
                <w:color w:val="auto"/>
                <w:sz w:val="13"/>
                <w:szCs w:val="13"/>
              </w:rPr>
              <w:br/>
              <w:t>(author+year)</w:t>
            </w:r>
          </w:p>
        </w:tc>
        <w:tc>
          <w:tcPr>
            <w:tcW w:w="751" w:type="dxa"/>
            <w:vMerge w:val="restart"/>
            <w:vAlign w:val="center"/>
          </w:tcPr>
          <w:p w14:paraId="59ACEA7F" w14:textId="77777777" w:rsidR="00AB5106" w:rsidRDefault="00A9240F">
            <w:pPr>
              <w:framePr w:wrap="auto" w:yAlign="inline"/>
              <w:jc w:val="center"/>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Diagnosis</w:t>
            </w:r>
          </w:p>
        </w:tc>
        <w:tc>
          <w:tcPr>
            <w:tcW w:w="700" w:type="dxa"/>
            <w:vMerge w:val="restart"/>
            <w:vAlign w:val="center"/>
          </w:tcPr>
          <w:p w14:paraId="59ACEA80" w14:textId="77777777" w:rsidR="00AB5106" w:rsidRDefault="00A9240F">
            <w:pPr>
              <w:framePr w:wrap="auto" w:yAlign="inline"/>
              <w:jc w:val="center"/>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Country</w:t>
            </w:r>
          </w:p>
        </w:tc>
        <w:tc>
          <w:tcPr>
            <w:tcW w:w="2304" w:type="dxa"/>
            <w:vMerge w:val="restart"/>
            <w:vAlign w:val="center"/>
          </w:tcPr>
          <w:p w14:paraId="59ACEA81" w14:textId="77777777" w:rsidR="00AB5106" w:rsidRDefault="00A9240F">
            <w:pPr>
              <w:framePr w:wrap="auto" w:yAlign="inline"/>
              <w:jc w:val="center"/>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Age(years)</w:t>
            </w:r>
            <w:r>
              <w:rPr>
                <w:rFonts w:ascii="Times New Roman" w:eastAsia="宋体" w:hAnsi="Times New Roman" w:cs="Times New Roman"/>
                <w:b/>
                <w:bCs/>
                <w:color w:val="auto"/>
                <w:sz w:val="13"/>
                <w:szCs w:val="13"/>
              </w:rPr>
              <w:br/>
              <w:t>mean±SD</w:t>
            </w:r>
          </w:p>
        </w:tc>
        <w:tc>
          <w:tcPr>
            <w:tcW w:w="787" w:type="dxa"/>
            <w:vMerge w:val="restart"/>
            <w:vAlign w:val="center"/>
          </w:tcPr>
          <w:p w14:paraId="59ACEA82" w14:textId="77777777" w:rsidR="00AB5106" w:rsidRDefault="00A9240F">
            <w:pPr>
              <w:framePr w:wrap="auto" w:yAlign="inline"/>
              <w:jc w:val="center"/>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Sex</w:t>
            </w:r>
            <w:r>
              <w:rPr>
                <w:rFonts w:ascii="Times New Roman" w:eastAsia="宋体" w:hAnsi="Times New Roman" w:cs="Times New Roman"/>
                <w:b/>
                <w:bCs/>
                <w:color w:val="auto"/>
                <w:sz w:val="13"/>
                <w:szCs w:val="13"/>
              </w:rPr>
              <w:br/>
              <w:t>(M/F)</w:t>
            </w:r>
          </w:p>
        </w:tc>
        <w:tc>
          <w:tcPr>
            <w:tcW w:w="2440" w:type="dxa"/>
            <w:gridSpan w:val="2"/>
            <w:tcBorders>
              <w:bottom w:val="single" w:sz="4" w:space="0" w:color="auto"/>
            </w:tcBorders>
          </w:tcPr>
          <w:p w14:paraId="59ACEA83" w14:textId="77777777" w:rsidR="00AB5106" w:rsidRDefault="00A9240F">
            <w:pPr>
              <w:framePr w:wrap="auto" w:yAlign="inline"/>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Intervention group</w:t>
            </w:r>
          </w:p>
        </w:tc>
        <w:tc>
          <w:tcPr>
            <w:tcW w:w="2129" w:type="dxa"/>
            <w:gridSpan w:val="2"/>
            <w:tcBorders>
              <w:bottom w:val="single" w:sz="4" w:space="0" w:color="auto"/>
            </w:tcBorders>
          </w:tcPr>
          <w:p w14:paraId="59ACEA84" w14:textId="77777777" w:rsidR="00AB5106" w:rsidRDefault="00A9240F">
            <w:pPr>
              <w:framePr w:wrap="auto" w:yAlign="inline"/>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 xml:space="preserve">Control group 1 </w:t>
            </w:r>
          </w:p>
        </w:tc>
        <w:tc>
          <w:tcPr>
            <w:tcW w:w="2268" w:type="dxa"/>
            <w:gridSpan w:val="2"/>
            <w:tcBorders>
              <w:bottom w:val="single" w:sz="4" w:space="0" w:color="auto"/>
            </w:tcBorders>
          </w:tcPr>
          <w:p w14:paraId="59ACEA85" w14:textId="77777777" w:rsidR="00AB5106" w:rsidRDefault="00A9240F">
            <w:pPr>
              <w:framePr w:wrap="auto" w:yAlign="inline"/>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Control group 2</w:t>
            </w:r>
          </w:p>
        </w:tc>
        <w:tc>
          <w:tcPr>
            <w:tcW w:w="2268" w:type="dxa"/>
            <w:gridSpan w:val="2"/>
            <w:tcBorders>
              <w:bottom w:val="single" w:sz="4" w:space="0" w:color="auto"/>
            </w:tcBorders>
          </w:tcPr>
          <w:p w14:paraId="59ACEA86" w14:textId="77777777" w:rsidR="00AB5106" w:rsidRDefault="00A9240F">
            <w:pPr>
              <w:framePr w:wrap="auto" w:yAlign="inline"/>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 xml:space="preserve">Control group 3 </w:t>
            </w:r>
          </w:p>
        </w:tc>
      </w:tr>
      <w:tr w:rsidR="00AB5106" w14:paraId="59ACEA95" w14:textId="77777777">
        <w:trPr>
          <w:trHeight w:val="940"/>
        </w:trPr>
        <w:tc>
          <w:tcPr>
            <w:tcW w:w="1090" w:type="dxa"/>
            <w:vMerge/>
            <w:tcBorders>
              <w:bottom w:val="single" w:sz="4" w:space="0" w:color="auto"/>
            </w:tcBorders>
          </w:tcPr>
          <w:p w14:paraId="59ACEA88" w14:textId="77777777" w:rsidR="00AB5106" w:rsidRDefault="00AB5106">
            <w:pPr>
              <w:framePr w:wrap="auto" w:yAlign="inline"/>
              <w:rPr>
                <w:rFonts w:ascii="Times New Roman" w:eastAsia="宋体" w:hAnsi="Times New Roman" w:cs="Times New Roman"/>
                <w:b/>
                <w:bCs/>
                <w:color w:val="auto"/>
                <w:sz w:val="13"/>
                <w:szCs w:val="13"/>
              </w:rPr>
            </w:pPr>
          </w:p>
        </w:tc>
        <w:tc>
          <w:tcPr>
            <w:tcW w:w="751" w:type="dxa"/>
            <w:vMerge/>
            <w:tcBorders>
              <w:bottom w:val="single" w:sz="4" w:space="0" w:color="auto"/>
            </w:tcBorders>
          </w:tcPr>
          <w:p w14:paraId="59ACEA89" w14:textId="77777777" w:rsidR="00AB5106" w:rsidRDefault="00AB5106">
            <w:pPr>
              <w:framePr w:wrap="auto" w:yAlign="inline"/>
              <w:rPr>
                <w:rFonts w:ascii="Times New Roman" w:eastAsia="宋体" w:hAnsi="Times New Roman" w:cs="Times New Roman"/>
                <w:b/>
                <w:bCs/>
                <w:color w:val="auto"/>
                <w:sz w:val="13"/>
                <w:szCs w:val="13"/>
              </w:rPr>
            </w:pPr>
          </w:p>
        </w:tc>
        <w:tc>
          <w:tcPr>
            <w:tcW w:w="700" w:type="dxa"/>
            <w:vMerge/>
            <w:tcBorders>
              <w:bottom w:val="single" w:sz="4" w:space="0" w:color="auto"/>
            </w:tcBorders>
          </w:tcPr>
          <w:p w14:paraId="59ACEA8A" w14:textId="77777777" w:rsidR="00AB5106" w:rsidRDefault="00AB5106">
            <w:pPr>
              <w:framePr w:wrap="auto" w:yAlign="inline"/>
              <w:rPr>
                <w:rFonts w:ascii="Times New Roman" w:eastAsia="宋体" w:hAnsi="Times New Roman" w:cs="Times New Roman"/>
                <w:b/>
                <w:bCs/>
                <w:color w:val="auto"/>
                <w:sz w:val="13"/>
                <w:szCs w:val="13"/>
              </w:rPr>
            </w:pPr>
          </w:p>
        </w:tc>
        <w:tc>
          <w:tcPr>
            <w:tcW w:w="2304" w:type="dxa"/>
            <w:vMerge/>
            <w:tcBorders>
              <w:bottom w:val="single" w:sz="4" w:space="0" w:color="auto"/>
            </w:tcBorders>
          </w:tcPr>
          <w:p w14:paraId="59ACEA8B" w14:textId="77777777" w:rsidR="00AB5106" w:rsidRDefault="00AB5106">
            <w:pPr>
              <w:framePr w:wrap="auto" w:yAlign="inline"/>
              <w:rPr>
                <w:rFonts w:ascii="Times New Roman" w:eastAsia="宋体" w:hAnsi="Times New Roman" w:cs="Times New Roman"/>
                <w:b/>
                <w:bCs/>
                <w:color w:val="auto"/>
                <w:sz w:val="13"/>
                <w:szCs w:val="13"/>
              </w:rPr>
            </w:pPr>
          </w:p>
        </w:tc>
        <w:tc>
          <w:tcPr>
            <w:tcW w:w="787" w:type="dxa"/>
            <w:vMerge/>
            <w:tcBorders>
              <w:bottom w:val="single" w:sz="4" w:space="0" w:color="auto"/>
            </w:tcBorders>
          </w:tcPr>
          <w:p w14:paraId="59ACEA8C" w14:textId="77777777" w:rsidR="00AB5106" w:rsidRDefault="00AB5106">
            <w:pPr>
              <w:framePr w:wrap="auto" w:yAlign="inline"/>
              <w:rPr>
                <w:rFonts w:ascii="Times New Roman" w:eastAsia="宋体" w:hAnsi="Times New Roman" w:cs="Times New Roman"/>
                <w:b/>
                <w:bCs/>
                <w:color w:val="auto"/>
                <w:sz w:val="13"/>
                <w:szCs w:val="13"/>
              </w:rPr>
            </w:pPr>
          </w:p>
        </w:tc>
        <w:tc>
          <w:tcPr>
            <w:tcW w:w="1093" w:type="dxa"/>
            <w:tcBorders>
              <w:top w:val="single" w:sz="4" w:space="0" w:color="auto"/>
              <w:bottom w:val="single" w:sz="4" w:space="0" w:color="auto"/>
            </w:tcBorders>
          </w:tcPr>
          <w:p w14:paraId="59ACEA8D" w14:textId="77777777" w:rsidR="00AB5106" w:rsidRDefault="00A9240F">
            <w:pPr>
              <w:framePr w:wrap="auto" w:yAlign="inline"/>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Number of random/analysis patients</w:t>
            </w:r>
          </w:p>
        </w:tc>
        <w:tc>
          <w:tcPr>
            <w:tcW w:w="1347" w:type="dxa"/>
            <w:tcBorders>
              <w:top w:val="single" w:sz="4" w:space="0" w:color="auto"/>
              <w:bottom w:val="single" w:sz="4" w:space="0" w:color="auto"/>
            </w:tcBorders>
          </w:tcPr>
          <w:p w14:paraId="59ACEA8E" w14:textId="77777777" w:rsidR="00AB5106" w:rsidRDefault="00A9240F">
            <w:pPr>
              <w:framePr w:wrap="auto" w:yAlign="inline"/>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Drugs, dosage &amp; treatment duration</w:t>
            </w:r>
          </w:p>
        </w:tc>
        <w:tc>
          <w:tcPr>
            <w:tcW w:w="995" w:type="dxa"/>
            <w:tcBorders>
              <w:top w:val="single" w:sz="4" w:space="0" w:color="auto"/>
              <w:bottom w:val="single" w:sz="4" w:space="0" w:color="auto"/>
            </w:tcBorders>
          </w:tcPr>
          <w:p w14:paraId="59ACEA8F" w14:textId="77777777" w:rsidR="00AB5106" w:rsidRDefault="00A9240F">
            <w:pPr>
              <w:framePr w:wrap="auto" w:yAlign="inline"/>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Number of random/analysis patients</w:t>
            </w:r>
          </w:p>
        </w:tc>
        <w:tc>
          <w:tcPr>
            <w:tcW w:w="1134" w:type="dxa"/>
            <w:tcBorders>
              <w:top w:val="single" w:sz="4" w:space="0" w:color="auto"/>
              <w:bottom w:val="single" w:sz="4" w:space="0" w:color="auto"/>
            </w:tcBorders>
          </w:tcPr>
          <w:p w14:paraId="59ACEA90" w14:textId="77777777" w:rsidR="00AB5106" w:rsidRDefault="00A9240F">
            <w:pPr>
              <w:framePr w:wrap="auto" w:yAlign="inline"/>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Drugs, dosage &amp; treatment duration</w:t>
            </w:r>
          </w:p>
        </w:tc>
        <w:tc>
          <w:tcPr>
            <w:tcW w:w="952" w:type="dxa"/>
            <w:tcBorders>
              <w:top w:val="single" w:sz="4" w:space="0" w:color="auto"/>
              <w:bottom w:val="single" w:sz="4" w:space="0" w:color="auto"/>
            </w:tcBorders>
          </w:tcPr>
          <w:p w14:paraId="59ACEA91" w14:textId="77777777" w:rsidR="00AB5106" w:rsidRDefault="00A9240F">
            <w:pPr>
              <w:framePr w:wrap="auto" w:yAlign="inline"/>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Number of random/analysis patients</w:t>
            </w:r>
          </w:p>
        </w:tc>
        <w:tc>
          <w:tcPr>
            <w:tcW w:w="1316" w:type="dxa"/>
            <w:tcBorders>
              <w:top w:val="single" w:sz="4" w:space="0" w:color="auto"/>
              <w:bottom w:val="single" w:sz="4" w:space="0" w:color="auto"/>
            </w:tcBorders>
          </w:tcPr>
          <w:p w14:paraId="59ACEA92" w14:textId="77777777" w:rsidR="00AB5106" w:rsidRDefault="00A9240F">
            <w:pPr>
              <w:framePr w:wrap="auto" w:yAlign="inline"/>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Drugs, dosage &amp; treatment duration</w:t>
            </w:r>
          </w:p>
        </w:tc>
        <w:tc>
          <w:tcPr>
            <w:tcW w:w="829" w:type="dxa"/>
            <w:tcBorders>
              <w:top w:val="single" w:sz="4" w:space="0" w:color="auto"/>
              <w:bottom w:val="single" w:sz="4" w:space="0" w:color="auto"/>
            </w:tcBorders>
          </w:tcPr>
          <w:p w14:paraId="59ACEA93" w14:textId="77777777" w:rsidR="00AB5106" w:rsidRDefault="00A9240F">
            <w:pPr>
              <w:framePr w:wrap="auto" w:yAlign="inline"/>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Numb. Random/analysis</w:t>
            </w:r>
          </w:p>
        </w:tc>
        <w:tc>
          <w:tcPr>
            <w:tcW w:w="1439" w:type="dxa"/>
            <w:tcBorders>
              <w:top w:val="single" w:sz="4" w:space="0" w:color="auto"/>
              <w:bottom w:val="single" w:sz="4" w:space="0" w:color="auto"/>
            </w:tcBorders>
          </w:tcPr>
          <w:p w14:paraId="59ACEA94" w14:textId="77777777" w:rsidR="00AB5106" w:rsidRDefault="00A9240F">
            <w:pPr>
              <w:framePr w:wrap="auto" w:yAlign="inline"/>
              <w:rPr>
                <w:rFonts w:ascii="Times New Roman" w:eastAsia="宋体" w:hAnsi="Times New Roman" w:cs="Times New Roman"/>
                <w:b/>
                <w:bCs/>
                <w:color w:val="auto"/>
                <w:sz w:val="13"/>
                <w:szCs w:val="13"/>
              </w:rPr>
            </w:pPr>
            <w:r>
              <w:rPr>
                <w:rFonts w:ascii="Times New Roman" w:eastAsia="宋体" w:hAnsi="Times New Roman" w:cs="Times New Roman"/>
                <w:b/>
                <w:bCs/>
                <w:color w:val="auto"/>
                <w:sz w:val="13"/>
                <w:szCs w:val="13"/>
              </w:rPr>
              <w:t>Drugs, dosage &amp; treatment duration</w:t>
            </w:r>
          </w:p>
        </w:tc>
      </w:tr>
      <w:tr w:rsidR="00AB5106" w14:paraId="59ACEAA3" w14:textId="77777777">
        <w:trPr>
          <w:trHeight w:val="1140"/>
        </w:trPr>
        <w:tc>
          <w:tcPr>
            <w:tcW w:w="1090" w:type="dxa"/>
            <w:tcBorders>
              <w:tl2br w:val="nil"/>
              <w:tr2bl w:val="nil"/>
            </w:tcBorders>
          </w:tcPr>
          <w:p w14:paraId="59ACEA9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KUSUNOKI 2012</w:t>
            </w:r>
          </w:p>
        </w:tc>
        <w:tc>
          <w:tcPr>
            <w:tcW w:w="751" w:type="dxa"/>
            <w:tcBorders>
              <w:tl2br w:val="nil"/>
              <w:tr2bl w:val="nil"/>
            </w:tcBorders>
          </w:tcPr>
          <w:p w14:paraId="59ACEA9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A9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Japan</w:t>
            </w:r>
          </w:p>
        </w:tc>
        <w:tc>
          <w:tcPr>
            <w:tcW w:w="2304" w:type="dxa"/>
            <w:tcBorders>
              <w:tl2br w:val="nil"/>
              <w:tr2bl w:val="nil"/>
            </w:tcBorders>
          </w:tcPr>
          <w:p w14:paraId="59ACEA9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Total range: 20-70</w:t>
            </w:r>
            <w:r>
              <w:rPr>
                <w:rFonts w:ascii="Times New Roman" w:eastAsia="宋体" w:hAnsi="Times New Roman" w:cs="Times New Roman"/>
                <w:color w:val="auto"/>
                <w:sz w:val="13"/>
                <w:szCs w:val="13"/>
              </w:rPr>
              <w:br/>
              <w:t>Placebo</w:t>
            </w:r>
            <w:r>
              <w:rPr>
                <w:rFonts w:ascii="Times New Roman" w:eastAsia="宋体" w:hAnsi="Times New Roman" w:cs="Times New Roman"/>
                <w:color w:val="auto"/>
                <w:sz w:val="13"/>
                <w:szCs w:val="13"/>
              </w:rPr>
              <w:t>：</w:t>
            </w:r>
            <w:r>
              <w:rPr>
                <w:rFonts w:ascii="Times New Roman" w:eastAsia="宋体" w:hAnsi="Times New Roman" w:cs="Times New Roman"/>
                <w:color w:val="auto"/>
                <w:sz w:val="13"/>
                <w:szCs w:val="13"/>
              </w:rPr>
              <w:t>40.6±13.0</w:t>
            </w:r>
            <w:r>
              <w:rPr>
                <w:rFonts w:ascii="Times New Roman" w:eastAsia="宋体" w:hAnsi="Times New Roman" w:cs="Times New Roman"/>
                <w:color w:val="auto"/>
                <w:sz w:val="13"/>
                <w:szCs w:val="13"/>
              </w:rPr>
              <w:br/>
              <w:t>Acotiamide</w:t>
            </w:r>
            <w:r>
              <w:rPr>
                <w:rFonts w:ascii="Times New Roman" w:eastAsia="宋体" w:hAnsi="Times New Roman" w:cs="Times New Roman"/>
                <w:color w:val="auto"/>
                <w:sz w:val="13"/>
                <w:szCs w:val="13"/>
              </w:rPr>
              <w:t>：</w:t>
            </w:r>
            <w:r>
              <w:rPr>
                <w:rFonts w:ascii="Times New Roman" w:eastAsia="宋体" w:hAnsi="Times New Roman" w:cs="Times New Roman"/>
                <w:color w:val="auto"/>
                <w:sz w:val="13"/>
                <w:szCs w:val="13"/>
              </w:rPr>
              <w:t>40.3±13.2</w:t>
            </w:r>
          </w:p>
        </w:tc>
        <w:tc>
          <w:tcPr>
            <w:tcW w:w="787" w:type="dxa"/>
            <w:tcBorders>
              <w:tl2br w:val="nil"/>
              <w:tr2bl w:val="nil"/>
            </w:tcBorders>
          </w:tcPr>
          <w:p w14:paraId="59ACEA9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13/24</w:t>
            </w:r>
          </w:p>
        </w:tc>
        <w:tc>
          <w:tcPr>
            <w:tcW w:w="1093" w:type="dxa"/>
            <w:tcBorders>
              <w:tl2br w:val="nil"/>
              <w:tr2bl w:val="nil"/>
            </w:tcBorders>
          </w:tcPr>
          <w:p w14:paraId="59ACEA9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21/19</w:t>
            </w:r>
          </w:p>
        </w:tc>
        <w:tc>
          <w:tcPr>
            <w:tcW w:w="1347" w:type="dxa"/>
            <w:tcBorders>
              <w:tl2br w:val="nil"/>
              <w:tr2bl w:val="nil"/>
            </w:tcBorders>
          </w:tcPr>
          <w:p w14:paraId="59ACEA9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Acotiamide, 100mg × 3/day, 14-18 days</w:t>
            </w:r>
          </w:p>
        </w:tc>
        <w:tc>
          <w:tcPr>
            <w:tcW w:w="995" w:type="dxa"/>
            <w:tcBorders>
              <w:tl2br w:val="nil"/>
              <w:tr2bl w:val="nil"/>
            </w:tcBorders>
          </w:tcPr>
          <w:p w14:paraId="59ACEA9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21/18</w:t>
            </w:r>
          </w:p>
        </w:tc>
        <w:tc>
          <w:tcPr>
            <w:tcW w:w="1134" w:type="dxa"/>
            <w:tcBorders>
              <w:tl2br w:val="nil"/>
              <w:tr2bl w:val="nil"/>
            </w:tcBorders>
          </w:tcPr>
          <w:p w14:paraId="59ACEA9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100mg × 3/day, 14-18 days</w:t>
            </w:r>
          </w:p>
        </w:tc>
        <w:tc>
          <w:tcPr>
            <w:tcW w:w="952" w:type="dxa"/>
            <w:tcBorders>
              <w:tl2br w:val="nil"/>
              <w:tr2bl w:val="nil"/>
            </w:tcBorders>
          </w:tcPr>
          <w:p w14:paraId="59ACEA9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AA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AA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AA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AB1" w14:textId="77777777">
        <w:trPr>
          <w:trHeight w:val="840"/>
        </w:trPr>
        <w:tc>
          <w:tcPr>
            <w:tcW w:w="1090" w:type="dxa"/>
            <w:tcBorders>
              <w:tl2br w:val="nil"/>
              <w:tr2bl w:val="nil"/>
            </w:tcBorders>
          </w:tcPr>
          <w:p w14:paraId="59ACEAA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Chen 2004 b</w:t>
            </w:r>
          </w:p>
        </w:tc>
        <w:tc>
          <w:tcPr>
            <w:tcW w:w="751" w:type="dxa"/>
            <w:tcBorders>
              <w:tl2br w:val="nil"/>
              <w:tr2bl w:val="nil"/>
            </w:tcBorders>
          </w:tcPr>
          <w:p w14:paraId="59ACEAA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AA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China</w:t>
            </w:r>
          </w:p>
        </w:tc>
        <w:tc>
          <w:tcPr>
            <w:tcW w:w="2304" w:type="dxa"/>
            <w:tcBorders>
              <w:tl2br w:val="nil"/>
              <w:tr2bl w:val="nil"/>
            </w:tcBorders>
          </w:tcPr>
          <w:p w14:paraId="59ACEAA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Mosapride  (mean ± SD):44±12</w:t>
            </w:r>
            <w:r>
              <w:rPr>
                <w:rFonts w:ascii="Times New Roman" w:eastAsia="宋体" w:hAnsi="Times New Roman" w:cs="Times New Roman"/>
                <w:color w:val="auto"/>
                <w:sz w:val="13"/>
                <w:szCs w:val="13"/>
              </w:rPr>
              <w:br/>
              <w:t>Domperidone  (mean ± SD):43±13</w:t>
            </w:r>
          </w:p>
        </w:tc>
        <w:tc>
          <w:tcPr>
            <w:tcW w:w="787" w:type="dxa"/>
            <w:tcBorders>
              <w:tl2br w:val="nil"/>
              <w:tr2bl w:val="nil"/>
            </w:tcBorders>
          </w:tcPr>
          <w:p w14:paraId="59ACEAA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108/123</w:t>
            </w:r>
          </w:p>
        </w:tc>
        <w:tc>
          <w:tcPr>
            <w:tcW w:w="1093" w:type="dxa"/>
            <w:tcBorders>
              <w:tl2br w:val="nil"/>
              <w:tr2bl w:val="nil"/>
            </w:tcBorders>
          </w:tcPr>
          <w:p w14:paraId="59ACEAA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118/115</w:t>
            </w:r>
          </w:p>
        </w:tc>
        <w:tc>
          <w:tcPr>
            <w:tcW w:w="1347" w:type="dxa"/>
            <w:tcBorders>
              <w:tl2br w:val="nil"/>
              <w:tr2bl w:val="nil"/>
            </w:tcBorders>
          </w:tcPr>
          <w:p w14:paraId="59ACEAA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Mosapride, 5 mg× 3/day, 4 weeks</w:t>
            </w:r>
          </w:p>
        </w:tc>
        <w:tc>
          <w:tcPr>
            <w:tcW w:w="995" w:type="dxa"/>
            <w:tcBorders>
              <w:tl2br w:val="nil"/>
              <w:tr2bl w:val="nil"/>
            </w:tcBorders>
          </w:tcPr>
          <w:p w14:paraId="59ACEAA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113/107</w:t>
            </w:r>
          </w:p>
        </w:tc>
        <w:tc>
          <w:tcPr>
            <w:tcW w:w="1134" w:type="dxa"/>
            <w:tcBorders>
              <w:tl2br w:val="nil"/>
              <w:tr2bl w:val="nil"/>
            </w:tcBorders>
          </w:tcPr>
          <w:p w14:paraId="59ACEAA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Domperidonee, 10 mg× 3/day, 4 weeks</w:t>
            </w:r>
          </w:p>
        </w:tc>
        <w:tc>
          <w:tcPr>
            <w:tcW w:w="952" w:type="dxa"/>
            <w:tcBorders>
              <w:tl2br w:val="nil"/>
              <w:tr2bl w:val="nil"/>
            </w:tcBorders>
          </w:tcPr>
          <w:p w14:paraId="59ACEAA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AA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AA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AB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ABF" w14:textId="77777777">
        <w:trPr>
          <w:trHeight w:val="640"/>
        </w:trPr>
        <w:tc>
          <w:tcPr>
            <w:tcW w:w="1090" w:type="dxa"/>
            <w:tcBorders>
              <w:tl2br w:val="nil"/>
              <w:tr2bl w:val="nil"/>
            </w:tcBorders>
          </w:tcPr>
          <w:p w14:paraId="59ACEAB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HALLERBACK 2002</w:t>
            </w:r>
          </w:p>
        </w:tc>
        <w:tc>
          <w:tcPr>
            <w:tcW w:w="751" w:type="dxa"/>
            <w:tcBorders>
              <w:tl2br w:val="nil"/>
              <w:tr2bl w:val="nil"/>
            </w:tcBorders>
          </w:tcPr>
          <w:p w14:paraId="59ACEAB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AB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Europe</w:t>
            </w:r>
          </w:p>
        </w:tc>
        <w:tc>
          <w:tcPr>
            <w:tcW w:w="2304" w:type="dxa"/>
            <w:tcBorders>
              <w:tl2br w:val="nil"/>
              <w:tr2bl w:val="nil"/>
            </w:tcBorders>
          </w:tcPr>
          <w:p w14:paraId="59ACEAB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Total Range: 18-75</w:t>
            </w:r>
          </w:p>
        </w:tc>
        <w:tc>
          <w:tcPr>
            <w:tcW w:w="787" w:type="dxa"/>
            <w:tcBorders>
              <w:tl2br w:val="nil"/>
              <w:tr2bl w:val="nil"/>
            </w:tcBorders>
          </w:tcPr>
          <w:p w14:paraId="59ACEAB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204/362</w:t>
            </w:r>
          </w:p>
        </w:tc>
        <w:tc>
          <w:tcPr>
            <w:tcW w:w="1093" w:type="dxa"/>
            <w:tcBorders>
              <w:tl2br w:val="nil"/>
              <w:tr2bl w:val="nil"/>
            </w:tcBorders>
          </w:tcPr>
          <w:p w14:paraId="59ACEAB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147/140</w:t>
            </w:r>
          </w:p>
        </w:tc>
        <w:tc>
          <w:tcPr>
            <w:tcW w:w="1347" w:type="dxa"/>
            <w:tcBorders>
              <w:tl2br w:val="nil"/>
              <w:tr2bl w:val="nil"/>
            </w:tcBorders>
          </w:tcPr>
          <w:p w14:paraId="59ACEAB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Mosapride, 5mg × 2/day, 6 weeks</w:t>
            </w:r>
          </w:p>
        </w:tc>
        <w:tc>
          <w:tcPr>
            <w:tcW w:w="995" w:type="dxa"/>
            <w:tcBorders>
              <w:tl2br w:val="nil"/>
              <w:tr2bl w:val="nil"/>
            </w:tcBorders>
          </w:tcPr>
          <w:p w14:paraId="59ACEAB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135/143</w:t>
            </w:r>
          </w:p>
        </w:tc>
        <w:tc>
          <w:tcPr>
            <w:tcW w:w="1134" w:type="dxa"/>
            <w:tcBorders>
              <w:tl2br w:val="nil"/>
              <w:tr2bl w:val="nil"/>
            </w:tcBorders>
          </w:tcPr>
          <w:p w14:paraId="59ACEAB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Mosapride, 10mg × 2/day, 6 weeks</w:t>
            </w:r>
          </w:p>
        </w:tc>
        <w:tc>
          <w:tcPr>
            <w:tcW w:w="952" w:type="dxa"/>
            <w:tcBorders>
              <w:tl2br w:val="nil"/>
              <w:tr2bl w:val="nil"/>
            </w:tcBorders>
          </w:tcPr>
          <w:p w14:paraId="59ACEAB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154/142</w:t>
            </w:r>
          </w:p>
        </w:tc>
        <w:tc>
          <w:tcPr>
            <w:tcW w:w="1316" w:type="dxa"/>
            <w:tcBorders>
              <w:tl2br w:val="nil"/>
              <w:tr2bl w:val="nil"/>
            </w:tcBorders>
          </w:tcPr>
          <w:p w14:paraId="59ACEAB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Mosapride, 7.5 mg × 2/day, 6 weeks</w:t>
            </w:r>
          </w:p>
        </w:tc>
        <w:tc>
          <w:tcPr>
            <w:tcW w:w="829" w:type="dxa"/>
            <w:tcBorders>
              <w:tl2br w:val="nil"/>
              <w:tr2bl w:val="nil"/>
            </w:tcBorders>
          </w:tcPr>
          <w:p w14:paraId="59ACEAB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152/141</w:t>
            </w:r>
          </w:p>
        </w:tc>
        <w:tc>
          <w:tcPr>
            <w:tcW w:w="1439" w:type="dxa"/>
            <w:tcBorders>
              <w:tl2br w:val="nil"/>
              <w:tr2bl w:val="nil"/>
            </w:tcBorders>
          </w:tcPr>
          <w:p w14:paraId="59ACEAB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NR, 6 weeks</w:t>
            </w:r>
          </w:p>
        </w:tc>
      </w:tr>
      <w:tr w:rsidR="00AB5106" w14:paraId="59ACEACD" w14:textId="77777777">
        <w:trPr>
          <w:trHeight w:val="1110"/>
        </w:trPr>
        <w:tc>
          <w:tcPr>
            <w:tcW w:w="1090" w:type="dxa"/>
            <w:tcBorders>
              <w:tl2br w:val="nil"/>
              <w:tr2bl w:val="nil"/>
            </w:tcBorders>
          </w:tcPr>
          <w:p w14:paraId="59ACEAC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MATSUEDA 2010-study 1</w:t>
            </w:r>
          </w:p>
        </w:tc>
        <w:tc>
          <w:tcPr>
            <w:tcW w:w="751" w:type="dxa"/>
            <w:tcBorders>
              <w:tl2br w:val="nil"/>
              <w:tr2bl w:val="nil"/>
            </w:tcBorders>
          </w:tcPr>
          <w:p w14:paraId="59ACEAC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AC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Japan</w:t>
            </w:r>
          </w:p>
        </w:tc>
        <w:tc>
          <w:tcPr>
            <w:tcW w:w="2304" w:type="dxa"/>
            <w:tcBorders>
              <w:tl2br w:val="nil"/>
              <w:tr2bl w:val="nil"/>
            </w:tcBorders>
          </w:tcPr>
          <w:p w14:paraId="59ACEAC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100mg  (mean ± SD): 37.5±11.5</w:t>
            </w:r>
            <w:r>
              <w:rPr>
                <w:rFonts w:ascii="Times New Roman" w:eastAsia="宋体" w:hAnsi="Times New Roman" w:cs="Times New Roman"/>
                <w:color w:val="auto"/>
                <w:sz w:val="13"/>
                <w:szCs w:val="13"/>
              </w:rPr>
              <w:br/>
              <w:t>300mg  (mean ± SD): 38.6±12.8</w:t>
            </w:r>
            <w:r>
              <w:rPr>
                <w:rFonts w:ascii="Times New Roman" w:eastAsia="宋体" w:hAnsi="Times New Roman" w:cs="Times New Roman"/>
                <w:color w:val="auto"/>
                <w:sz w:val="13"/>
                <w:szCs w:val="13"/>
              </w:rPr>
              <w:br/>
              <w:t>Placebo  (mean ± SD): 37.3±10.2</w:t>
            </w:r>
          </w:p>
        </w:tc>
        <w:tc>
          <w:tcPr>
            <w:tcW w:w="787" w:type="dxa"/>
            <w:tcBorders>
              <w:tl2br w:val="nil"/>
              <w:tr2bl w:val="nil"/>
            </w:tcBorders>
          </w:tcPr>
          <w:p w14:paraId="59ACEAC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139/178</w:t>
            </w:r>
          </w:p>
        </w:tc>
        <w:tc>
          <w:tcPr>
            <w:tcW w:w="1093" w:type="dxa"/>
            <w:tcBorders>
              <w:tl2br w:val="nil"/>
              <w:tr2bl w:val="nil"/>
            </w:tcBorders>
          </w:tcPr>
          <w:p w14:paraId="59ACEAC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104/104</w:t>
            </w:r>
          </w:p>
        </w:tc>
        <w:tc>
          <w:tcPr>
            <w:tcW w:w="1347" w:type="dxa"/>
            <w:tcBorders>
              <w:tl2br w:val="nil"/>
              <w:tr2bl w:val="nil"/>
            </w:tcBorders>
          </w:tcPr>
          <w:p w14:paraId="59ACEAC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Acotiamide, 100mg × 3/day, 4 weeks</w:t>
            </w:r>
          </w:p>
        </w:tc>
        <w:tc>
          <w:tcPr>
            <w:tcW w:w="995" w:type="dxa"/>
            <w:tcBorders>
              <w:tl2br w:val="nil"/>
              <w:tr2bl w:val="nil"/>
            </w:tcBorders>
          </w:tcPr>
          <w:p w14:paraId="59ACEAC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112/106</w:t>
            </w:r>
          </w:p>
        </w:tc>
        <w:tc>
          <w:tcPr>
            <w:tcW w:w="1134" w:type="dxa"/>
            <w:tcBorders>
              <w:tl2br w:val="nil"/>
              <w:tr2bl w:val="nil"/>
            </w:tcBorders>
          </w:tcPr>
          <w:p w14:paraId="59ACEAC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Acotiamide,  300 mg × 3/day, 4 weeks</w:t>
            </w:r>
          </w:p>
        </w:tc>
        <w:tc>
          <w:tcPr>
            <w:tcW w:w="952" w:type="dxa"/>
            <w:tcBorders>
              <w:tl2br w:val="nil"/>
              <w:tr2bl w:val="nil"/>
            </w:tcBorders>
          </w:tcPr>
          <w:p w14:paraId="59ACEAC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107/107</w:t>
            </w:r>
          </w:p>
        </w:tc>
        <w:tc>
          <w:tcPr>
            <w:tcW w:w="1316" w:type="dxa"/>
            <w:tcBorders>
              <w:tl2br w:val="nil"/>
              <w:tr2bl w:val="nil"/>
            </w:tcBorders>
          </w:tcPr>
          <w:p w14:paraId="59ACEAC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NR, 4 weeks</w:t>
            </w:r>
          </w:p>
        </w:tc>
        <w:tc>
          <w:tcPr>
            <w:tcW w:w="829" w:type="dxa"/>
            <w:tcBorders>
              <w:tl2br w:val="nil"/>
              <w:tr2bl w:val="nil"/>
            </w:tcBorders>
          </w:tcPr>
          <w:p w14:paraId="59ACEAC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AC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ADB" w14:textId="77777777">
        <w:trPr>
          <w:trHeight w:val="1410"/>
        </w:trPr>
        <w:tc>
          <w:tcPr>
            <w:tcW w:w="1090" w:type="dxa"/>
            <w:tcBorders>
              <w:tl2br w:val="nil"/>
              <w:tr2bl w:val="nil"/>
            </w:tcBorders>
          </w:tcPr>
          <w:p w14:paraId="59ACEAC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MATSUEDA 2010-study 2</w:t>
            </w:r>
          </w:p>
        </w:tc>
        <w:tc>
          <w:tcPr>
            <w:tcW w:w="751" w:type="dxa"/>
            <w:tcBorders>
              <w:tl2br w:val="nil"/>
              <w:tr2bl w:val="nil"/>
            </w:tcBorders>
          </w:tcPr>
          <w:p w14:paraId="59ACEAC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AD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Japan</w:t>
            </w:r>
          </w:p>
        </w:tc>
        <w:tc>
          <w:tcPr>
            <w:tcW w:w="2304" w:type="dxa"/>
            <w:tcBorders>
              <w:tl2br w:val="nil"/>
              <w:tr2bl w:val="nil"/>
            </w:tcBorders>
          </w:tcPr>
          <w:p w14:paraId="59ACEAD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50mg (mean ± SD)</w:t>
            </w:r>
            <w:r>
              <w:rPr>
                <w:rFonts w:ascii="Times New Roman" w:eastAsia="宋体" w:hAnsi="Times New Roman" w:cs="Times New Roman"/>
                <w:color w:val="auto"/>
                <w:sz w:val="13"/>
                <w:szCs w:val="13"/>
              </w:rPr>
              <w:t>：</w:t>
            </w:r>
            <w:r>
              <w:rPr>
                <w:rFonts w:ascii="Times New Roman" w:eastAsia="宋体" w:hAnsi="Times New Roman" w:cs="Times New Roman"/>
                <w:color w:val="auto"/>
                <w:sz w:val="13"/>
                <w:szCs w:val="13"/>
              </w:rPr>
              <w:t>38.9±12.4</w:t>
            </w:r>
            <w:r>
              <w:rPr>
                <w:rFonts w:ascii="Times New Roman" w:eastAsia="宋体" w:hAnsi="Times New Roman" w:cs="Times New Roman"/>
                <w:color w:val="auto"/>
                <w:sz w:val="13"/>
                <w:szCs w:val="13"/>
              </w:rPr>
              <w:br/>
              <w:t>100mg (mean ± SD)</w:t>
            </w:r>
            <w:r>
              <w:rPr>
                <w:rFonts w:ascii="Times New Roman" w:eastAsia="宋体" w:hAnsi="Times New Roman" w:cs="Times New Roman"/>
                <w:color w:val="auto"/>
                <w:sz w:val="13"/>
                <w:szCs w:val="13"/>
              </w:rPr>
              <w:t>：</w:t>
            </w:r>
            <w:r>
              <w:rPr>
                <w:rFonts w:ascii="Times New Roman" w:eastAsia="宋体" w:hAnsi="Times New Roman" w:cs="Times New Roman"/>
                <w:color w:val="auto"/>
                <w:sz w:val="13"/>
                <w:szCs w:val="13"/>
              </w:rPr>
              <w:t>39.1±13.4</w:t>
            </w:r>
            <w:r>
              <w:rPr>
                <w:rFonts w:ascii="Times New Roman" w:eastAsia="宋体" w:hAnsi="Times New Roman" w:cs="Times New Roman"/>
                <w:color w:val="auto"/>
                <w:sz w:val="13"/>
                <w:szCs w:val="13"/>
              </w:rPr>
              <w:br/>
              <w:t>300mg  (mean ± SD): 40.6±14.2</w:t>
            </w:r>
            <w:r>
              <w:rPr>
                <w:rFonts w:ascii="Times New Roman" w:eastAsia="宋体" w:hAnsi="Times New Roman" w:cs="Times New Roman"/>
                <w:color w:val="auto"/>
                <w:sz w:val="13"/>
                <w:szCs w:val="13"/>
              </w:rPr>
              <w:br/>
              <w:t>Placebo  (mean ± SD)</w:t>
            </w:r>
            <w:r>
              <w:rPr>
                <w:rFonts w:ascii="Times New Roman" w:eastAsia="宋体" w:hAnsi="Times New Roman" w:cs="Times New Roman"/>
                <w:color w:val="auto"/>
                <w:sz w:val="13"/>
                <w:szCs w:val="13"/>
              </w:rPr>
              <w:t>：</w:t>
            </w:r>
            <w:r>
              <w:rPr>
                <w:rFonts w:ascii="Times New Roman" w:eastAsia="宋体" w:hAnsi="Times New Roman" w:cs="Times New Roman"/>
                <w:color w:val="auto"/>
                <w:sz w:val="13"/>
                <w:szCs w:val="13"/>
              </w:rPr>
              <w:t>38.0±13.1</w:t>
            </w:r>
          </w:p>
        </w:tc>
        <w:tc>
          <w:tcPr>
            <w:tcW w:w="787" w:type="dxa"/>
            <w:tcBorders>
              <w:tl2br w:val="nil"/>
              <w:tr2bl w:val="nil"/>
            </w:tcBorders>
          </w:tcPr>
          <w:p w14:paraId="59ACEAD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158/293</w:t>
            </w:r>
          </w:p>
        </w:tc>
        <w:tc>
          <w:tcPr>
            <w:tcW w:w="1093" w:type="dxa"/>
            <w:tcBorders>
              <w:tl2br w:val="nil"/>
              <w:tr2bl w:val="nil"/>
            </w:tcBorders>
          </w:tcPr>
          <w:p w14:paraId="59ACEAD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117/115</w:t>
            </w:r>
          </w:p>
        </w:tc>
        <w:tc>
          <w:tcPr>
            <w:tcW w:w="1347" w:type="dxa"/>
            <w:tcBorders>
              <w:tl2br w:val="nil"/>
              <w:tr2bl w:val="nil"/>
            </w:tcBorders>
          </w:tcPr>
          <w:p w14:paraId="59ACEAD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Acotiamide, 50mg × 3/day, 4 weeks</w:t>
            </w:r>
          </w:p>
        </w:tc>
        <w:tc>
          <w:tcPr>
            <w:tcW w:w="995" w:type="dxa"/>
            <w:tcBorders>
              <w:tl2br w:val="nil"/>
              <w:tr2bl w:val="nil"/>
            </w:tcBorders>
          </w:tcPr>
          <w:p w14:paraId="59ACEAD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111/108</w:t>
            </w:r>
          </w:p>
        </w:tc>
        <w:tc>
          <w:tcPr>
            <w:tcW w:w="1134" w:type="dxa"/>
            <w:tcBorders>
              <w:tl2br w:val="nil"/>
              <w:tr2bl w:val="nil"/>
            </w:tcBorders>
          </w:tcPr>
          <w:p w14:paraId="59ACEAD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Acotiamide, 100mg × 3/day, 4 weeks</w:t>
            </w:r>
          </w:p>
        </w:tc>
        <w:tc>
          <w:tcPr>
            <w:tcW w:w="952" w:type="dxa"/>
            <w:tcBorders>
              <w:tl2br w:val="nil"/>
              <w:tr2bl w:val="nil"/>
            </w:tcBorders>
          </w:tcPr>
          <w:p w14:paraId="59ACEAD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118/116</w:t>
            </w:r>
          </w:p>
        </w:tc>
        <w:tc>
          <w:tcPr>
            <w:tcW w:w="1316" w:type="dxa"/>
            <w:tcBorders>
              <w:tl2br w:val="nil"/>
              <w:tr2bl w:val="nil"/>
            </w:tcBorders>
          </w:tcPr>
          <w:p w14:paraId="59ACEAD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Acotiamide, 300mg × 3/day, 4 weeks</w:t>
            </w:r>
          </w:p>
        </w:tc>
        <w:tc>
          <w:tcPr>
            <w:tcW w:w="829" w:type="dxa"/>
            <w:tcBorders>
              <w:tl2br w:val="nil"/>
              <w:tr2bl w:val="nil"/>
            </w:tcBorders>
          </w:tcPr>
          <w:p w14:paraId="59ACEAD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116/112</w:t>
            </w:r>
          </w:p>
        </w:tc>
        <w:tc>
          <w:tcPr>
            <w:tcW w:w="1439" w:type="dxa"/>
            <w:tcBorders>
              <w:tl2br w:val="nil"/>
              <w:tr2bl w:val="nil"/>
            </w:tcBorders>
          </w:tcPr>
          <w:p w14:paraId="59ACEAD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NR, 4 weeks</w:t>
            </w:r>
          </w:p>
        </w:tc>
      </w:tr>
      <w:tr w:rsidR="00AB5106" w14:paraId="59ACEAE9" w14:textId="77777777">
        <w:trPr>
          <w:trHeight w:val="1090"/>
        </w:trPr>
        <w:tc>
          <w:tcPr>
            <w:tcW w:w="1090" w:type="dxa"/>
            <w:tcBorders>
              <w:tl2br w:val="nil"/>
              <w:tr2bl w:val="nil"/>
            </w:tcBorders>
          </w:tcPr>
          <w:p w14:paraId="59ACEAD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Zhou 2000</w:t>
            </w:r>
          </w:p>
        </w:tc>
        <w:tc>
          <w:tcPr>
            <w:tcW w:w="751" w:type="dxa"/>
            <w:tcBorders>
              <w:tl2br w:val="nil"/>
              <w:tr2bl w:val="nil"/>
            </w:tcBorders>
          </w:tcPr>
          <w:p w14:paraId="59ACEAD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AD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China</w:t>
            </w:r>
          </w:p>
        </w:tc>
        <w:tc>
          <w:tcPr>
            <w:tcW w:w="2304" w:type="dxa"/>
            <w:tcBorders>
              <w:tl2br w:val="nil"/>
              <w:tr2bl w:val="nil"/>
            </w:tcBorders>
          </w:tcPr>
          <w:p w14:paraId="59ACEAD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Total (range): 18-70</w:t>
            </w:r>
            <w:r>
              <w:rPr>
                <w:rFonts w:ascii="Times New Roman" w:eastAsia="宋体" w:hAnsi="Times New Roman" w:cs="Times New Roman"/>
                <w:color w:val="auto"/>
                <w:sz w:val="13"/>
                <w:szCs w:val="13"/>
              </w:rPr>
              <w:br/>
              <w:t>Itopride (mean ± SD): 42.6±12.3</w:t>
            </w:r>
            <w:r>
              <w:rPr>
                <w:rFonts w:ascii="Times New Roman" w:eastAsia="宋体" w:hAnsi="Times New Roman" w:cs="Times New Roman"/>
                <w:color w:val="auto"/>
                <w:sz w:val="13"/>
                <w:szCs w:val="13"/>
              </w:rPr>
              <w:br/>
              <w:t>Domperidone (mean ± SD): 45.8±12.8</w:t>
            </w:r>
          </w:p>
        </w:tc>
        <w:tc>
          <w:tcPr>
            <w:tcW w:w="787" w:type="dxa"/>
            <w:tcBorders>
              <w:tl2br w:val="nil"/>
              <w:tr2bl w:val="nil"/>
            </w:tcBorders>
          </w:tcPr>
          <w:p w14:paraId="59ACEAE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72/129</w:t>
            </w:r>
          </w:p>
        </w:tc>
        <w:tc>
          <w:tcPr>
            <w:tcW w:w="1093" w:type="dxa"/>
            <w:tcBorders>
              <w:tl2br w:val="nil"/>
              <w:tr2bl w:val="nil"/>
            </w:tcBorders>
          </w:tcPr>
          <w:p w14:paraId="59ACEAE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105/100</w:t>
            </w:r>
          </w:p>
        </w:tc>
        <w:tc>
          <w:tcPr>
            <w:tcW w:w="1347" w:type="dxa"/>
            <w:tcBorders>
              <w:tl2br w:val="nil"/>
              <w:tr2bl w:val="nil"/>
            </w:tcBorders>
          </w:tcPr>
          <w:p w14:paraId="59ACEAE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Itopride, 50mg × 3/day , 2 weeks</w:t>
            </w:r>
          </w:p>
        </w:tc>
        <w:tc>
          <w:tcPr>
            <w:tcW w:w="995" w:type="dxa"/>
            <w:tcBorders>
              <w:tl2br w:val="nil"/>
              <w:tr2bl w:val="nil"/>
            </w:tcBorders>
          </w:tcPr>
          <w:p w14:paraId="59ACEAE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103/101</w:t>
            </w:r>
          </w:p>
        </w:tc>
        <w:tc>
          <w:tcPr>
            <w:tcW w:w="1134" w:type="dxa"/>
            <w:tcBorders>
              <w:tl2br w:val="nil"/>
              <w:tr2bl w:val="nil"/>
            </w:tcBorders>
          </w:tcPr>
          <w:p w14:paraId="59ACEAE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Domperidone, 10mg × 3/day , 2 weeks</w:t>
            </w:r>
          </w:p>
        </w:tc>
        <w:tc>
          <w:tcPr>
            <w:tcW w:w="952" w:type="dxa"/>
            <w:tcBorders>
              <w:tl2br w:val="nil"/>
              <w:tr2bl w:val="nil"/>
            </w:tcBorders>
          </w:tcPr>
          <w:p w14:paraId="59ACEAE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AE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AE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AE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AF7" w14:textId="77777777">
        <w:trPr>
          <w:trHeight w:val="1200"/>
        </w:trPr>
        <w:tc>
          <w:tcPr>
            <w:tcW w:w="1090" w:type="dxa"/>
            <w:tcBorders>
              <w:tl2br w:val="nil"/>
              <w:tr2bl w:val="nil"/>
            </w:tcBorders>
          </w:tcPr>
          <w:p w14:paraId="59ACEAE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lastRenderedPageBreak/>
              <w:t>Mo 2003</w:t>
            </w:r>
          </w:p>
        </w:tc>
        <w:tc>
          <w:tcPr>
            <w:tcW w:w="751" w:type="dxa"/>
            <w:tcBorders>
              <w:tl2br w:val="nil"/>
              <w:tr2bl w:val="nil"/>
            </w:tcBorders>
          </w:tcPr>
          <w:p w14:paraId="59ACEAE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AE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China</w:t>
            </w:r>
          </w:p>
        </w:tc>
        <w:tc>
          <w:tcPr>
            <w:tcW w:w="2304" w:type="dxa"/>
            <w:tcBorders>
              <w:tl2br w:val="nil"/>
              <w:tr2bl w:val="nil"/>
            </w:tcBorders>
          </w:tcPr>
          <w:p w14:paraId="59ACEAE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Total (Mean(Range)): 47.9 (18-70)</w:t>
            </w:r>
            <w:r>
              <w:rPr>
                <w:rFonts w:ascii="Times New Roman" w:eastAsia="宋体" w:hAnsi="Times New Roman" w:cs="Times New Roman"/>
                <w:color w:val="auto"/>
                <w:sz w:val="13"/>
                <w:szCs w:val="13"/>
              </w:rPr>
              <w:br/>
              <w:t>Itopride (Mean(Range)):  48.79</w:t>
            </w:r>
            <w:r>
              <w:rPr>
                <w:rFonts w:ascii="Times New Roman" w:eastAsia="宋体" w:hAnsi="Times New Roman" w:cs="Times New Roman"/>
                <w:color w:val="auto"/>
                <w:sz w:val="13"/>
                <w:szCs w:val="13"/>
              </w:rPr>
              <w:t>（</w:t>
            </w:r>
            <w:r>
              <w:rPr>
                <w:rFonts w:ascii="Times New Roman" w:eastAsia="宋体" w:hAnsi="Times New Roman" w:cs="Times New Roman"/>
                <w:color w:val="auto"/>
                <w:sz w:val="13"/>
                <w:szCs w:val="13"/>
              </w:rPr>
              <w:t>30-70</w:t>
            </w:r>
            <w:r>
              <w:rPr>
                <w:rFonts w:ascii="Times New Roman" w:eastAsia="宋体" w:hAnsi="Times New Roman" w:cs="Times New Roman"/>
                <w:color w:val="auto"/>
                <w:sz w:val="13"/>
                <w:szCs w:val="13"/>
              </w:rPr>
              <w:t>）</w:t>
            </w:r>
            <w:r>
              <w:rPr>
                <w:rFonts w:ascii="Times New Roman" w:eastAsia="宋体" w:hAnsi="Times New Roman" w:cs="Times New Roman"/>
                <w:color w:val="auto"/>
                <w:sz w:val="13"/>
                <w:szCs w:val="13"/>
              </w:rPr>
              <w:br/>
              <w:t>Domperidone (Mean(Range)): 45.88</w:t>
            </w:r>
            <w:r>
              <w:rPr>
                <w:rFonts w:ascii="Times New Roman" w:eastAsia="宋体" w:hAnsi="Times New Roman" w:cs="Times New Roman"/>
                <w:color w:val="auto"/>
                <w:sz w:val="13"/>
                <w:szCs w:val="13"/>
              </w:rPr>
              <w:t>（</w:t>
            </w:r>
            <w:r>
              <w:rPr>
                <w:rFonts w:ascii="Times New Roman" w:eastAsia="宋体" w:hAnsi="Times New Roman" w:cs="Times New Roman"/>
                <w:color w:val="auto"/>
                <w:sz w:val="13"/>
                <w:szCs w:val="13"/>
              </w:rPr>
              <w:t>21-70</w:t>
            </w:r>
            <w:r>
              <w:rPr>
                <w:rFonts w:ascii="Times New Roman" w:eastAsia="宋体" w:hAnsi="Times New Roman" w:cs="Times New Roman"/>
                <w:color w:val="auto"/>
                <w:sz w:val="13"/>
                <w:szCs w:val="13"/>
              </w:rPr>
              <w:t>）</w:t>
            </w:r>
          </w:p>
        </w:tc>
        <w:tc>
          <w:tcPr>
            <w:tcW w:w="787" w:type="dxa"/>
            <w:tcBorders>
              <w:tl2br w:val="nil"/>
              <w:tr2bl w:val="nil"/>
            </w:tcBorders>
          </w:tcPr>
          <w:p w14:paraId="59ACEAE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29/51</w:t>
            </w:r>
          </w:p>
        </w:tc>
        <w:tc>
          <w:tcPr>
            <w:tcW w:w="1093" w:type="dxa"/>
            <w:tcBorders>
              <w:tl2br w:val="nil"/>
              <w:tr2bl w:val="nil"/>
            </w:tcBorders>
          </w:tcPr>
          <w:p w14:paraId="59ACEAE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40/40</w:t>
            </w:r>
          </w:p>
        </w:tc>
        <w:tc>
          <w:tcPr>
            <w:tcW w:w="1347" w:type="dxa"/>
            <w:tcBorders>
              <w:tl2br w:val="nil"/>
              <w:tr2bl w:val="nil"/>
            </w:tcBorders>
          </w:tcPr>
          <w:p w14:paraId="59ACEAF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Itopride, 50mg × 3/day , 2 weeks</w:t>
            </w:r>
          </w:p>
        </w:tc>
        <w:tc>
          <w:tcPr>
            <w:tcW w:w="995" w:type="dxa"/>
            <w:tcBorders>
              <w:tl2br w:val="nil"/>
              <w:tr2bl w:val="nil"/>
            </w:tcBorders>
          </w:tcPr>
          <w:p w14:paraId="59ACEAF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40/40</w:t>
            </w:r>
          </w:p>
        </w:tc>
        <w:tc>
          <w:tcPr>
            <w:tcW w:w="1134" w:type="dxa"/>
            <w:tcBorders>
              <w:tl2br w:val="nil"/>
              <w:tr2bl w:val="nil"/>
            </w:tcBorders>
          </w:tcPr>
          <w:p w14:paraId="59ACEAF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Domperidone, 10mg × 3/day , 2 weeks</w:t>
            </w:r>
          </w:p>
        </w:tc>
        <w:tc>
          <w:tcPr>
            <w:tcW w:w="952" w:type="dxa"/>
            <w:tcBorders>
              <w:tl2br w:val="nil"/>
              <w:tr2bl w:val="nil"/>
            </w:tcBorders>
          </w:tcPr>
          <w:p w14:paraId="59ACEAF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AF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AF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AF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05" w14:textId="77777777">
        <w:trPr>
          <w:trHeight w:val="540"/>
        </w:trPr>
        <w:tc>
          <w:tcPr>
            <w:tcW w:w="1090" w:type="dxa"/>
            <w:tcBorders>
              <w:tl2br w:val="nil"/>
              <w:tr2bl w:val="nil"/>
            </w:tcBorders>
          </w:tcPr>
          <w:p w14:paraId="59ACEAF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Funaki 2019</w:t>
            </w:r>
          </w:p>
        </w:tc>
        <w:tc>
          <w:tcPr>
            <w:tcW w:w="751" w:type="dxa"/>
            <w:tcBorders>
              <w:tl2br w:val="nil"/>
              <w:tr2bl w:val="nil"/>
            </w:tcBorders>
          </w:tcPr>
          <w:p w14:paraId="59ACEAF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AF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Japan</w:t>
            </w:r>
          </w:p>
        </w:tc>
        <w:tc>
          <w:tcPr>
            <w:tcW w:w="2304" w:type="dxa"/>
            <w:tcBorders>
              <w:tl2br w:val="nil"/>
              <w:tr2bl w:val="nil"/>
            </w:tcBorders>
          </w:tcPr>
          <w:p w14:paraId="59ACEAF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Mean ± SD: 57.3±16.8</w:t>
            </w:r>
          </w:p>
        </w:tc>
        <w:tc>
          <w:tcPr>
            <w:tcW w:w="787" w:type="dxa"/>
            <w:tcBorders>
              <w:tl2br w:val="nil"/>
              <w:tr2bl w:val="nil"/>
            </w:tcBorders>
          </w:tcPr>
          <w:p w14:paraId="59ACEAF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7/9</w:t>
            </w:r>
          </w:p>
        </w:tc>
        <w:tc>
          <w:tcPr>
            <w:tcW w:w="1093" w:type="dxa"/>
            <w:tcBorders>
              <w:tl2br w:val="nil"/>
              <w:tr2bl w:val="nil"/>
            </w:tcBorders>
          </w:tcPr>
          <w:p w14:paraId="59ACEAF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16/16</w:t>
            </w:r>
          </w:p>
        </w:tc>
        <w:tc>
          <w:tcPr>
            <w:tcW w:w="1347" w:type="dxa"/>
            <w:tcBorders>
              <w:tl2br w:val="nil"/>
              <w:tr2bl w:val="nil"/>
            </w:tcBorders>
          </w:tcPr>
          <w:p w14:paraId="59ACEAF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Acotiamide, 100mg × 3/day , 4 weeks</w:t>
            </w:r>
          </w:p>
        </w:tc>
        <w:tc>
          <w:tcPr>
            <w:tcW w:w="995" w:type="dxa"/>
            <w:tcBorders>
              <w:tl2br w:val="nil"/>
              <w:tr2bl w:val="nil"/>
            </w:tcBorders>
          </w:tcPr>
          <w:p w14:paraId="59ACEAF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16/16</w:t>
            </w:r>
          </w:p>
        </w:tc>
        <w:tc>
          <w:tcPr>
            <w:tcW w:w="1134" w:type="dxa"/>
            <w:tcBorders>
              <w:tl2br w:val="nil"/>
              <w:tr2bl w:val="nil"/>
            </w:tcBorders>
          </w:tcPr>
          <w:p w14:paraId="59ACEB0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Placebo,NR, 4 weeks</w:t>
            </w:r>
          </w:p>
        </w:tc>
        <w:tc>
          <w:tcPr>
            <w:tcW w:w="952" w:type="dxa"/>
            <w:tcBorders>
              <w:tl2br w:val="nil"/>
              <w:tr2bl w:val="nil"/>
            </w:tcBorders>
          </w:tcPr>
          <w:p w14:paraId="59ACEB0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0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0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0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13" w14:textId="77777777">
        <w:trPr>
          <w:trHeight w:val="1560"/>
        </w:trPr>
        <w:tc>
          <w:tcPr>
            <w:tcW w:w="1090" w:type="dxa"/>
            <w:tcBorders>
              <w:tl2br w:val="nil"/>
              <w:tr2bl w:val="nil"/>
            </w:tcBorders>
          </w:tcPr>
          <w:p w14:paraId="59ACEB0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Chen 2004 a</w:t>
            </w:r>
          </w:p>
        </w:tc>
        <w:tc>
          <w:tcPr>
            <w:tcW w:w="751" w:type="dxa"/>
            <w:tcBorders>
              <w:tl2br w:val="nil"/>
              <w:tr2bl w:val="nil"/>
            </w:tcBorders>
          </w:tcPr>
          <w:p w14:paraId="59ACEB0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0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China</w:t>
            </w:r>
          </w:p>
        </w:tc>
        <w:tc>
          <w:tcPr>
            <w:tcW w:w="2304" w:type="dxa"/>
            <w:tcBorders>
              <w:tl2br w:val="nil"/>
              <w:tr2bl w:val="nil"/>
            </w:tcBorders>
          </w:tcPr>
          <w:p w14:paraId="59ACEB0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Total (range): 18-65</w:t>
            </w:r>
            <w:r>
              <w:rPr>
                <w:rFonts w:ascii="Times New Roman" w:eastAsia="宋体" w:hAnsi="Times New Roman" w:cs="Times New Roman"/>
                <w:color w:val="auto"/>
                <w:sz w:val="13"/>
                <w:szCs w:val="13"/>
              </w:rPr>
              <w:br/>
              <w:t xml:space="preserve">Itopride (mean ± SD):  34.7±8.9 </w:t>
            </w:r>
            <w:r>
              <w:rPr>
                <w:rFonts w:ascii="Times New Roman" w:eastAsia="宋体" w:hAnsi="Times New Roman" w:cs="Times New Roman"/>
                <w:color w:val="auto"/>
                <w:sz w:val="13"/>
                <w:szCs w:val="13"/>
              </w:rPr>
              <w:br/>
              <w:t>Domperidone (mean ± SD):  36.3±11.1</w:t>
            </w:r>
          </w:p>
        </w:tc>
        <w:tc>
          <w:tcPr>
            <w:tcW w:w="787" w:type="dxa"/>
            <w:tcBorders>
              <w:tl2br w:val="nil"/>
              <w:tr2bl w:val="nil"/>
            </w:tcBorders>
          </w:tcPr>
          <w:p w14:paraId="59ACEB0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15/27</w:t>
            </w:r>
          </w:p>
        </w:tc>
        <w:tc>
          <w:tcPr>
            <w:tcW w:w="1093" w:type="dxa"/>
            <w:tcBorders>
              <w:tl2br w:val="nil"/>
              <w:tr2bl w:val="nil"/>
            </w:tcBorders>
          </w:tcPr>
          <w:p w14:paraId="59ACEB0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21/20</w:t>
            </w:r>
          </w:p>
        </w:tc>
        <w:tc>
          <w:tcPr>
            <w:tcW w:w="1347" w:type="dxa"/>
            <w:tcBorders>
              <w:tl2br w:val="nil"/>
              <w:tr2bl w:val="nil"/>
            </w:tcBorders>
          </w:tcPr>
          <w:p w14:paraId="59ACEB0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Itopride, 50mg × 3/day , 4 weeks</w:t>
            </w:r>
          </w:p>
        </w:tc>
        <w:tc>
          <w:tcPr>
            <w:tcW w:w="995" w:type="dxa"/>
            <w:tcBorders>
              <w:tl2br w:val="nil"/>
              <w:tr2bl w:val="nil"/>
            </w:tcBorders>
          </w:tcPr>
          <w:p w14:paraId="59ACEB0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21/20</w:t>
            </w:r>
          </w:p>
        </w:tc>
        <w:tc>
          <w:tcPr>
            <w:tcW w:w="1134" w:type="dxa"/>
            <w:tcBorders>
              <w:tl2br w:val="nil"/>
              <w:tr2bl w:val="nil"/>
            </w:tcBorders>
          </w:tcPr>
          <w:p w14:paraId="59ACEB0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Domperidone, 10mg × 3/day , 4 weeks</w:t>
            </w:r>
          </w:p>
        </w:tc>
        <w:tc>
          <w:tcPr>
            <w:tcW w:w="952" w:type="dxa"/>
            <w:tcBorders>
              <w:tl2br w:val="nil"/>
              <w:tr2bl w:val="nil"/>
            </w:tcBorders>
          </w:tcPr>
          <w:p w14:paraId="59ACEB0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1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1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1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21" w14:textId="77777777">
        <w:trPr>
          <w:trHeight w:val="750"/>
        </w:trPr>
        <w:tc>
          <w:tcPr>
            <w:tcW w:w="1090" w:type="dxa"/>
            <w:tcBorders>
              <w:tl2br w:val="nil"/>
              <w:tr2bl w:val="nil"/>
            </w:tcBorders>
          </w:tcPr>
          <w:p w14:paraId="59ACEB1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Zhu 2005</w:t>
            </w:r>
          </w:p>
        </w:tc>
        <w:tc>
          <w:tcPr>
            <w:tcW w:w="751" w:type="dxa"/>
            <w:tcBorders>
              <w:tl2br w:val="nil"/>
              <w:tr2bl w:val="nil"/>
            </w:tcBorders>
          </w:tcPr>
          <w:p w14:paraId="59ACEB1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1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China</w:t>
            </w:r>
          </w:p>
        </w:tc>
        <w:tc>
          <w:tcPr>
            <w:tcW w:w="2304" w:type="dxa"/>
            <w:tcBorders>
              <w:tl2br w:val="nil"/>
              <w:tr2bl w:val="nil"/>
            </w:tcBorders>
          </w:tcPr>
          <w:p w14:paraId="59ACEB1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Range: 18-65</w:t>
            </w:r>
          </w:p>
        </w:tc>
        <w:tc>
          <w:tcPr>
            <w:tcW w:w="787" w:type="dxa"/>
            <w:tcBorders>
              <w:tl2br w:val="nil"/>
              <w:tr2bl w:val="nil"/>
            </w:tcBorders>
          </w:tcPr>
          <w:p w14:paraId="59ACEB1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NR</w:t>
            </w:r>
          </w:p>
        </w:tc>
        <w:tc>
          <w:tcPr>
            <w:tcW w:w="1093" w:type="dxa"/>
            <w:tcBorders>
              <w:tl2br w:val="nil"/>
              <w:tr2bl w:val="nil"/>
            </w:tcBorders>
          </w:tcPr>
          <w:p w14:paraId="59ACEB1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119/119</w:t>
            </w:r>
          </w:p>
        </w:tc>
        <w:tc>
          <w:tcPr>
            <w:tcW w:w="1347" w:type="dxa"/>
            <w:tcBorders>
              <w:tl2br w:val="nil"/>
              <w:tr2bl w:val="nil"/>
            </w:tcBorders>
          </w:tcPr>
          <w:p w14:paraId="59ACEB1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Itopride, 50mg × 3/day , 2 weeks</w:t>
            </w:r>
          </w:p>
        </w:tc>
        <w:tc>
          <w:tcPr>
            <w:tcW w:w="995" w:type="dxa"/>
            <w:tcBorders>
              <w:tl2br w:val="nil"/>
              <w:tr2bl w:val="nil"/>
            </w:tcBorders>
          </w:tcPr>
          <w:p w14:paraId="59ACEB1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117/117</w:t>
            </w:r>
          </w:p>
        </w:tc>
        <w:tc>
          <w:tcPr>
            <w:tcW w:w="1134" w:type="dxa"/>
            <w:tcBorders>
              <w:tl2br w:val="nil"/>
              <w:tr2bl w:val="nil"/>
            </w:tcBorders>
          </w:tcPr>
          <w:p w14:paraId="59ACEB1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Domperidone, 10mg × 3/day , 2 weeks</w:t>
            </w:r>
          </w:p>
        </w:tc>
        <w:tc>
          <w:tcPr>
            <w:tcW w:w="952" w:type="dxa"/>
            <w:tcBorders>
              <w:tl2br w:val="nil"/>
              <w:tr2bl w:val="nil"/>
            </w:tcBorders>
          </w:tcPr>
          <w:p w14:paraId="59ACEB1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1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1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2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2F" w14:textId="77777777">
        <w:trPr>
          <w:trHeight w:val="1980"/>
        </w:trPr>
        <w:tc>
          <w:tcPr>
            <w:tcW w:w="1090" w:type="dxa"/>
            <w:tcBorders>
              <w:tl2br w:val="nil"/>
              <w:tr2bl w:val="nil"/>
            </w:tcBorders>
          </w:tcPr>
          <w:p w14:paraId="59ACEB2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Holtmann 2006</w:t>
            </w:r>
          </w:p>
        </w:tc>
        <w:tc>
          <w:tcPr>
            <w:tcW w:w="751" w:type="dxa"/>
            <w:tcBorders>
              <w:tl2br w:val="nil"/>
              <w:tr2bl w:val="nil"/>
            </w:tcBorders>
          </w:tcPr>
          <w:p w14:paraId="59ACEB2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2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Germany</w:t>
            </w:r>
          </w:p>
        </w:tc>
        <w:tc>
          <w:tcPr>
            <w:tcW w:w="2304" w:type="dxa"/>
            <w:tcBorders>
              <w:tl2br w:val="nil"/>
              <w:tr2bl w:val="nil"/>
            </w:tcBorders>
          </w:tcPr>
          <w:p w14:paraId="59ACEB2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Total (range): 18~94</w:t>
            </w:r>
            <w:r>
              <w:rPr>
                <w:rFonts w:ascii="Times New Roman" w:eastAsia="宋体" w:hAnsi="Times New Roman" w:cs="Times New Roman"/>
                <w:color w:val="auto"/>
                <w:sz w:val="13"/>
                <w:szCs w:val="13"/>
              </w:rPr>
              <w:br/>
              <w:t>Placebo (mean ± SD)</w:t>
            </w:r>
            <w:r>
              <w:rPr>
                <w:rFonts w:ascii="Times New Roman" w:eastAsia="宋体" w:hAnsi="Times New Roman" w:cs="Times New Roman"/>
                <w:color w:val="auto"/>
                <w:sz w:val="13"/>
                <w:szCs w:val="13"/>
              </w:rPr>
              <w:t>：</w:t>
            </w:r>
            <w:r>
              <w:rPr>
                <w:rFonts w:ascii="Times New Roman" w:eastAsia="宋体" w:hAnsi="Times New Roman" w:cs="Times New Roman"/>
                <w:color w:val="auto"/>
                <w:sz w:val="13"/>
                <w:szCs w:val="13"/>
              </w:rPr>
              <w:t>49.3±15.5</w:t>
            </w:r>
            <w:r>
              <w:rPr>
                <w:rFonts w:ascii="Times New Roman" w:eastAsia="宋体" w:hAnsi="Times New Roman" w:cs="Times New Roman"/>
                <w:color w:val="auto"/>
                <w:sz w:val="13"/>
                <w:szCs w:val="13"/>
              </w:rPr>
              <w:br/>
              <w:t>Itopride  (mean ± SD)</w:t>
            </w:r>
            <w:r>
              <w:rPr>
                <w:rFonts w:ascii="Times New Roman" w:eastAsia="宋体" w:hAnsi="Times New Roman" w:cs="Times New Roman"/>
                <w:color w:val="auto"/>
                <w:sz w:val="13"/>
                <w:szCs w:val="13"/>
              </w:rPr>
              <w:t>：</w:t>
            </w:r>
            <w:r>
              <w:rPr>
                <w:rFonts w:ascii="Times New Roman" w:eastAsia="宋体" w:hAnsi="Times New Roman" w:cs="Times New Roman"/>
                <w:color w:val="auto"/>
                <w:sz w:val="13"/>
                <w:szCs w:val="13"/>
              </w:rPr>
              <w:br/>
              <w:t>(50mg): 47.8±16.1</w:t>
            </w:r>
            <w:r>
              <w:rPr>
                <w:rFonts w:ascii="Times New Roman" w:eastAsia="宋体" w:hAnsi="Times New Roman" w:cs="Times New Roman"/>
                <w:color w:val="auto"/>
                <w:sz w:val="13"/>
                <w:szCs w:val="13"/>
              </w:rPr>
              <w:br/>
              <w:t>(100mg): 45.8±16.3</w:t>
            </w:r>
            <w:r>
              <w:rPr>
                <w:rFonts w:ascii="Times New Roman" w:eastAsia="宋体" w:hAnsi="Times New Roman" w:cs="Times New Roman"/>
                <w:color w:val="auto"/>
                <w:sz w:val="13"/>
                <w:szCs w:val="13"/>
              </w:rPr>
              <w:br/>
              <w:t>(200mg): 48.7±15.4</w:t>
            </w:r>
          </w:p>
        </w:tc>
        <w:tc>
          <w:tcPr>
            <w:tcW w:w="787" w:type="dxa"/>
            <w:tcBorders>
              <w:tl2br w:val="nil"/>
              <w:tr2bl w:val="nil"/>
            </w:tcBorders>
          </w:tcPr>
          <w:p w14:paraId="59ACEB2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200/348</w:t>
            </w:r>
          </w:p>
        </w:tc>
        <w:tc>
          <w:tcPr>
            <w:tcW w:w="1093" w:type="dxa"/>
            <w:tcBorders>
              <w:tl2br w:val="nil"/>
              <w:tr2bl w:val="nil"/>
            </w:tcBorders>
          </w:tcPr>
          <w:p w14:paraId="59ACEB2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Total: 411/406</w:t>
            </w:r>
            <w:r>
              <w:rPr>
                <w:rFonts w:ascii="Times New Roman" w:eastAsia="宋体" w:hAnsi="Times New Roman" w:cs="Times New Roman"/>
                <w:color w:val="auto"/>
                <w:sz w:val="13"/>
                <w:szCs w:val="13"/>
              </w:rPr>
              <w:br/>
              <w:t>(50mg): 139/135</w:t>
            </w:r>
            <w:r>
              <w:rPr>
                <w:rFonts w:ascii="Times New Roman" w:eastAsia="宋体" w:hAnsi="Times New Roman" w:cs="Times New Roman"/>
                <w:color w:val="auto"/>
                <w:sz w:val="13"/>
                <w:szCs w:val="13"/>
              </w:rPr>
              <w:br/>
              <w:t>(100mg): 136/135</w:t>
            </w:r>
            <w:r>
              <w:rPr>
                <w:rFonts w:ascii="Times New Roman" w:eastAsia="宋体" w:hAnsi="Times New Roman" w:cs="Times New Roman"/>
                <w:color w:val="auto"/>
                <w:sz w:val="13"/>
                <w:szCs w:val="13"/>
              </w:rPr>
              <w:br/>
              <w:t>(200mg): 136/136</w:t>
            </w:r>
          </w:p>
        </w:tc>
        <w:tc>
          <w:tcPr>
            <w:tcW w:w="1347" w:type="dxa"/>
            <w:tcBorders>
              <w:tl2br w:val="nil"/>
              <w:tr2bl w:val="nil"/>
            </w:tcBorders>
          </w:tcPr>
          <w:p w14:paraId="59ACEB2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Itopride, 50/100/200mg × 3/day, 8 weeks</w:t>
            </w:r>
          </w:p>
        </w:tc>
        <w:tc>
          <w:tcPr>
            <w:tcW w:w="995" w:type="dxa"/>
            <w:tcBorders>
              <w:tl2br w:val="nil"/>
              <w:tr2bl w:val="nil"/>
            </w:tcBorders>
          </w:tcPr>
          <w:p w14:paraId="59ACEB2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143/142</w:t>
            </w:r>
          </w:p>
        </w:tc>
        <w:tc>
          <w:tcPr>
            <w:tcW w:w="1134" w:type="dxa"/>
            <w:tcBorders>
              <w:tl2br w:val="nil"/>
              <w:tr2bl w:val="nil"/>
            </w:tcBorders>
          </w:tcPr>
          <w:p w14:paraId="59ACEB2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Placebo,NR, 8 weeks</w:t>
            </w:r>
          </w:p>
        </w:tc>
        <w:tc>
          <w:tcPr>
            <w:tcW w:w="952" w:type="dxa"/>
            <w:tcBorders>
              <w:tl2br w:val="nil"/>
              <w:tr2bl w:val="nil"/>
            </w:tcBorders>
          </w:tcPr>
          <w:p w14:paraId="59ACEB2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2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2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2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3D" w14:textId="77777777">
        <w:trPr>
          <w:trHeight w:val="1180"/>
        </w:trPr>
        <w:tc>
          <w:tcPr>
            <w:tcW w:w="1090" w:type="dxa"/>
            <w:tcBorders>
              <w:tl2br w:val="nil"/>
              <w:tr2bl w:val="nil"/>
            </w:tcBorders>
          </w:tcPr>
          <w:p w14:paraId="59ACEB3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Lin 2009</w:t>
            </w:r>
          </w:p>
        </w:tc>
        <w:tc>
          <w:tcPr>
            <w:tcW w:w="751" w:type="dxa"/>
            <w:tcBorders>
              <w:tl2br w:val="nil"/>
              <w:tr2bl w:val="nil"/>
            </w:tcBorders>
          </w:tcPr>
          <w:p w14:paraId="59ACEB3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PDS</w:t>
            </w:r>
          </w:p>
        </w:tc>
        <w:tc>
          <w:tcPr>
            <w:tcW w:w="700" w:type="dxa"/>
            <w:tcBorders>
              <w:tl2br w:val="nil"/>
              <w:tr2bl w:val="nil"/>
            </w:tcBorders>
          </w:tcPr>
          <w:p w14:paraId="59ACEB3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China</w:t>
            </w:r>
          </w:p>
        </w:tc>
        <w:tc>
          <w:tcPr>
            <w:tcW w:w="2304" w:type="dxa"/>
            <w:tcBorders>
              <w:tl2br w:val="nil"/>
              <w:tr2bl w:val="nil"/>
            </w:tcBorders>
          </w:tcPr>
          <w:p w14:paraId="59ACEB3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Total (range): 19-65</w:t>
            </w:r>
            <w:r>
              <w:rPr>
                <w:rFonts w:ascii="Times New Roman" w:eastAsia="宋体" w:hAnsi="Times New Roman" w:cs="Times New Roman"/>
                <w:color w:val="auto"/>
                <w:sz w:val="13"/>
                <w:szCs w:val="13"/>
              </w:rPr>
              <w:br/>
              <w:t xml:space="preserve">Mosapride (range(mean ± SD)) </w:t>
            </w:r>
            <w:r>
              <w:rPr>
                <w:rFonts w:ascii="Times New Roman" w:eastAsia="宋体" w:hAnsi="Times New Roman" w:cs="Times New Roman"/>
                <w:color w:val="auto"/>
                <w:sz w:val="13"/>
                <w:szCs w:val="13"/>
              </w:rPr>
              <w:t>：</w:t>
            </w:r>
            <w:r>
              <w:rPr>
                <w:rFonts w:ascii="Times New Roman" w:eastAsia="宋体" w:hAnsi="Times New Roman" w:cs="Times New Roman"/>
                <w:color w:val="auto"/>
                <w:sz w:val="13"/>
                <w:szCs w:val="13"/>
              </w:rPr>
              <w:t>19-63( 41±10)</w:t>
            </w:r>
            <w:r>
              <w:rPr>
                <w:rFonts w:ascii="Times New Roman" w:eastAsia="宋体" w:hAnsi="Times New Roman" w:cs="Times New Roman"/>
                <w:color w:val="auto"/>
                <w:sz w:val="13"/>
                <w:szCs w:val="13"/>
              </w:rPr>
              <w:br/>
              <w:t>Placebo (range(mean ± SD)) : 19-65 (40±12)</w:t>
            </w:r>
          </w:p>
        </w:tc>
        <w:tc>
          <w:tcPr>
            <w:tcW w:w="787" w:type="dxa"/>
            <w:tcBorders>
              <w:tl2br w:val="nil"/>
              <w:tr2bl w:val="nil"/>
            </w:tcBorders>
          </w:tcPr>
          <w:p w14:paraId="59ACEB3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20/40</w:t>
            </w:r>
          </w:p>
        </w:tc>
        <w:tc>
          <w:tcPr>
            <w:tcW w:w="1093" w:type="dxa"/>
            <w:tcBorders>
              <w:tl2br w:val="nil"/>
              <w:tr2bl w:val="nil"/>
            </w:tcBorders>
          </w:tcPr>
          <w:p w14:paraId="59ACEB3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30/30</w:t>
            </w:r>
          </w:p>
        </w:tc>
        <w:tc>
          <w:tcPr>
            <w:tcW w:w="1347" w:type="dxa"/>
            <w:tcBorders>
              <w:tl2br w:val="nil"/>
              <w:tr2bl w:val="nil"/>
            </w:tcBorders>
          </w:tcPr>
          <w:p w14:paraId="59ACEB3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Mosapride, 5mg× 3/day, 2 weeks</w:t>
            </w:r>
          </w:p>
        </w:tc>
        <w:tc>
          <w:tcPr>
            <w:tcW w:w="995" w:type="dxa"/>
            <w:tcBorders>
              <w:tl2br w:val="nil"/>
              <w:tr2bl w:val="nil"/>
            </w:tcBorders>
          </w:tcPr>
          <w:p w14:paraId="59ACEB3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30/30</w:t>
            </w:r>
          </w:p>
        </w:tc>
        <w:tc>
          <w:tcPr>
            <w:tcW w:w="1134" w:type="dxa"/>
            <w:tcBorders>
              <w:tl2br w:val="nil"/>
              <w:tr2bl w:val="nil"/>
            </w:tcBorders>
          </w:tcPr>
          <w:p w14:paraId="59ACEB3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NR, 2 weeks</w:t>
            </w:r>
          </w:p>
        </w:tc>
        <w:tc>
          <w:tcPr>
            <w:tcW w:w="952" w:type="dxa"/>
            <w:tcBorders>
              <w:tl2br w:val="nil"/>
              <w:tr2bl w:val="nil"/>
            </w:tcBorders>
          </w:tcPr>
          <w:p w14:paraId="59ACEB3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3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3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3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4B" w14:textId="77777777">
        <w:trPr>
          <w:trHeight w:val="690"/>
        </w:trPr>
        <w:tc>
          <w:tcPr>
            <w:tcW w:w="1090" w:type="dxa"/>
            <w:tcBorders>
              <w:tl2br w:val="nil"/>
              <w:tr2bl w:val="nil"/>
            </w:tcBorders>
          </w:tcPr>
          <w:p w14:paraId="59ACEB3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DAVIS 1988</w:t>
            </w:r>
          </w:p>
        </w:tc>
        <w:tc>
          <w:tcPr>
            <w:tcW w:w="751" w:type="dxa"/>
            <w:tcBorders>
              <w:tl2br w:val="nil"/>
              <w:tr2bl w:val="nil"/>
            </w:tcBorders>
          </w:tcPr>
          <w:p w14:paraId="59ACEB3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4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US</w:t>
            </w:r>
          </w:p>
        </w:tc>
        <w:tc>
          <w:tcPr>
            <w:tcW w:w="2304" w:type="dxa"/>
            <w:tcBorders>
              <w:tl2br w:val="nil"/>
              <w:tr2bl w:val="nil"/>
            </w:tcBorders>
          </w:tcPr>
          <w:p w14:paraId="59ACEB4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Mean(Range): 30 (18-48)</w:t>
            </w:r>
          </w:p>
        </w:tc>
        <w:tc>
          <w:tcPr>
            <w:tcW w:w="787" w:type="dxa"/>
            <w:tcBorders>
              <w:tl2br w:val="nil"/>
              <w:tr2bl w:val="nil"/>
            </w:tcBorders>
          </w:tcPr>
          <w:p w14:paraId="59ACEB4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1/15</w:t>
            </w:r>
          </w:p>
        </w:tc>
        <w:tc>
          <w:tcPr>
            <w:tcW w:w="1093" w:type="dxa"/>
            <w:tcBorders>
              <w:tl2br w:val="nil"/>
              <w:tr2bl w:val="nil"/>
            </w:tcBorders>
          </w:tcPr>
          <w:p w14:paraId="59ACEB4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9/9</w:t>
            </w:r>
          </w:p>
        </w:tc>
        <w:tc>
          <w:tcPr>
            <w:tcW w:w="1347" w:type="dxa"/>
            <w:tcBorders>
              <w:tl2br w:val="nil"/>
              <w:tr2bl w:val="nil"/>
            </w:tcBorders>
          </w:tcPr>
          <w:p w14:paraId="59ACEB4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Domperidone, 20 mg× 4/day, 6 weeks</w:t>
            </w:r>
          </w:p>
        </w:tc>
        <w:tc>
          <w:tcPr>
            <w:tcW w:w="995" w:type="dxa"/>
            <w:tcBorders>
              <w:tl2br w:val="nil"/>
              <w:tr2bl w:val="nil"/>
            </w:tcBorders>
          </w:tcPr>
          <w:p w14:paraId="59ACEB4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7/7</w:t>
            </w:r>
          </w:p>
        </w:tc>
        <w:tc>
          <w:tcPr>
            <w:tcW w:w="1134" w:type="dxa"/>
            <w:tcBorders>
              <w:tl2br w:val="nil"/>
              <w:tr2bl w:val="nil"/>
            </w:tcBorders>
          </w:tcPr>
          <w:p w14:paraId="59ACEB4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NR, 6 weeks</w:t>
            </w:r>
          </w:p>
        </w:tc>
        <w:tc>
          <w:tcPr>
            <w:tcW w:w="952" w:type="dxa"/>
            <w:tcBorders>
              <w:tl2br w:val="nil"/>
              <w:tr2bl w:val="nil"/>
            </w:tcBorders>
          </w:tcPr>
          <w:p w14:paraId="59ACEB4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4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4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4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59" w14:textId="77777777">
        <w:trPr>
          <w:trHeight w:val="610"/>
        </w:trPr>
        <w:tc>
          <w:tcPr>
            <w:tcW w:w="1090" w:type="dxa"/>
            <w:tcBorders>
              <w:tl2br w:val="nil"/>
              <w:tr2bl w:val="nil"/>
            </w:tcBorders>
          </w:tcPr>
          <w:p w14:paraId="59ACEB4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lastRenderedPageBreak/>
              <w:t>Matsueda 2005</w:t>
            </w:r>
          </w:p>
        </w:tc>
        <w:tc>
          <w:tcPr>
            <w:tcW w:w="751" w:type="dxa"/>
            <w:tcBorders>
              <w:tl2br w:val="nil"/>
              <w:tr2bl w:val="nil"/>
            </w:tcBorders>
          </w:tcPr>
          <w:p w14:paraId="59ACEB4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4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Japan</w:t>
            </w:r>
          </w:p>
        </w:tc>
        <w:tc>
          <w:tcPr>
            <w:tcW w:w="2304" w:type="dxa"/>
            <w:tcBorders>
              <w:tl2br w:val="nil"/>
              <w:tr2bl w:val="nil"/>
            </w:tcBorders>
          </w:tcPr>
          <w:p w14:paraId="59ACEB4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Mean: 39</w:t>
            </w:r>
          </w:p>
        </w:tc>
        <w:tc>
          <w:tcPr>
            <w:tcW w:w="787" w:type="dxa"/>
            <w:tcBorders>
              <w:tl2br w:val="nil"/>
              <w:tr2bl w:val="nil"/>
            </w:tcBorders>
          </w:tcPr>
          <w:p w14:paraId="59ACEB5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26/39</w:t>
            </w:r>
          </w:p>
        </w:tc>
        <w:tc>
          <w:tcPr>
            <w:tcW w:w="1093" w:type="dxa"/>
            <w:tcBorders>
              <w:tl2br w:val="nil"/>
              <w:tr2bl w:val="nil"/>
            </w:tcBorders>
          </w:tcPr>
          <w:p w14:paraId="59ACEB5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33/33</w:t>
            </w:r>
          </w:p>
        </w:tc>
        <w:tc>
          <w:tcPr>
            <w:tcW w:w="1347" w:type="dxa"/>
            <w:tcBorders>
              <w:tl2br w:val="nil"/>
              <w:tr2bl w:val="nil"/>
            </w:tcBorders>
          </w:tcPr>
          <w:p w14:paraId="59ACEB5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Acotiamide, 100 mg× 3/day, 4 weeks</w:t>
            </w:r>
          </w:p>
        </w:tc>
        <w:tc>
          <w:tcPr>
            <w:tcW w:w="995" w:type="dxa"/>
            <w:tcBorders>
              <w:tl2br w:val="nil"/>
              <w:tr2bl w:val="nil"/>
            </w:tcBorders>
          </w:tcPr>
          <w:p w14:paraId="59ACEB5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32/32</w:t>
            </w:r>
          </w:p>
        </w:tc>
        <w:tc>
          <w:tcPr>
            <w:tcW w:w="1134" w:type="dxa"/>
            <w:tcBorders>
              <w:tl2br w:val="nil"/>
              <w:tr2bl w:val="nil"/>
            </w:tcBorders>
          </w:tcPr>
          <w:p w14:paraId="59ACEB5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100 mg× 3/day, 4 weeks</w:t>
            </w:r>
          </w:p>
        </w:tc>
        <w:tc>
          <w:tcPr>
            <w:tcW w:w="952" w:type="dxa"/>
            <w:tcBorders>
              <w:tl2br w:val="nil"/>
              <w:tr2bl w:val="nil"/>
            </w:tcBorders>
          </w:tcPr>
          <w:p w14:paraId="59ACEB5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5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5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5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67" w14:textId="77777777">
        <w:trPr>
          <w:trHeight w:val="1180"/>
        </w:trPr>
        <w:tc>
          <w:tcPr>
            <w:tcW w:w="1090" w:type="dxa"/>
            <w:tcBorders>
              <w:tl2br w:val="nil"/>
              <w:tr2bl w:val="nil"/>
            </w:tcBorders>
          </w:tcPr>
          <w:p w14:paraId="59ACEB5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Li 2005</w:t>
            </w:r>
          </w:p>
        </w:tc>
        <w:tc>
          <w:tcPr>
            <w:tcW w:w="751" w:type="dxa"/>
            <w:tcBorders>
              <w:tl2br w:val="nil"/>
              <w:tr2bl w:val="nil"/>
            </w:tcBorders>
          </w:tcPr>
          <w:p w14:paraId="59ACEB5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5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China</w:t>
            </w:r>
          </w:p>
        </w:tc>
        <w:tc>
          <w:tcPr>
            <w:tcW w:w="2304" w:type="dxa"/>
            <w:tcBorders>
              <w:tl2br w:val="nil"/>
              <w:tr2bl w:val="nil"/>
            </w:tcBorders>
          </w:tcPr>
          <w:p w14:paraId="59ACEB5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Total (range) : 18-65</w:t>
            </w:r>
            <w:r>
              <w:rPr>
                <w:rFonts w:ascii="Times New Roman" w:eastAsia="宋体" w:hAnsi="Times New Roman" w:cs="Times New Roman"/>
                <w:color w:val="auto"/>
                <w:sz w:val="13"/>
                <w:szCs w:val="13"/>
              </w:rPr>
              <w:br/>
              <w:t>Itopride (mean ± SD): 38±12;</w:t>
            </w:r>
            <w:r>
              <w:rPr>
                <w:rFonts w:ascii="Times New Roman" w:eastAsia="宋体" w:hAnsi="Times New Roman" w:cs="Times New Roman"/>
                <w:color w:val="auto"/>
                <w:sz w:val="13"/>
                <w:szCs w:val="13"/>
              </w:rPr>
              <w:br/>
              <w:t>Domperidone (mean ± SD):38±12</w:t>
            </w:r>
          </w:p>
        </w:tc>
        <w:tc>
          <w:tcPr>
            <w:tcW w:w="787" w:type="dxa"/>
            <w:tcBorders>
              <w:tl2br w:val="nil"/>
              <w:tr2bl w:val="nil"/>
            </w:tcBorders>
          </w:tcPr>
          <w:p w14:paraId="59ACEB5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94/106</w:t>
            </w:r>
          </w:p>
        </w:tc>
        <w:tc>
          <w:tcPr>
            <w:tcW w:w="1093" w:type="dxa"/>
            <w:tcBorders>
              <w:tl2br w:val="nil"/>
              <w:tr2bl w:val="nil"/>
            </w:tcBorders>
          </w:tcPr>
          <w:p w14:paraId="59ACEB5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104/100</w:t>
            </w:r>
          </w:p>
        </w:tc>
        <w:tc>
          <w:tcPr>
            <w:tcW w:w="1347" w:type="dxa"/>
            <w:tcBorders>
              <w:tl2br w:val="nil"/>
              <w:tr2bl w:val="nil"/>
            </w:tcBorders>
          </w:tcPr>
          <w:p w14:paraId="59ACEB6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Itopride, 50 mg× 3/day, 4 weeks</w:t>
            </w:r>
          </w:p>
        </w:tc>
        <w:tc>
          <w:tcPr>
            <w:tcW w:w="995" w:type="dxa"/>
            <w:tcBorders>
              <w:tl2br w:val="nil"/>
              <w:tr2bl w:val="nil"/>
            </w:tcBorders>
          </w:tcPr>
          <w:p w14:paraId="59ACEB6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105/100</w:t>
            </w:r>
          </w:p>
        </w:tc>
        <w:tc>
          <w:tcPr>
            <w:tcW w:w="1134" w:type="dxa"/>
            <w:tcBorders>
              <w:tl2br w:val="nil"/>
              <w:tr2bl w:val="nil"/>
            </w:tcBorders>
          </w:tcPr>
          <w:p w14:paraId="59ACEB6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Domperidone, 10 mg× 3/day, 4 weeks</w:t>
            </w:r>
          </w:p>
        </w:tc>
        <w:tc>
          <w:tcPr>
            <w:tcW w:w="952" w:type="dxa"/>
            <w:tcBorders>
              <w:tl2br w:val="nil"/>
              <w:tr2bl w:val="nil"/>
            </w:tcBorders>
          </w:tcPr>
          <w:p w14:paraId="59ACEB6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6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6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6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75" w14:textId="77777777">
        <w:trPr>
          <w:trHeight w:val="660"/>
        </w:trPr>
        <w:tc>
          <w:tcPr>
            <w:tcW w:w="1090" w:type="dxa"/>
            <w:tcBorders>
              <w:tl2br w:val="nil"/>
              <w:tr2bl w:val="nil"/>
            </w:tcBorders>
          </w:tcPr>
          <w:p w14:paraId="59ACEB6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Sun 2003</w:t>
            </w:r>
          </w:p>
        </w:tc>
        <w:tc>
          <w:tcPr>
            <w:tcW w:w="751" w:type="dxa"/>
            <w:tcBorders>
              <w:tl2br w:val="nil"/>
              <w:tr2bl w:val="nil"/>
            </w:tcBorders>
          </w:tcPr>
          <w:p w14:paraId="59ACEB6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6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China</w:t>
            </w:r>
          </w:p>
        </w:tc>
        <w:tc>
          <w:tcPr>
            <w:tcW w:w="2304" w:type="dxa"/>
            <w:tcBorders>
              <w:tl2br w:val="nil"/>
              <w:tr2bl w:val="nil"/>
            </w:tcBorders>
          </w:tcPr>
          <w:p w14:paraId="59ACEB6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Range: 18-70</w:t>
            </w:r>
          </w:p>
        </w:tc>
        <w:tc>
          <w:tcPr>
            <w:tcW w:w="787" w:type="dxa"/>
            <w:tcBorders>
              <w:tl2br w:val="nil"/>
              <w:tr2bl w:val="nil"/>
            </w:tcBorders>
          </w:tcPr>
          <w:p w14:paraId="59ACEB6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NR</w:t>
            </w:r>
          </w:p>
        </w:tc>
        <w:tc>
          <w:tcPr>
            <w:tcW w:w="1093" w:type="dxa"/>
            <w:tcBorders>
              <w:tl2br w:val="nil"/>
              <w:tr2bl w:val="nil"/>
            </w:tcBorders>
          </w:tcPr>
          <w:p w14:paraId="59ACEB6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120/115</w:t>
            </w:r>
          </w:p>
        </w:tc>
        <w:tc>
          <w:tcPr>
            <w:tcW w:w="1347" w:type="dxa"/>
            <w:tcBorders>
              <w:tl2br w:val="nil"/>
              <w:tr2bl w:val="nil"/>
            </w:tcBorders>
          </w:tcPr>
          <w:p w14:paraId="59ACEB6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Itopride, 50mg × 3/day , 2 weeks</w:t>
            </w:r>
          </w:p>
        </w:tc>
        <w:tc>
          <w:tcPr>
            <w:tcW w:w="995" w:type="dxa"/>
            <w:tcBorders>
              <w:tl2br w:val="nil"/>
              <w:tr2bl w:val="nil"/>
            </w:tcBorders>
          </w:tcPr>
          <w:p w14:paraId="59ACEB6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120/117</w:t>
            </w:r>
          </w:p>
        </w:tc>
        <w:tc>
          <w:tcPr>
            <w:tcW w:w="1134" w:type="dxa"/>
            <w:tcBorders>
              <w:tl2br w:val="nil"/>
              <w:tr2bl w:val="nil"/>
            </w:tcBorders>
          </w:tcPr>
          <w:p w14:paraId="59ACEB7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Domperidone, 10mg × 3/day , 2 weeks</w:t>
            </w:r>
          </w:p>
        </w:tc>
        <w:tc>
          <w:tcPr>
            <w:tcW w:w="952" w:type="dxa"/>
            <w:tcBorders>
              <w:tl2br w:val="nil"/>
              <w:tr2bl w:val="nil"/>
            </w:tcBorders>
          </w:tcPr>
          <w:p w14:paraId="59ACEB7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7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7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7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83" w14:textId="77777777">
        <w:trPr>
          <w:trHeight w:val="870"/>
        </w:trPr>
        <w:tc>
          <w:tcPr>
            <w:tcW w:w="1090" w:type="dxa"/>
            <w:tcBorders>
              <w:tl2br w:val="nil"/>
              <w:tr2bl w:val="nil"/>
            </w:tcBorders>
          </w:tcPr>
          <w:p w14:paraId="59ACEB7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Matsueda 2011</w:t>
            </w:r>
          </w:p>
        </w:tc>
        <w:tc>
          <w:tcPr>
            <w:tcW w:w="751" w:type="dxa"/>
            <w:tcBorders>
              <w:tl2br w:val="nil"/>
              <w:tr2bl w:val="nil"/>
            </w:tcBorders>
          </w:tcPr>
          <w:p w14:paraId="59ACEB7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7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Japan</w:t>
            </w:r>
          </w:p>
        </w:tc>
        <w:tc>
          <w:tcPr>
            <w:tcW w:w="2304" w:type="dxa"/>
            <w:tcBorders>
              <w:tl2br w:val="nil"/>
              <w:tr2bl w:val="nil"/>
            </w:tcBorders>
          </w:tcPr>
          <w:p w14:paraId="59ACEB7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(mean ± SD)</w:t>
            </w:r>
            <w:r>
              <w:rPr>
                <w:rFonts w:ascii="Times New Roman" w:eastAsia="宋体" w:hAnsi="Times New Roman" w:cs="Times New Roman"/>
                <w:color w:val="auto"/>
                <w:sz w:val="13"/>
                <w:szCs w:val="13"/>
              </w:rPr>
              <w:t>：</w:t>
            </w:r>
            <w:r>
              <w:rPr>
                <w:rFonts w:ascii="Times New Roman" w:eastAsia="宋体" w:hAnsi="Times New Roman" w:cs="Times New Roman"/>
                <w:color w:val="auto"/>
                <w:sz w:val="13"/>
                <w:szCs w:val="13"/>
              </w:rPr>
              <w:t>37.1±9.9</w:t>
            </w:r>
            <w:r>
              <w:rPr>
                <w:rFonts w:ascii="Times New Roman" w:eastAsia="宋体" w:hAnsi="Times New Roman" w:cs="Times New Roman"/>
                <w:color w:val="auto"/>
                <w:sz w:val="13"/>
                <w:szCs w:val="13"/>
              </w:rPr>
              <w:br/>
              <w:t>Acotiamide (mean ± SD)</w:t>
            </w:r>
            <w:r>
              <w:rPr>
                <w:rFonts w:ascii="Times New Roman" w:eastAsia="宋体" w:hAnsi="Times New Roman" w:cs="Times New Roman"/>
                <w:color w:val="auto"/>
                <w:sz w:val="13"/>
                <w:szCs w:val="13"/>
              </w:rPr>
              <w:t>：</w:t>
            </w:r>
            <w:r>
              <w:rPr>
                <w:rFonts w:ascii="Times New Roman" w:eastAsia="宋体" w:hAnsi="Times New Roman" w:cs="Times New Roman"/>
                <w:color w:val="auto"/>
                <w:sz w:val="13"/>
                <w:szCs w:val="13"/>
              </w:rPr>
              <w:t>37.6±10.7</w:t>
            </w:r>
          </w:p>
        </w:tc>
        <w:tc>
          <w:tcPr>
            <w:tcW w:w="787" w:type="dxa"/>
            <w:tcBorders>
              <w:tl2br w:val="nil"/>
              <w:tr2bl w:val="nil"/>
            </w:tcBorders>
          </w:tcPr>
          <w:p w14:paraId="59ACEB7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363/529</w:t>
            </w:r>
          </w:p>
        </w:tc>
        <w:tc>
          <w:tcPr>
            <w:tcW w:w="1093" w:type="dxa"/>
            <w:tcBorders>
              <w:tl2br w:val="nil"/>
              <w:tr2bl w:val="nil"/>
            </w:tcBorders>
          </w:tcPr>
          <w:p w14:paraId="59ACEB7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450/428</w:t>
            </w:r>
          </w:p>
        </w:tc>
        <w:tc>
          <w:tcPr>
            <w:tcW w:w="1347" w:type="dxa"/>
            <w:tcBorders>
              <w:tl2br w:val="nil"/>
              <w:tr2bl w:val="nil"/>
            </w:tcBorders>
          </w:tcPr>
          <w:p w14:paraId="59ACEB7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Acotiamide, 100mg × 3/day , 4 weeks</w:t>
            </w:r>
          </w:p>
        </w:tc>
        <w:tc>
          <w:tcPr>
            <w:tcW w:w="995" w:type="dxa"/>
            <w:tcBorders>
              <w:tl2br w:val="nil"/>
              <w:tr2bl w:val="nil"/>
            </w:tcBorders>
          </w:tcPr>
          <w:p w14:paraId="59ACEB7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442/421</w:t>
            </w:r>
          </w:p>
        </w:tc>
        <w:tc>
          <w:tcPr>
            <w:tcW w:w="1134" w:type="dxa"/>
            <w:tcBorders>
              <w:tl2br w:val="nil"/>
              <w:tr2bl w:val="nil"/>
            </w:tcBorders>
          </w:tcPr>
          <w:p w14:paraId="59ACEB7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100mg × 3/day , 4 weeks</w:t>
            </w:r>
          </w:p>
        </w:tc>
        <w:tc>
          <w:tcPr>
            <w:tcW w:w="952" w:type="dxa"/>
            <w:tcBorders>
              <w:tl2br w:val="nil"/>
              <w:tr2bl w:val="nil"/>
            </w:tcBorders>
          </w:tcPr>
          <w:p w14:paraId="59ACEB7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8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8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8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91" w14:textId="77777777">
        <w:trPr>
          <w:trHeight w:val="1110"/>
        </w:trPr>
        <w:tc>
          <w:tcPr>
            <w:tcW w:w="1090" w:type="dxa"/>
            <w:tcBorders>
              <w:tl2br w:val="nil"/>
              <w:tr2bl w:val="nil"/>
            </w:tcBorders>
          </w:tcPr>
          <w:p w14:paraId="59ACEB8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Mierop 1979</w:t>
            </w:r>
          </w:p>
        </w:tc>
        <w:tc>
          <w:tcPr>
            <w:tcW w:w="751" w:type="dxa"/>
            <w:tcBorders>
              <w:tl2br w:val="nil"/>
              <w:tr2bl w:val="nil"/>
            </w:tcBorders>
          </w:tcPr>
          <w:p w14:paraId="59ACEB8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8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Belgium</w:t>
            </w:r>
          </w:p>
        </w:tc>
        <w:tc>
          <w:tcPr>
            <w:tcW w:w="2304" w:type="dxa"/>
            <w:tcBorders>
              <w:tl2br w:val="nil"/>
              <w:tr2bl w:val="nil"/>
            </w:tcBorders>
          </w:tcPr>
          <w:p w14:paraId="59ACEB8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 xml:space="preserve">Total (Mean(range)): 56 (32-76)  </w:t>
            </w:r>
            <w:r>
              <w:rPr>
                <w:rFonts w:ascii="Times New Roman" w:eastAsia="宋体" w:hAnsi="Times New Roman" w:cs="Times New Roman"/>
                <w:color w:val="auto"/>
                <w:sz w:val="13"/>
                <w:szCs w:val="13"/>
              </w:rPr>
              <w:br/>
              <w:t xml:space="preserve">Domperidone (Mean(range)): 55 (32-71)  </w:t>
            </w:r>
            <w:r>
              <w:rPr>
                <w:rFonts w:ascii="Times New Roman" w:eastAsia="宋体" w:hAnsi="Times New Roman" w:cs="Times New Roman"/>
                <w:color w:val="auto"/>
                <w:sz w:val="13"/>
                <w:szCs w:val="13"/>
              </w:rPr>
              <w:br/>
              <w:t xml:space="preserve">Placebo (Mean(range)): 61 (37-76) </w:t>
            </w:r>
          </w:p>
        </w:tc>
        <w:tc>
          <w:tcPr>
            <w:tcW w:w="787" w:type="dxa"/>
            <w:tcBorders>
              <w:tl2br w:val="nil"/>
              <w:tr2bl w:val="nil"/>
            </w:tcBorders>
          </w:tcPr>
          <w:p w14:paraId="59ACEB8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9/23</w:t>
            </w:r>
          </w:p>
        </w:tc>
        <w:tc>
          <w:tcPr>
            <w:tcW w:w="1093" w:type="dxa"/>
            <w:tcBorders>
              <w:tl2br w:val="nil"/>
              <w:tr2bl w:val="nil"/>
            </w:tcBorders>
          </w:tcPr>
          <w:p w14:paraId="59ACEB8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17/17</w:t>
            </w:r>
          </w:p>
        </w:tc>
        <w:tc>
          <w:tcPr>
            <w:tcW w:w="1347" w:type="dxa"/>
            <w:tcBorders>
              <w:tl2br w:val="nil"/>
              <w:tr2bl w:val="nil"/>
            </w:tcBorders>
          </w:tcPr>
          <w:p w14:paraId="59ACEB8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Domperidone, 20mg × 3/day,  4 weeks</w:t>
            </w:r>
          </w:p>
        </w:tc>
        <w:tc>
          <w:tcPr>
            <w:tcW w:w="995" w:type="dxa"/>
            <w:tcBorders>
              <w:tl2br w:val="nil"/>
              <w:tr2bl w:val="nil"/>
            </w:tcBorders>
          </w:tcPr>
          <w:p w14:paraId="59ACEB8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15/15</w:t>
            </w:r>
          </w:p>
        </w:tc>
        <w:tc>
          <w:tcPr>
            <w:tcW w:w="1134" w:type="dxa"/>
            <w:tcBorders>
              <w:tl2br w:val="nil"/>
              <w:tr2bl w:val="nil"/>
            </w:tcBorders>
          </w:tcPr>
          <w:p w14:paraId="59ACEB8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NR, 4 weeks</w:t>
            </w:r>
          </w:p>
        </w:tc>
        <w:tc>
          <w:tcPr>
            <w:tcW w:w="952" w:type="dxa"/>
            <w:tcBorders>
              <w:tl2br w:val="nil"/>
              <w:tr2bl w:val="nil"/>
            </w:tcBorders>
          </w:tcPr>
          <w:p w14:paraId="59ACEB8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8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8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9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9F" w14:textId="77777777">
        <w:trPr>
          <w:trHeight w:val="610"/>
        </w:trPr>
        <w:tc>
          <w:tcPr>
            <w:tcW w:w="1090" w:type="dxa"/>
            <w:tcBorders>
              <w:tl2br w:val="nil"/>
              <w:tr2bl w:val="nil"/>
            </w:tcBorders>
          </w:tcPr>
          <w:p w14:paraId="59ACEB9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Van Ganse W 1978</w:t>
            </w:r>
          </w:p>
        </w:tc>
        <w:tc>
          <w:tcPr>
            <w:tcW w:w="751" w:type="dxa"/>
            <w:tcBorders>
              <w:tl2br w:val="nil"/>
              <w:tr2bl w:val="nil"/>
            </w:tcBorders>
          </w:tcPr>
          <w:p w14:paraId="59ACEB9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9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Belgium</w:t>
            </w:r>
          </w:p>
        </w:tc>
        <w:tc>
          <w:tcPr>
            <w:tcW w:w="2304" w:type="dxa"/>
            <w:tcBorders>
              <w:tl2br w:val="nil"/>
              <w:tr2bl w:val="nil"/>
            </w:tcBorders>
          </w:tcPr>
          <w:p w14:paraId="59ACEB9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Mean(range): 50 ( 24–82)</w:t>
            </w:r>
          </w:p>
        </w:tc>
        <w:tc>
          <w:tcPr>
            <w:tcW w:w="787" w:type="dxa"/>
            <w:tcBorders>
              <w:tl2br w:val="nil"/>
              <w:tr2bl w:val="nil"/>
            </w:tcBorders>
          </w:tcPr>
          <w:p w14:paraId="59ACEB9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42/31</w:t>
            </w:r>
          </w:p>
        </w:tc>
        <w:tc>
          <w:tcPr>
            <w:tcW w:w="1093" w:type="dxa"/>
            <w:tcBorders>
              <w:tl2br w:val="nil"/>
              <w:tr2bl w:val="nil"/>
            </w:tcBorders>
          </w:tcPr>
          <w:p w14:paraId="59ACEB9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35/31</w:t>
            </w:r>
          </w:p>
        </w:tc>
        <w:tc>
          <w:tcPr>
            <w:tcW w:w="1347" w:type="dxa"/>
            <w:tcBorders>
              <w:tl2br w:val="nil"/>
              <w:tr2bl w:val="nil"/>
            </w:tcBorders>
          </w:tcPr>
          <w:p w14:paraId="59ACEB9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 xml:space="preserve"> Domperidone, 10 mg × 4/day, 2 weeks</w:t>
            </w:r>
          </w:p>
        </w:tc>
        <w:tc>
          <w:tcPr>
            <w:tcW w:w="995" w:type="dxa"/>
            <w:tcBorders>
              <w:tl2br w:val="nil"/>
              <w:tr2bl w:val="nil"/>
            </w:tcBorders>
          </w:tcPr>
          <w:p w14:paraId="59ACEB9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36/9</w:t>
            </w:r>
          </w:p>
        </w:tc>
        <w:tc>
          <w:tcPr>
            <w:tcW w:w="1134" w:type="dxa"/>
            <w:tcBorders>
              <w:tl2br w:val="nil"/>
              <w:tr2bl w:val="nil"/>
            </w:tcBorders>
          </w:tcPr>
          <w:p w14:paraId="59ACEB9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10 mg × 4/day, 2 weeks</w:t>
            </w:r>
          </w:p>
        </w:tc>
        <w:tc>
          <w:tcPr>
            <w:tcW w:w="952" w:type="dxa"/>
            <w:tcBorders>
              <w:tl2br w:val="nil"/>
              <w:tr2bl w:val="nil"/>
            </w:tcBorders>
          </w:tcPr>
          <w:p w14:paraId="59ACEB9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9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9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9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AD" w14:textId="77777777">
        <w:trPr>
          <w:trHeight w:val="880"/>
        </w:trPr>
        <w:tc>
          <w:tcPr>
            <w:tcW w:w="1090" w:type="dxa"/>
            <w:tcBorders>
              <w:tl2br w:val="nil"/>
              <w:tr2bl w:val="nil"/>
            </w:tcBorders>
          </w:tcPr>
          <w:p w14:paraId="59ACEBA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Bekhti A 1979</w:t>
            </w:r>
          </w:p>
        </w:tc>
        <w:tc>
          <w:tcPr>
            <w:tcW w:w="751" w:type="dxa"/>
            <w:tcBorders>
              <w:tl2br w:val="nil"/>
              <w:tr2bl w:val="nil"/>
            </w:tcBorders>
          </w:tcPr>
          <w:p w14:paraId="59ACEBA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A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Belgium</w:t>
            </w:r>
          </w:p>
        </w:tc>
        <w:tc>
          <w:tcPr>
            <w:tcW w:w="2304" w:type="dxa"/>
            <w:tcBorders>
              <w:tl2br w:val="nil"/>
              <w:tr2bl w:val="nil"/>
            </w:tcBorders>
          </w:tcPr>
          <w:p w14:paraId="59ACEBA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Domperidone(median (range)): 43.5 (19–67),</w:t>
            </w:r>
            <w:r>
              <w:rPr>
                <w:rFonts w:ascii="Times New Roman" w:eastAsia="宋体" w:hAnsi="Times New Roman" w:cs="Times New Roman"/>
                <w:color w:val="auto"/>
                <w:sz w:val="13"/>
                <w:szCs w:val="13"/>
              </w:rPr>
              <w:br/>
              <w:t>Placebo(median (range)): 47 (50–73)</w:t>
            </w:r>
          </w:p>
        </w:tc>
        <w:tc>
          <w:tcPr>
            <w:tcW w:w="787" w:type="dxa"/>
            <w:tcBorders>
              <w:tl2br w:val="nil"/>
              <w:tr2bl w:val="nil"/>
            </w:tcBorders>
          </w:tcPr>
          <w:p w14:paraId="59ACEBA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NR</w:t>
            </w:r>
          </w:p>
        </w:tc>
        <w:tc>
          <w:tcPr>
            <w:tcW w:w="1093" w:type="dxa"/>
            <w:tcBorders>
              <w:tl2br w:val="nil"/>
              <w:tr2bl w:val="nil"/>
            </w:tcBorders>
          </w:tcPr>
          <w:p w14:paraId="59ACEBA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20/13</w:t>
            </w:r>
          </w:p>
        </w:tc>
        <w:tc>
          <w:tcPr>
            <w:tcW w:w="1347" w:type="dxa"/>
            <w:tcBorders>
              <w:tl2br w:val="nil"/>
              <w:tr2bl w:val="nil"/>
            </w:tcBorders>
          </w:tcPr>
          <w:p w14:paraId="59ACEBA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 xml:space="preserve"> Domperidone, 10 mg × 4/day, 4 weeks</w:t>
            </w:r>
          </w:p>
        </w:tc>
        <w:tc>
          <w:tcPr>
            <w:tcW w:w="995" w:type="dxa"/>
            <w:tcBorders>
              <w:tl2br w:val="nil"/>
              <w:tr2bl w:val="nil"/>
            </w:tcBorders>
          </w:tcPr>
          <w:p w14:paraId="59ACEBA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20/4</w:t>
            </w:r>
          </w:p>
        </w:tc>
        <w:tc>
          <w:tcPr>
            <w:tcW w:w="1134" w:type="dxa"/>
            <w:tcBorders>
              <w:tl2br w:val="nil"/>
              <w:tr2bl w:val="nil"/>
            </w:tcBorders>
          </w:tcPr>
          <w:p w14:paraId="59ACEBA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10 mg × 4/day, 4 weeks</w:t>
            </w:r>
          </w:p>
        </w:tc>
        <w:tc>
          <w:tcPr>
            <w:tcW w:w="952" w:type="dxa"/>
            <w:tcBorders>
              <w:tl2br w:val="nil"/>
              <w:tr2bl w:val="nil"/>
            </w:tcBorders>
          </w:tcPr>
          <w:p w14:paraId="59ACEBA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A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A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A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BC" w14:textId="77777777">
        <w:trPr>
          <w:trHeight w:val="570"/>
        </w:trPr>
        <w:tc>
          <w:tcPr>
            <w:tcW w:w="1090" w:type="dxa"/>
            <w:tcBorders>
              <w:tl2br w:val="nil"/>
              <w:tr2bl w:val="nil"/>
            </w:tcBorders>
          </w:tcPr>
          <w:p w14:paraId="59ACEBA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De Loose F 1979</w:t>
            </w:r>
          </w:p>
        </w:tc>
        <w:tc>
          <w:tcPr>
            <w:tcW w:w="751" w:type="dxa"/>
            <w:tcBorders>
              <w:tl2br w:val="nil"/>
              <w:tr2bl w:val="nil"/>
            </w:tcBorders>
          </w:tcPr>
          <w:p w14:paraId="59ACEBA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B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Belgium</w:t>
            </w:r>
          </w:p>
        </w:tc>
        <w:tc>
          <w:tcPr>
            <w:tcW w:w="2304" w:type="dxa"/>
            <w:tcBorders>
              <w:tl2br w:val="nil"/>
              <w:tr2bl w:val="nil"/>
            </w:tcBorders>
          </w:tcPr>
          <w:p w14:paraId="59ACEBB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Median (range): 40 (19–63)</w:t>
            </w:r>
          </w:p>
        </w:tc>
        <w:tc>
          <w:tcPr>
            <w:tcW w:w="787" w:type="dxa"/>
            <w:tcBorders>
              <w:tl2br w:val="nil"/>
              <w:tr2bl w:val="nil"/>
            </w:tcBorders>
          </w:tcPr>
          <w:p w14:paraId="59ACEBB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16/27</w:t>
            </w:r>
          </w:p>
        </w:tc>
        <w:tc>
          <w:tcPr>
            <w:tcW w:w="1093" w:type="dxa"/>
            <w:tcBorders>
              <w:tl2br w:val="nil"/>
              <w:tr2bl w:val="nil"/>
            </w:tcBorders>
          </w:tcPr>
          <w:p w14:paraId="59ACEBB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68/62</w:t>
            </w:r>
          </w:p>
        </w:tc>
        <w:tc>
          <w:tcPr>
            <w:tcW w:w="1347" w:type="dxa"/>
            <w:tcBorders>
              <w:tl2br w:val="nil"/>
              <w:tr2bl w:val="nil"/>
            </w:tcBorders>
          </w:tcPr>
          <w:p w14:paraId="59ACEBB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 xml:space="preserve"> Domperidone, 10 mg × 4/day, 2 weeks</w:t>
            </w:r>
          </w:p>
          <w:p w14:paraId="59ACEBB5" w14:textId="77777777" w:rsidR="00AB5106" w:rsidRDefault="00AB5106">
            <w:pPr>
              <w:framePr w:wrap="auto" w:yAlign="inline"/>
              <w:rPr>
                <w:rFonts w:ascii="Times New Roman" w:eastAsia="宋体" w:hAnsi="Times New Roman" w:cs="Times New Roman"/>
                <w:color w:val="auto"/>
                <w:sz w:val="13"/>
                <w:szCs w:val="13"/>
              </w:rPr>
            </w:pPr>
          </w:p>
        </w:tc>
        <w:tc>
          <w:tcPr>
            <w:tcW w:w="995" w:type="dxa"/>
            <w:tcBorders>
              <w:tl2br w:val="nil"/>
              <w:tr2bl w:val="nil"/>
            </w:tcBorders>
          </w:tcPr>
          <w:p w14:paraId="59ACEBB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70/22</w:t>
            </w:r>
          </w:p>
        </w:tc>
        <w:tc>
          <w:tcPr>
            <w:tcW w:w="1134" w:type="dxa"/>
            <w:tcBorders>
              <w:tl2br w:val="nil"/>
              <w:tr2bl w:val="nil"/>
            </w:tcBorders>
          </w:tcPr>
          <w:p w14:paraId="59ACEBB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10 mg × 4/day, 2 weeks</w:t>
            </w:r>
          </w:p>
        </w:tc>
        <w:tc>
          <w:tcPr>
            <w:tcW w:w="952" w:type="dxa"/>
            <w:tcBorders>
              <w:tl2br w:val="nil"/>
              <w:tr2bl w:val="nil"/>
            </w:tcBorders>
          </w:tcPr>
          <w:p w14:paraId="59ACEBB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68/50</w:t>
            </w:r>
          </w:p>
        </w:tc>
        <w:tc>
          <w:tcPr>
            <w:tcW w:w="1316" w:type="dxa"/>
            <w:tcBorders>
              <w:tl2br w:val="nil"/>
              <w:tr2bl w:val="nil"/>
            </w:tcBorders>
          </w:tcPr>
          <w:p w14:paraId="59ACEBB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Mosapride, 10 mg × 4/day, 2 weeks</w:t>
            </w:r>
          </w:p>
        </w:tc>
        <w:tc>
          <w:tcPr>
            <w:tcW w:w="829" w:type="dxa"/>
            <w:tcBorders>
              <w:tl2br w:val="nil"/>
              <w:tr2bl w:val="nil"/>
            </w:tcBorders>
          </w:tcPr>
          <w:p w14:paraId="59ACEBB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B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CA" w14:textId="77777777">
        <w:trPr>
          <w:trHeight w:val="810"/>
        </w:trPr>
        <w:tc>
          <w:tcPr>
            <w:tcW w:w="1090" w:type="dxa"/>
            <w:tcBorders>
              <w:tl2br w:val="nil"/>
              <w:tr2bl w:val="nil"/>
            </w:tcBorders>
          </w:tcPr>
          <w:p w14:paraId="59ACEBB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Van Outryve M 1979</w:t>
            </w:r>
          </w:p>
        </w:tc>
        <w:tc>
          <w:tcPr>
            <w:tcW w:w="751" w:type="dxa"/>
            <w:tcBorders>
              <w:tl2br w:val="nil"/>
              <w:tr2bl w:val="nil"/>
            </w:tcBorders>
          </w:tcPr>
          <w:p w14:paraId="59ACEBB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B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Belgium</w:t>
            </w:r>
          </w:p>
        </w:tc>
        <w:tc>
          <w:tcPr>
            <w:tcW w:w="2304" w:type="dxa"/>
            <w:tcBorders>
              <w:tl2br w:val="nil"/>
              <w:tr2bl w:val="nil"/>
            </w:tcBorders>
          </w:tcPr>
          <w:p w14:paraId="59ACEBC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Domperidone(median (range)): 63 (32-80),</w:t>
            </w:r>
            <w:r>
              <w:rPr>
                <w:rFonts w:ascii="Times New Roman" w:eastAsia="宋体" w:hAnsi="Times New Roman" w:cs="Times New Roman"/>
                <w:color w:val="auto"/>
                <w:sz w:val="13"/>
                <w:szCs w:val="13"/>
              </w:rPr>
              <w:br/>
              <w:t>Placebo(median (range)): 52 (25–81)</w:t>
            </w:r>
          </w:p>
        </w:tc>
        <w:tc>
          <w:tcPr>
            <w:tcW w:w="787" w:type="dxa"/>
            <w:tcBorders>
              <w:tl2br w:val="nil"/>
              <w:tr2bl w:val="nil"/>
            </w:tcBorders>
          </w:tcPr>
          <w:p w14:paraId="59ACEBC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16/22</w:t>
            </w:r>
          </w:p>
        </w:tc>
        <w:tc>
          <w:tcPr>
            <w:tcW w:w="1093" w:type="dxa"/>
            <w:tcBorders>
              <w:tl2br w:val="nil"/>
              <w:tr2bl w:val="nil"/>
            </w:tcBorders>
          </w:tcPr>
          <w:p w14:paraId="59ACEBC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16/13</w:t>
            </w:r>
          </w:p>
        </w:tc>
        <w:tc>
          <w:tcPr>
            <w:tcW w:w="1347" w:type="dxa"/>
            <w:tcBorders>
              <w:tl2br w:val="nil"/>
              <w:tr2bl w:val="nil"/>
            </w:tcBorders>
          </w:tcPr>
          <w:p w14:paraId="59ACEBC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Domperidone, 20 mg × 3/day, 2 weeks</w:t>
            </w:r>
          </w:p>
        </w:tc>
        <w:tc>
          <w:tcPr>
            <w:tcW w:w="995" w:type="dxa"/>
            <w:tcBorders>
              <w:tl2br w:val="nil"/>
              <w:tr2bl w:val="nil"/>
            </w:tcBorders>
          </w:tcPr>
          <w:p w14:paraId="59ACEBC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22/11</w:t>
            </w:r>
          </w:p>
        </w:tc>
        <w:tc>
          <w:tcPr>
            <w:tcW w:w="1134" w:type="dxa"/>
            <w:tcBorders>
              <w:tl2br w:val="nil"/>
              <w:tr2bl w:val="nil"/>
            </w:tcBorders>
          </w:tcPr>
          <w:p w14:paraId="59ACEBC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20 mg × 3/day, 2 weeks</w:t>
            </w:r>
          </w:p>
        </w:tc>
        <w:tc>
          <w:tcPr>
            <w:tcW w:w="952" w:type="dxa"/>
            <w:tcBorders>
              <w:tl2br w:val="nil"/>
              <w:tr2bl w:val="nil"/>
            </w:tcBorders>
          </w:tcPr>
          <w:p w14:paraId="59ACEBC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C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C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C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D8" w14:textId="77777777">
        <w:trPr>
          <w:trHeight w:val="780"/>
        </w:trPr>
        <w:tc>
          <w:tcPr>
            <w:tcW w:w="1090" w:type="dxa"/>
            <w:tcBorders>
              <w:tl2br w:val="nil"/>
              <w:tr2bl w:val="nil"/>
            </w:tcBorders>
          </w:tcPr>
          <w:p w14:paraId="59ACEBC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Amaranpukar DN 2004</w:t>
            </w:r>
          </w:p>
        </w:tc>
        <w:tc>
          <w:tcPr>
            <w:tcW w:w="751" w:type="dxa"/>
            <w:tcBorders>
              <w:tl2br w:val="nil"/>
              <w:tr2bl w:val="nil"/>
            </w:tcBorders>
          </w:tcPr>
          <w:p w14:paraId="59ACEBC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C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India</w:t>
            </w:r>
          </w:p>
        </w:tc>
        <w:tc>
          <w:tcPr>
            <w:tcW w:w="2304" w:type="dxa"/>
            <w:tcBorders>
              <w:tl2br w:val="nil"/>
              <w:tr2bl w:val="nil"/>
            </w:tcBorders>
          </w:tcPr>
          <w:p w14:paraId="59ACEBC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Itopride(mean ± SD): 45.23 ± 13.07,</w:t>
            </w:r>
            <w:r>
              <w:rPr>
                <w:rFonts w:ascii="Times New Roman" w:eastAsia="宋体" w:hAnsi="Times New Roman" w:cs="Times New Roman"/>
                <w:color w:val="auto"/>
                <w:sz w:val="13"/>
                <w:szCs w:val="13"/>
              </w:rPr>
              <w:br/>
              <w:t>Mosapride(mean ± SD): 39.79 ± 10.82</w:t>
            </w:r>
          </w:p>
        </w:tc>
        <w:tc>
          <w:tcPr>
            <w:tcW w:w="787" w:type="dxa"/>
            <w:tcBorders>
              <w:tl2br w:val="nil"/>
              <w:tr2bl w:val="nil"/>
            </w:tcBorders>
          </w:tcPr>
          <w:p w14:paraId="59ACEBC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30/30</w:t>
            </w:r>
          </w:p>
        </w:tc>
        <w:tc>
          <w:tcPr>
            <w:tcW w:w="1093" w:type="dxa"/>
            <w:tcBorders>
              <w:tl2br w:val="nil"/>
              <w:tr2bl w:val="nil"/>
            </w:tcBorders>
          </w:tcPr>
          <w:p w14:paraId="59ACEBD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30/19</w:t>
            </w:r>
          </w:p>
        </w:tc>
        <w:tc>
          <w:tcPr>
            <w:tcW w:w="1347" w:type="dxa"/>
            <w:tcBorders>
              <w:tl2br w:val="nil"/>
              <w:tr2bl w:val="nil"/>
            </w:tcBorders>
          </w:tcPr>
          <w:p w14:paraId="59ACEBD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 xml:space="preserve"> Mosapride, 5 mg × 3/day, 2 weeks</w:t>
            </w:r>
          </w:p>
        </w:tc>
        <w:tc>
          <w:tcPr>
            <w:tcW w:w="995" w:type="dxa"/>
            <w:tcBorders>
              <w:tl2br w:val="nil"/>
              <w:tr2bl w:val="nil"/>
            </w:tcBorders>
          </w:tcPr>
          <w:p w14:paraId="59ACEBD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30/28</w:t>
            </w:r>
          </w:p>
        </w:tc>
        <w:tc>
          <w:tcPr>
            <w:tcW w:w="1134" w:type="dxa"/>
            <w:tcBorders>
              <w:tl2br w:val="nil"/>
              <w:tr2bl w:val="nil"/>
            </w:tcBorders>
          </w:tcPr>
          <w:p w14:paraId="59ACEBD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Itopride 50 mg × 3/day, 2 weeks</w:t>
            </w:r>
          </w:p>
        </w:tc>
        <w:tc>
          <w:tcPr>
            <w:tcW w:w="952" w:type="dxa"/>
            <w:tcBorders>
              <w:tl2br w:val="nil"/>
              <w:tr2bl w:val="nil"/>
            </w:tcBorders>
          </w:tcPr>
          <w:p w14:paraId="59ACEBD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D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D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D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E6" w14:textId="77777777">
        <w:trPr>
          <w:trHeight w:val="820"/>
        </w:trPr>
        <w:tc>
          <w:tcPr>
            <w:tcW w:w="1090" w:type="dxa"/>
            <w:tcBorders>
              <w:tl2br w:val="nil"/>
              <w:tr2bl w:val="nil"/>
            </w:tcBorders>
          </w:tcPr>
          <w:p w14:paraId="59ACEBD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lastRenderedPageBreak/>
              <w:t>Talley NJ 2008</w:t>
            </w:r>
          </w:p>
        </w:tc>
        <w:tc>
          <w:tcPr>
            <w:tcW w:w="751" w:type="dxa"/>
            <w:tcBorders>
              <w:tl2br w:val="nil"/>
              <w:tr2bl w:val="nil"/>
            </w:tcBorders>
          </w:tcPr>
          <w:p w14:paraId="59ACEBD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D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US</w:t>
            </w:r>
          </w:p>
        </w:tc>
        <w:tc>
          <w:tcPr>
            <w:tcW w:w="2304" w:type="dxa"/>
            <w:tcBorders>
              <w:tl2br w:val="nil"/>
              <w:tr2bl w:val="nil"/>
            </w:tcBorders>
          </w:tcPr>
          <w:p w14:paraId="59ACEBD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Itopride(mean ± SD): 42.6 ± 12.8,</w:t>
            </w:r>
            <w:r>
              <w:rPr>
                <w:rFonts w:ascii="Times New Roman" w:eastAsia="宋体" w:hAnsi="Times New Roman" w:cs="Times New Roman"/>
                <w:color w:val="auto"/>
                <w:sz w:val="13"/>
                <w:szCs w:val="13"/>
              </w:rPr>
              <w:br/>
              <w:t>Placebo(mean ± SD): 43.0 ± 12.5</w:t>
            </w:r>
          </w:p>
        </w:tc>
        <w:tc>
          <w:tcPr>
            <w:tcW w:w="787" w:type="dxa"/>
            <w:tcBorders>
              <w:tl2br w:val="nil"/>
              <w:tr2bl w:val="nil"/>
            </w:tcBorders>
          </w:tcPr>
          <w:p w14:paraId="59ACEBD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Itopride:108/196,</w:t>
            </w:r>
            <w:r>
              <w:rPr>
                <w:rFonts w:ascii="Times New Roman" w:eastAsia="宋体" w:hAnsi="Times New Roman" w:cs="Times New Roman"/>
                <w:color w:val="auto"/>
                <w:sz w:val="13"/>
                <w:szCs w:val="13"/>
              </w:rPr>
              <w:br/>
              <w:t>Placebo: 95/221</w:t>
            </w:r>
          </w:p>
        </w:tc>
        <w:tc>
          <w:tcPr>
            <w:tcW w:w="1093" w:type="dxa"/>
            <w:tcBorders>
              <w:tl2br w:val="nil"/>
              <w:tr2bl w:val="nil"/>
            </w:tcBorders>
          </w:tcPr>
          <w:p w14:paraId="59ACEBD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304/115</w:t>
            </w:r>
          </w:p>
        </w:tc>
        <w:tc>
          <w:tcPr>
            <w:tcW w:w="1347" w:type="dxa"/>
            <w:tcBorders>
              <w:tl2br w:val="nil"/>
              <w:tr2bl w:val="nil"/>
            </w:tcBorders>
          </w:tcPr>
          <w:p w14:paraId="59ACEBD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Itopride, 100 mg × 3/day, 8 weeks</w:t>
            </w:r>
          </w:p>
        </w:tc>
        <w:tc>
          <w:tcPr>
            <w:tcW w:w="995" w:type="dxa"/>
            <w:tcBorders>
              <w:tl2br w:val="nil"/>
              <w:tr2bl w:val="nil"/>
            </w:tcBorders>
          </w:tcPr>
          <w:p w14:paraId="59ACEBE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316/112</w:t>
            </w:r>
          </w:p>
        </w:tc>
        <w:tc>
          <w:tcPr>
            <w:tcW w:w="1134" w:type="dxa"/>
            <w:tcBorders>
              <w:tl2br w:val="nil"/>
              <w:tr2bl w:val="nil"/>
            </w:tcBorders>
          </w:tcPr>
          <w:p w14:paraId="59ACEBE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100 mg × 3/day, 8 weeks</w:t>
            </w:r>
          </w:p>
        </w:tc>
        <w:tc>
          <w:tcPr>
            <w:tcW w:w="952" w:type="dxa"/>
            <w:tcBorders>
              <w:tl2br w:val="nil"/>
              <w:tr2bl w:val="nil"/>
            </w:tcBorders>
          </w:tcPr>
          <w:p w14:paraId="59ACEBE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E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E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E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BF4" w14:textId="77777777">
        <w:trPr>
          <w:trHeight w:val="790"/>
        </w:trPr>
        <w:tc>
          <w:tcPr>
            <w:tcW w:w="1090" w:type="dxa"/>
            <w:tcBorders>
              <w:tl2br w:val="nil"/>
              <w:tr2bl w:val="nil"/>
            </w:tcBorders>
          </w:tcPr>
          <w:p w14:paraId="59ACEBE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Yeon-Mi Kim 2010</w:t>
            </w:r>
          </w:p>
        </w:tc>
        <w:tc>
          <w:tcPr>
            <w:tcW w:w="751" w:type="dxa"/>
            <w:tcBorders>
              <w:tl2br w:val="nil"/>
              <w:tr2bl w:val="nil"/>
            </w:tcBorders>
          </w:tcPr>
          <w:p w14:paraId="59ACEBE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E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Korea</w:t>
            </w:r>
          </w:p>
        </w:tc>
        <w:tc>
          <w:tcPr>
            <w:tcW w:w="2304" w:type="dxa"/>
            <w:tcBorders>
              <w:tl2br w:val="nil"/>
              <w:tr2bl w:val="nil"/>
            </w:tcBorders>
          </w:tcPr>
          <w:p w14:paraId="59ACEBE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Mosapride(mean ± SD):  29.79 ± 7.56,</w:t>
            </w:r>
            <w:r>
              <w:rPr>
                <w:rFonts w:ascii="Times New Roman" w:eastAsia="宋体" w:hAnsi="Times New Roman" w:cs="Times New Roman"/>
                <w:color w:val="auto"/>
                <w:sz w:val="13"/>
                <w:szCs w:val="13"/>
              </w:rPr>
              <w:br/>
              <w:t>Placebo(mean ± SD): 31.86 ± 11.53</w:t>
            </w:r>
          </w:p>
        </w:tc>
        <w:tc>
          <w:tcPr>
            <w:tcW w:w="787" w:type="dxa"/>
            <w:tcBorders>
              <w:tl2br w:val="nil"/>
              <w:tr2bl w:val="nil"/>
            </w:tcBorders>
          </w:tcPr>
          <w:p w14:paraId="59ACEBE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4/24</w:t>
            </w:r>
          </w:p>
        </w:tc>
        <w:tc>
          <w:tcPr>
            <w:tcW w:w="1093" w:type="dxa"/>
            <w:tcBorders>
              <w:tl2br w:val="nil"/>
              <w:tr2bl w:val="nil"/>
            </w:tcBorders>
          </w:tcPr>
          <w:p w14:paraId="59ACEBE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14/10</w:t>
            </w:r>
          </w:p>
        </w:tc>
        <w:tc>
          <w:tcPr>
            <w:tcW w:w="1347" w:type="dxa"/>
            <w:tcBorders>
              <w:tl2br w:val="nil"/>
              <w:tr2bl w:val="nil"/>
            </w:tcBorders>
          </w:tcPr>
          <w:p w14:paraId="59ACEBE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Mosapride,5 mg × 3/day, 2 weeks</w:t>
            </w:r>
          </w:p>
        </w:tc>
        <w:tc>
          <w:tcPr>
            <w:tcW w:w="995" w:type="dxa"/>
            <w:tcBorders>
              <w:tl2br w:val="nil"/>
              <w:tr2bl w:val="nil"/>
            </w:tcBorders>
          </w:tcPr>
          <w:p w14:paraId="59ACEBE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14/5</w:t>
            </w:r>
          </w:p>
        </w:tc>
        <w:tc>
          <w:tcPr>
            <w:tcW w:w="1134" w:type="dxa"/>
            <w:tcBorders>
              <w:tl2br w:val="nil"/>
              <w:tr2bl w:val="nil"/>
            </w:tcBorders>
          </w:tcPr>
          <w:p w14:paraId="59ACEBE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Placebo, 5 mg × 3/day, 2 weeks</w:t>
            </w:r>
          </w:p>
        </w:tc>
        <w:tc>
          <w:tcPr>
            <w:tcW w:w="952" w:type="dxa"/>
            <w:tcBorders>
              <w:tl2br w:val="nil"/>
              <w:tr2bl w:val="nil"/>
            </w:tcBorders>
          </w:tcPr>
          <w:p w14:paraId="59ACEBF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BF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BF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BF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C03" w14:textId="77777777">
        <w:trPr>
          <w:trHeight w:val="790"/>
        </w:trPr>
        <w:tc>
          <w:tcPr>
            <w:tcW w:w="1090" w:type="dxa"/>
            <w:tcBorders>
              <w:tl2br w:val="nil"/>
              <w:tr2bl w:val="nil"/>
            </w:tcBorders>
          </w:tcPr>
          <w:p w14:paraId="59ACEBF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Du 2014</w:t>
            </w:r>
          </w:p>
        </w:tc>
        <w:tc>
          <w:tcPr>
            <w:tcW w:w="751" w:type="dxa"/>
            <w:tcBorders>
              <w:tl2br w:val="nil"/>
              <w:tr2bl w:val="nil"/>
            </w:tcBorders>
          </w:tcPr>
          <w:p w14:paraId="59ACEBF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w:t>
            </w:r>
          </w:p>
        </w:tc>
        <w:tc>
          <w:tcPr>
            <w:tcW w:w="700" w:type="dxa"/>
            <w:tcBorders>
              <w:tl2br w:val="nil"/>
              <w:tr2bl w:val="nil"/>
            </w:tcBorders>
          </w:tcPr>
          <w:p w14:paraId="59ACEBF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China</w:t>
            </w:r>
          </w:p>
        </w:tc>
        <w:tc>
          <w:tcPr>
            <w:tcW w:w="2304" w:type="dxa"/>
            <w:tcBorders>
              <w:tl2br w:val="nil"/>
              <w:tr2bl w:val="nil"/>
            </w:tcBorders>
          </w:tcPr>
          <w:p w14:paraId="59ACEBF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Cinitapride(mean ± SD):43.7± 11.9</w:t>
            </w:r>
          </w:p>
          <w:p w14:paraId="59ACEBF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Domperidone(mean ± SD):41.3± 12.0</w:t>
            </w:r>
          </w:p>
        </w:tc>
        <w:tc>
          <w:tcPr>
            <w:tcW w:w="787" w:type="dxa"/>
            <w:tcBorders>
              <w:tl2br w:val="nil"/>
              <w:tr2bl w:val="nil"/>
            </w:tcBorders>
          </w:tcPr>
          <w:p w14:paraId="59ACEBF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154/229</w:t>
            </w:r>
          </w:p>
        </w:tc>
        <w:tc>
          <w:tcPr>
            <w:tcW w:w="1093" w:type="dxa"/>
            <w:tcBorders>
              <w:tl2br w:val="nil"/>
              <w:tr2bl w:val="nil"/>
            </w:tcBorders>
          </w:tcPr>
          <w:p w14:paraId="59ACEBF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191/170</w:t>
            </w:r>
          </w:p>
        </w:tc>
        <w:tc>
          <w:tcPr>
            <w:tcW w:w="1347" w:type="dxa"/>
            <w:tcBorders>
              <w:tl2br w:val="nil"/>
              <w:tr2bl w:val="nil"/>
            </w:tcBorders>
          </w:tcPr>
          <w:p w14:paraId="59ACEBF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Cinitapride+Domperidone analogue, 1 mg tablet × 3/day, 4 weeks</w:t>
            </w:r>
          </w:p>
        </w:tc>
        <w:tc>
          <w:tcPr>
            <w:tcW w:w="995" w:type="dxa"/>
            <w:tcBorders>
              <w:tl2br w:val="nil"/>
              <w:tr2bl w:val="nil"/>
            </w:tcBorders>
          </w:tcPr>
          <w:p w14:paraId="59ACEBF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192/174</w:t>
            </w:r>
          </w:p>
        </w:tc>
        <w:tc>
          <w:tcPr>
            <w:tcW w:w="1134" w:type="dxa"/>
            <w:tcBorders>
              <w:tl2br w:val="nil"/>
              <w:tr2bl w:val="nil"/>
            </w:tcBorders>
          </w:tcPr>
          <w:p w14:paraId="59ACEBF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Domperidone+Cinitapride analogue, 1 mg tablet × 3/day, 4 weeks</w:t>
            </w:r>
          </w:p>
        </w:tc>
        <w:tc>
          <w:tcPr>
            <w:tcW w:w="952" w:type="dxa"/>
            <w:tcBorders>
              <w:tl2br w:val="nil"/>
              <w:tr2bl w:val="nil"/>
            </w:tcBorders>
          </w:tcPr>
          <w:p w14:paraId="59ACEBF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C0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C01"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C0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C11" w14:textId="77777777">
        <w:trPr>
          <w:trHeight w:val="790"/>
        </w:trPr>
        <w:tc>
          <w:tcPr>
            <w:tcW w:w="1090" w:type="dxa"/>
            <w:tcBorders>
              <w:tl2br w:val="nil"/>
              <w:tr2bl w:val="nil"/>
            </w:tcBorders>
          </w:tcPr>
          <w:p w14:paraId="59ACEC04"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MORA 1993</w:t>
            </w:r>
          </w:p>
        </w:tc>
        <w:tc>
          <w:tcPr>
            <w:tcW w:w="751" w:type="dxa"/>
            <w:tcBorders>
              <w:tl2br w:val="nil"/>
              <w:tr2bl w:val="nil"/>
            </w:tcBorders>
          </w:tcPr>
          <w:p w14:paraId="59ACEC05"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FD (dyskinesia and/or reflux subtypes)</w:t>
            </w:r>
          </w:p>
        </w:tc>
        <w:tc>
          <w:tcPr>
            <w:tcW w:w="700" w:type="dxa"/>
            <w:tcBorders>
              <w:tl2br w:val="nil"/>
              <w:tr2bl w:val="nil"/>
            </w:tcBorders>
          </w:tcPr>
          <w:p w14:paraId="59ACEC06"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Spain</w:t>
            </w:r>
          </w:p>
        </w:tc>
        <w:tc>
          <w:tcPr>
            <w:tcW w:w="2304" w:type="dxa"/>
            <w:tcBorders>
              <w:tl2br w:val="nil"/>
              <w:tr2bl w:val="nil"/>
            </w:tcBorders>
          </w:tcPr>
          <w:p w14:paraId="59ACEC07"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Mean (range): 47 (31-65)</w:t>
            </w:r>
          </w:p>
        </w:tc>
        <w:tc>
          <w:tcPr>
            <w:tcW w:w="787" w:type="dxa"/>
            <w:tcBorders>
              <w:tl2br w:val="nil"/>
              <w:tr2bl w:val="nil"/>
            </w:tcBorders>
          </w:tcPr>
          <w:p w14:paraId="59ACEC08"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7/13</w:t>
            </w:r>
          </w:p>
        </w:tc>
        <w:tc>
          <w:tcPr>
            <w:tcW w:w="1093" w:type="dxa"/>
            <w:tcBorders>
              <w:tl2br w:val="nil"/>
              <w:tr2bl w:val="nil"/>
            </w:tcBorders>
          </w:tcPr>
          <w:p w14:paraId="59ACEC09"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10/10</w:t>
            </w:r>
          </w:p>
        </w:tc>
        <w:tc>
          <w:tcPr>
            <w:tcW w:w="1347" w:type="dxa"/>
            <w:tcBorders>
              <w:tl2br w:val="nil"/>
              <w:tr2bl w:val="nil"/>
            </w:tcBorders>
          </w:tcPr>
          <w:p w14:paraId="59ACEC0A"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Metoclopramide,10 mg × 3/day, 8 weeks</w:t>
            </w:r>
          </w:p>
        </w:tc>
        <w:tc>
          <w:tcPr>
            <w:tcW w:w="995" w:type="dxa"/>
            <w:tcBorders>
              <w:tl2br w:val="nil"/>
              <w:tr2bl w:val="nil"/>
            </w:tcBorders>
          </w:tcPr>
          <w:p w14:paraId="59ACEC0B"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10/10</w:t>
            </w:r>
          </w:p>
        </w:tc>
        <w:tc>
          <w:tcPr>
            <w:tcW w:w="1134" w:type="dxa"/>
            <w:tcBorders>
              <w:tl2br w:val="nil"/>
              <w:tr2bl w:val="nil"/>
            </w:tcBorders>
          </w:tcPr>
          <w:p w14:paraId="59ACEC0C"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Cinitapride, 1 mg × 3/day, 8 weeks</w:t>
            </w:r>
          </w:p>
        </w:tc>
        <w:tc>
          <w:tcPr>
            <w:tcW w:w="952" w:type="dxa"/>
            <w:tcBorders>
              <w:tl2br w:val="nil"/>
              <w:tr2bl w:val="nil"/>
            </w:tcBorders>
          </w:tcPr>
          <w:p w14:paraId="59ACEC0D"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316" w:type="dxa"/>
            <w:tcBorders>
              <w:tl2br w:val="nil"/>
              <w:tr2bl w:val="nil"/>
            </w:tcBorders>
          </w:tcPr>
          <w:p w14:paraId="59ACEC0E"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829" w:type="dxa"/>
            <w:tcBorders>
              <w:tl2br w:val="nil"/>
              <w:tr2bl w:val="nil"/>
            </w:tcBorders>
          </w:tcPr>
          <w:p w14:paraId="59ACEC0F"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c>
          <w:tcPr>
            <w:tcW w:w="1439" w:type="dxa"/>
            <w:tcBorders>
              <w:tl2br w:val="nil"/>
              <w:tr2bl w:val="nil"/>
            </w:tcBorders>
          </w:tcPr>
          <w:p w14:paraId="59ACEC10"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w:t>
            </w:r>
          </w:p>
        </w:tc>
      </w:tr>
      <w:tr w:rsidR="00AB5106" w14:paraId="59ACEC21" w14:textId="77777777">
        <w:trPr>
          <w:trHeight w:val="790"/>
        </w:trPr>
        <w:tc>
          <w:tcPr>
            <w:tcW w:w="1090" w:type="dxa"/>
            <w:tcBorders>
              <w:tl2br w:val="nil"/>
              <w:tr2bl w:val="nil"/>
            </w:tcBorders>
          </w:tcPr>
          <w:p w14:paraId="59ACEC12"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Sinha 2021</w:t>
            </w:r>
          </w:p>
        </w:tc>
        <w:tc>
          <w:tcPr>
            <w:tcW w:w="751" w:type="dxa"/>
            <w:tcBorders>
              <w:tl2br w:val="nil"/>
              <w:tr2bl w:val="nil"/>
            </w:tcBorders>
          </w:tcPr>
          <w:p w14:paraId="59ACEC13" w14:textId="77777777" w:rsidR="00AB5106" w:rsidRDefault="00A9240F">
            <w:pPr>
              <w:framePr w:wrap="auto" w:yAlign="inline"/>
              <w:rPr>
                <w:rFonts w:ascii="Times New Roman" w:eastAsia="宋体" w:hAnsi="Times New Roman" w:cs="Times New Roman"/>
                <w:color w:val="auto"/>
                <w:sz w:val="13"/>
                <w:szCs w:val="13"/>
              </w:rPr>
            </w:pPr>
            <w:r>
              <w:rPr>
                <w:rFonts w:ascii="Times New Roman" w:eastAsia="宋体" w:hAnsi="Times New Roman" w:cs="Times New Roman"/>
                <w:color w:val="auto"/>
                <w:sz w:val="13"/>
                <w:szCs w:val="13"/>
              </w:rPr>
              <w:t xml:space="preserve">FD-PDS </w:t>
            </w:r>
          </w:p>
          <w:p w14:paraId="59ACEC14" w14:textId="77777777" w:rsidR="00AB5106" w:rsidRPr="004B6539" w:rsidRDefault="00AB5106">
            <w:pPr>
              <w:framePr w:wrap="auto" w:yAlign="inline"/>
              <w:rPr>
                <w:rFonts w:ascii="Times New Roman" w:eastAsia="宋体" w:hAnsi="Times New Roman" w:cs="Times New Roman"/>
                <w:color w:val="auto"/>
                <w:sz w:val="13"/>
                <w:szCs w:val="13"/>
              </w:rPr>
            </w:pPr>
          </w:p>
        </w:tc>
        <w:tc>
          <w:tcPr>
            <w:tcW w:w="700" w:type="dxa"/>
            <w:tcBorders>
              <w:tl2br w:val="nil"/>
              <w:tr2bl w:val="nil"/>
            </w:tcBorders>
          </w:tcPr>
          <w:p w14:paraId="59ACEC15" w14:textId="77777777" w:rsidR="00AB5106" w:rsidRDefault="00A9240F">
            <w:pPr>
              <w:framePr w:wrap="auto" w:yAlign="inline"/>
              <w:rPr>
                <w:rFonts w:ascii="Times New Roman" w:hAnsi="Times New Roman"/>
                <w:sz w:val="13"/>
                <w:szCs w:val="13"/>
              </w:rPr>
            </w:pPr>
            <w:r>
              <w:rPr>
                <w:rFonts w:ascii="Times New Roman" w:eastAsia="宋体" w:hAnsi="Times New Roman" w:cs="Times New Roman" w:hint="eastAsia"/>
                <w:color w:val="212121"/>
                <w:sz w:val="13"/>
                <w:szCs w:val="13"/>
              </w:rPr>
              <w:t>India</w:t>
            </w:r>
          </w:p>
        </w:tc>
        <w:tc>
          <w:tcPr>
            <w:tcW w:w="2304" w:type="dxa"/>
            <w:tcBorders>
              <w:tl2br w:val="nil"/>
              <w:tr2bl w:val="nil"/>
            </w:tcBorders>
          </w:tcPr>
          <w:p w14:paraId="59ACEC16" w14:textId="77777777" w:rsidR="00AB5106" w:rsidRDefault="00A9240F">
            <w:pPr>
              <w:framePr w:wrap="around"/>
              <w:rPr>
                <w:rFonts w:ascii="Times New Roman" w:hAnsi="Times New Roman"/>
                <w:sz w:val="13"/>
                <w:szCs w:val="13"/>
              </w:rPr>
            </w:pPr>
            <w:r>
              <w:rPr>
                <w:rFonts w:ascii="Times New Roman" w:hAnsi="Times New Roman" w:hint="eastAsia"/>
                <w:sz w:val="13"/>
                <w:szCs w:val="13"/>
              </w:rPr>
              <w:t xml:space="preserve">Acotiamide(mean </w:t>
            </w:r>
            <w:r>
              <w:rPr>
                <w:rFonts w:ascii="Times New Roman" w:hAnsi="Times New Roman" w:hint="eastAsia"/>
                <w:sz w:val="13"/>
                <w:szCs w:val="13"/>
              </w:rPr>
              <w:t>±</w:t>
            </w:r>
            <w:r>
              <w:rPr>
                <w:rFonts w:ascii="Times New Roman" w:hAnsi="Times New Roman" w:hint="eastAsia"/>
                <w:sz w:val="13"/>
                <w:szCs w:val="13"/>
              </w:rPr>
              <w:t xml:space="preserve"> SD): 38.1 </w:t>
            </w:r>
            <w:r>
              <w:rPr>
                <w:rFonts w:ascii="Times New Roman" w:hAnsi="Times New Roman" w:hint="eastAsia"/>
                <w:sz w:val="13"/>
                <w:szCs w:val="13"/>
              </w:rPr>
              <w:t>±</w:t>
            </w:r>
            <w:r>
              <w:rPr>
                <w:rFonts w:ascii="Times New Roman" w:hAnsi="Times New Roman" w:hint="eastAsia"/>
                <w:sz w:val="13"/>
                <w:szCs w:val="13"/>
              </w:rPr>
              <w:t xml:space="preserve"> 11.44</w:t>
            </w:r>
          </w:p>
          <w:p w14:paraId="59ACEC17" w14:textId="77777777" w:rsidR="00AB5106" w:rsidRDefault="00A9240F">
            <w:pPr>
              <w:framePr w:wrap="auto" w:yAlign="inline"/>
              <w:rPr>
                <w:rFonts w:ascii="Times New Roman" w:eastAsia="宋体" w:hAnsi="Times New Roman"/>
                <w:sz w:val="13"/>
                <w:szCs w:val="13"/>
              </w:rPr>
            </w:pPr>
            <w:r>
              <w:rPr>
                <w:rFonts w:ascii="Times New Roman" w:hAnsi="Times New Roman"/>
                <w:sz w:val="13"/>
                <w:szCs w:val="13"/>
              </w:rPr>
              <w:t>Mosapride</w:t>
            </w:r>
            <w:r>
              <w:rPr>
                <w:rFonts w:ascii="Times New Roman" w:hAnsi="Times New Roman" w:hint="eastAsia"/>
                <w:sz w:val="13"/>
                <w:szCs w:val="13"/>
              </w:rPr>
              <w:t xml:space="preserve">(mean </w:t>
            </w:r>
            <w:r>
              <w:rPr>
                <w:rFonts w:ascii="Times New Roman" w:hAnsi="Times New Roman" w:hint="eastAsia"/>
                <w:sz w:val="13"/>
                <w:szCs w:val="13"/>
              </w:rPr>
              <w:t>±</w:t>
            </w:r>
            <w:r>
              <w:rPr>
                <w:rFonts w:ascii="Times New Roman" w:hAnsi="Times New Roman" w:hint="eastAsia"/>
                <w:sz w:val="13"/>
                <w:szCs w:val="13"/>
              </w:rPr>
              <w:t xml:space="preserve"> SD): 37.8 </w:t>
            </w:r>
            <w:r>
              <w:rPr>
                <w:rFonts w:ascii="Times New Roman" w:hAnsi="Times New Roman" w:hint="eastAsia"/>
                <w:sz w:val="13"/>
                <w:szCs w:val="13"/>
              </w:rPr>
              <w:t>±</w:t>
            </w:r>
            <w:r>
              <w:rPr>
                <w:rFonts w:ascii="Times New Roman" w:hAnsi="Times New Roman" w:hint="eastAsia"/>
                <w:sz w:val="13"/>
                <w:szCs w:val="13"/>
              </w:rPr>
              <w:t xml:space="preserve"> 11.56</w:t>
            </w:r>
          </w:p>
        </w:tc>
        <w:tc>
          <w:tcPr>
            <w:tcW w:w="787" w:type="dxa"/>
            <w:tcBorders>
              <w:tl2br w:val="nil"/>
              <w:tr2bl w:val="nil"/>
            </w:tcBorders>
          </w:tcPr>
          <w:p w14:paraId="59ACEC18" w14:textId="77777777" w:rsidR="00AB5106" w:rsidRDefault="00A9240F">
            <w:pPr>
              <w:framePr w:wrap="auto" w:yAlign="inline"/>
              <w:rPr>
                <w:rFonts w:ascii="Times New Roman" w:eastAsia="宋体" w:hAnsi="Times New Roman"/>
                <w:sz w:val="13"/>
                <w:szCs w:val="13"/>
              </w:rPr>
            </w:pPr>
            <w:r>
              <w:rPr>
                <w:rFonts w:ascii="Times New Roman" w:hAnsi="Times New Roman" w:hint="eastAsia"/>
                <w:sz w:val="13"/>
                <w:szCs w:val="13"/>
              </w:rPr>
              <w:t>5/215</w:t>
            </w:r>
          </w:p>
        </w:tc>
        <w:tc>
          <w:tcPr>
            <w:tcW w:w="1093" w:type="dxa"/>
            <w:tcBorders>
              <w:tl2br w:val="nil"/>
              <w:tr2bl w:val="nil"/>
            </w:tcBorders>
          </w:tcPr>
          <w:p w14:paraId="59ACEC19" w14:textId="77777777" w:rsidR="00AB5106" w:rsidRDefault="00A9240F">
            <w:pPr>
              <w:framePr w:wrap="auto" w:yAlign="inline"/>
              <w:rPr>
                <w:rFonts w:ascii="Times New Roman" w:eastAsia="宋体" w:hAnsi="Times New Roman"/>
                <w:sz w:val="13"/>
                <w:szCs w:val="13"/>
              </w:rPr>
            </w:pPr>
            <w:r>
              <w:rPr>
                <w:rFonts w:ascii="Times New Roman" w:hAnsi="Times New Roman" w:hint="eastAsia"/>
                <w:sz w:val="13"/>
                <w:szCs w:val="13"/>
              </w:rPr>
              <w:t>108/107</w:t>
            </w:r>
          </w:p>
        </w:tc>
        <w:tc>
          <w:tcPr>
            <w:tcW w:w="1347" w:type="dxa"/>
            <w:tcBorders>
              <w:tl2br w:val="nil"/>
              <w:tr2bl w:val="nil"/>
            </w:tcBorders>
          </w:tcPr>
          <w:p w14:paraId="59ACEC1A" w14:textId="77777777" w:rsidR="00AB5106" w:rsidRDefault="00A9240F">
            <w:pPr>
              <w:framePr w:wrap="auto" w:yAlign="inline"/>
              <w:rPr>
                <w:rFonts w:ascii="Times New Roman" w:eastAsia="宋体" w:hAnsi="Times New Roman"/>
                <w:sz w:val="13"/>
                <w:szCs w:val="13"/>
              </w:rPr>
            </w:pPr>
            <w:r>
              <w:rPr>
                <w:rFonts w:ascii="Times New Roman" w:hAnsi="Times New Roman" w:hint="eastAsia"/>
                <w:sz w:val="13"/>
                <w:szCs w:val="13"/>
              </w:rPr>
              <w:t xml:space="preserve">Acotiamide 100 mg </w:t>
            </w:r>
            <w:r>
              <w:rPr>
                <w:rFonts w:ascii="Times New Roman" w:hAnsi="Times New Roman"/>
                <w:sz w:val="13"/>
                <w:szCs w:val="13"/>
              </w:rPr>
              <w:t>×</w:t>
            </w:r>
            <w:r>
              <w:rPr>
                <w:rFonts w:ascii="Times New Roman" w:hAnsi="Times New Roman" w:hint="eastAsia"/>
                <w:sz w:val="13"/>
                <w:szCs w:val="13"/>
              </w:rPr>
              <w:t xml:space="preserve"> 3/day, 4 weeks</w:t>
            </w:r>
          </w:p>
        </w:tc>
        <w:tc>
          <w:tcPr>
            <w:tcW w:w="995" w:type="dxa"/>
            <w:tcBorders>
              <w:tl2br w:val="nil"/>
              <w:tr2bl w:val="nil"/>
            </w:tcBorders>
          </w:tcPr>
          <w:p w14:paraId="59ACEC1B" w14:textId="77777777" w:rsidR="00AB5106" w:rsidRDefault="00A9240F">
            <w:pPr>
              <w:framePr w:wrap="auto" w:yAlign="inline"/>
              <w:rPr>
                <w:rFonts w:ascii="Times New Roman" w:eastAsia="宋体" w:hAnsi="Times New Roman"/>
                <w:sz w:val="13"/>
                <w:szCs w:val="13"/>
              </w:rPr>
            </w:pPr>
            <w:r>
              <w:rPr>
                <w:rFonts w:ascii="Times New Roman" w:hAnsi="Times New Roman" w:hint="eastAsia"/>
                <w:sz w:val="13"/>
                <w:szCs w:val="13"/>
              </w:rPr>
              <w:t>112/111</w:t>
            </w:r>
          </w:p>
        </w:tc>
        <w:tc>
          <w:tcPr>
            <w:tcW w:w="1134" w:type="dxa"/>
            <w:tcBorders>
              <w:tl2br w:val="nil"/>
              <w:tr2bl w:val="nil"/>
            </w:tcBorders>
          </w:tcPr>
          <w:p w14:paraId="59ACEC1C" w14:textId="77777777" w:rsidR="00AB5106" w:rsidRDefault="00A9240F">
            <w:pPr>
              <w:framePr w:wrap="auto" w:yAlign="inline"/>
              <w:rPr>
                <w:rFonts w:ascii="Times New Roman" w:hAnsi="Times New Roman"/>
                <w:sz w:val="13"/>
                <w:szCs w:val="13"/>
              </w:rPr>
            </w:pPr>
            <w:r>
              <w:rPr>
                <w:rFonts w:ascii="Times New Roman" w:hAnsi="Times New Roman" w:hint="eastAsia"/>
                <w:sz w:val="13"/>
                <w:szCs w:val="13"/>
              </w:rPr>
              <w:t>Mosapride 5 mg</w:t>
            </w:r>
            <w:r>
              <w:rPr>
                <w:rFonts w:ascii="Times New Roman" w:hAnsi="Times New Roman"/>
                <w:sz w:val="13"/>
                <w:szCs w:val="13"/>
              </w:rPr>
              <w:t>×</w:t>
            </w:r>
            <w:r>
              <w:rPr>
                <w:rFonts w:ascii="Times New Roman" w:hAnsi="Times New Roman" w:hint="eastAsia"/>
                <w:sz w:val="13"/>
                <w:szCs w:val="13"/>
              </w:rPr>
              <w:t xml:space="preserve"> 3/day, 4 weeks</w:t>
            </w:r>
          </w:p>
        </w:tc>
        <w:tc>
          <w:tcPr>
            <w:tcW w:w="952" w:type="dxa"/>
            <w:tcBorders>
              <w:tl2br w:val="nil"/>
              <w:tr2bl w:val="nil"/>
            </w:tcBorders>
          </w:tcPr>
          <w:p w14:paraId="59ACEC1D" w14:textId="77777777" w:rsidR="00AB5106" w:rsidRDefault="00A9240F">
            <w:pPr>
              <w:framePr w:wrap="auto" w:yAlign="inline"/>
              <w:rPr>
                <w:rFonts w:ascii="Times New Roman" w:eastAsia="宋体" w:hAnsi="Times New Roman"/>
                <w:sz w:val="13"/>
                <w:szCs w:val="13"/>
              </w:rPr>
            </w:pPr>
            <w:r>
              <w:rPr>
                <w:rFonts w:ascii="Times New Roman" w:hAnsi="Times New Roman" w:hint="eastAsia"/>
                <w:sz w:val="13"/>
                <w:szCs w:val="13"/>
              </w:rPr>
              <w:t>/</w:t>
            </w:r>
          </w:p>
        </w:tc>
        <w:tc>
          <w:tcPr>
            <w:tcW w:w="1316" w:type="dxa"/>
            <w:tcBorders>
              <w:tl2br w:val="nil"/>
              <w:tr2bl w:val="nil"/>
            </w:tcBorders>
          </w:tcPr>
          <w:p w14:paraId="59ACEC1E" w14:textId="77777777" w:rsidR="00AB5106" w:rsidRDefault="00A9240F">
            <w:pPr>
              <w:framePr w:wrap="auto" w:yAlign="inline"/>
              <w:rPr>
                <w:rFonts w:ascii="Times New Roman" w:eastAsia="宋体" w:hAnsi="Times New Roman"/>
                <w:sz w:val="13"/>
                <w:szCs w:val="13"/>
              </w:rPr>
            </w:pPr>
            <w:r>
              <w:rPr>
                <w:rFonts w:ascii="Times New Roman" w:hAnsi="Times New Roman" w:hint="eastAsia"/>
                <w:sz w:val="13"/>
                <w:szCs w:val="13"/>
              </w:rPr>
              <w:t>/</w:t>
            </w:r>
          </w:p>
        </w:tc>
        <w:tc>
          <w:tcPr>
            <w:tcW w:w="829" w:type="dxa"/>
            <w:tcBorders>
              <w:tl2br w:val="nil"/>
              <w:tr2bl w:val="nil"/>
            </w:tcBorders>
          </w:tcPr>
          <w:p w14:paraId="59ACEC1F" w14:textId="77777777" w:rsidR="00AB5106" w:rsidRDefault="00A9240F">
            <w:pPr>
              <w:framePr w:wrap="auto" w:yAlign="inline"/>
              <w:rPr>
                <w:rFonts w:ascii="Times New Roman" w:eastAsia="宋体" w:hAnsi="Times New Roman"/>
                <w:sz w:val="13"/>
                <w:szCs w:val="13"/>
              </w:rPr>
            </w:pPr>
            <w:r>
              <w:rPr>
                <w:rFonts w:ascii="Times New Roman" w:hAnsi="Times New Roman" w:hint="eastAsia"/>
                <w:sz w:val="13"/>
                <w:szCs w:val="13"/>
              </w:rPr>
              <w:t>/</w:t>
            </w:r>
          </w:p>
        </w:tc>
        <w:tc>
          <w:tcPr>
            <w:tcW w:w="1439" w:type="dxa"/>
            <w:tcBorders>
              <w:tl2br w:val="nil"/>
              <w:tr2bl w:val="nil"/>
            </w:tcBorders>
          </w:tcPr>
          <w:p w14:paraId="59ACEC20" w14:textId="77777777" w:rsidR="00AB5106" w:rsidRDefault="00A9240F">
            <w:pPr>
              <w:framePr w:wrap="auto" w:yAlign="inline"/>
              <w:rPr>
                <w:rFonts w:ascii="Times New Roman" w:eastAsia="宋体" w:hAnsi="Times New Roman"/>
                <w:sz w:val="13"/>
                <w:szCs w:val="13"/>
              </w:rPr>
            </w:pPr>
            <w:r>
              <w:rPr>
                <w:rFonts w:ascii="Times New Roman" w:hAnsi="Times New Roman" w:hint="eastAsia"/>
                <w:sz w:val="13"/>
                <w:szCs w:val="13"/>
              </w:rPr>
              <w:t>/</w:t>
            </w:r>
          </w:p>
        </w:tc>
      </w:tr>
    </w:tbl>
    <w:p w14:paraId="59ACEC22" w14:textId="77777777" w:rsidR="00AB5106" w:rsidRDefault="00A9240F">
      <w:pPr>
        <w:framePr w:wrap="auto" w:yAlign="inline"/>
        <w:rPr>
          <w:rFonts w:ascii="Times New Roman" w:eastAsia="宋体" w:hAnsi="Times New Roman" w:cs="Times New Roman"/>
          <w:color w:val="auto"/>
          <w:szCs w:val="24"/>
        </w:rPr>
      </w:pPr>
      <w:r>
        <w:rPr>
          <w:rFonts w:ascii="Times New Roman" w:eastAsia="宋体" w:hAnsi="Times New Roman" w:cs="Times New Roman"/>
          <w:color w:val="auto"/>
          <w:szCs w:val="24"/>
        </w:rPr>
        <w:t>Notes: PDS: postprandial distress syndrome; FD: functional dyspepsia.</w:t>
      </w:r>
    </w:p>
    <w:p w14:paraId="59ACEC23" w14:textId="77777777" w:rsidR="00AB5106" w:rsidRDefault="00A9240F">
      <w:pPr>
        <w:framePr w:wrap="auto" w:yAlign="inline"/>
        <w:rPr>
          <w:rFonts w:ascii="Times New Roman" w:eastAsia="宋体" w:hAnsi="Times New Roman" w:cs="Times New Roman"/>
          <w:color w:val="auto"/>
          <w:szCs w:val="24"/>
        </w:rPr>
      </w:pPr>
      <w:r>
        <w:rPr>
          <w:rFonts w:ascii="Times New Roman" w:eastAsia="宋体" w:hAnsi="Times New Roman" w:cs="Times New Roman"/>
          <w:color w:val="auto"/>
          <w:szCs w:val="24"/>
        </w:rPr>
        <w:br w:type="page"/>
      </w:r>
      <w:r>
        <w:rPr>
          <w:rFonts w:ascii="Times New Roman" w:eastAsia="宋体" w:hAnsi="Times New Roman" w:cs="Times New Roman"/>
          <w:color w:val="auto"/>
          <w:szCs w:val="24"/>
        </w:rPr>
        <w:lastRenderedPageBreak/>
        <w:t>Supplementary Table 2 Outcome of included studies</w:t>
      </w:r>
    </w:p>
    <w:tbl>
      <w:tblPr>
        <w:tblW w:w="0" w:type="auto"/>
        <w:tblInd w:w="-459" w:type="dxa"/>
        <w:tblBorders>
          <w:top w:val="single" w:sz="8" w:space="0" w:color="auto"/>
          <w:bottom w:val="single" w:sz="8" w:space="0" w:color="auto"/>
        </w:tblBorders>
        <w:tblLook w:val="04A0" w:firstRow="1" w:lastRow="0" w:firstColumn="1" w:lastColumn="0" w:noHBand="0" w:noVBand="1"/>
      </w:tblPr>
      <w:tblGrid>
        <w:gridCol w:w="2209"/>
        <w:gridCol w:w="10761"/>
        <w:gridCol w:w="1449"/>
      </w:tblGrid>
      <w:tr w:rsidR="00AB5106" w14:paraId="59ACEC27" w14:textId="77777777">
        <w:trPr>
          <w:trHeight w:val="490"/>
        </w:trPr>
        <w:tc>
          <w:tcPr>
            <w:tcW w:w="2209" w:type="dxa"/>
            <w:vMerge w:val="restart"/>
            <w:tcBorders>
              <w:bottom w:val="single" w:sz="4" w:space="0" w:color="auto"/>
            </w:tcBorders>
            <w:noWrap/>
          </w:tcPr>
          <w:p w14:paraId="59ACEC24" w14:textId="77777777" w:rsidR="00AB5106" w:rsidRDefault="00A9240F">
            <w:pPr>
              <w:framePr w:wrap="auto" w:yAlign="inline"/>
              <w:rPr>
                <w:rFonts w:ascii="Times New Roman" w:eastAsia="宋体" w:hAnsi="Times New Roman" w:cs="Times New Roman"/>
                <w:b/>
                <w:bCs/>
                <w:color w:val="auto"/>
              </w:rPr>
            </w:pPr>
            <w:r>
              <w:rPr>
                <w:rFonts w:ascii="Times New Roman" w:eastAsia="宋体" w:hAnsi="Times New Roman" w:cs="Times New Roman"/>
                <w:b/>
                <w:bCs/>
                <w:color w:val="auto"/>
              </w:rPr>
              <w:t>Study ID</w:t>
            </w:r>
            <w:r>
              <w:rPr>
                <w:rFonts w:ascii="Times New Roman" w:eastAsia="宋体" w:hAnsi="Times New Roman" w:cs="Times New Roman"/>
                <w:b/>
                <w:bCs/>
                <w:color w:val="auto"/>
              </w:rPr>
              <w:br/>
              <w:t>(author+year)</w:t>
            </w:r>
          </w:p>
        </w:tc>
        <w:tc>
          <w:tcPr>
            <w:tcW w:w="10980" w:type="dxa"/>
            <w:vMerge w:val="restart"/>
            <w:tcBorders>
              <w:bottom w:val="single" w:sz="4" w:space="0" w:color="auto"/>
            </w:tcBorders>
          </w:tcPr>
          <w:p w14:paraId="59ACEC25" w14:textId="77777777" w:rsidR="00AB5106" w:rsidRDefault="00A9240F">
            <w:pPr>
              <w:framePr w:wrap="auto" w:yAlign="inline"/>
              <w:rPr>
                <w:rFonts w:ascii="Times New Roman" w:eastAsia="宋体" w:hAnsi="Times New Roman" w:cs="Times New Roman"/>
                <w:b/>
                <w:bCs/>
                <w:color w:val="auto"/>
              </w:rPr>
            </w:pPr>
            <w:r>
              <w:rPr>
                <w:rFonts w:ascii="Times New Roman" w:eastAsia="宋体" w:hAnsi="Times New Roman" w:cs="Times New Roman"/>
                <w:b/>
                <w:bCs/>
                <w:color w:val="auto"/>
              </w:rPr>
              <w:t>Outcome definition</w:t>
            </w:r>
          </w:p>
        </w:tc>
        <w:tc>
          <w:tcPr>
            <w:tcW w:w="1444" w:type="dxa"/>
            <w:vMerge w:val="restart"/>
            <w:tcBorders>
              <w:bottom w:val="single" w:sz="4" w:space="0" w:color="auto"/>
            </w:tcBorders>
            <w:noWrap/>
          </w:tcPr>
          <w:p w14:paraId="59ACEC26" w14:textId="77777777" w:rsidR="00AB5106" w:rsidRDefault="00A9240F">
            <w:pPr>
              <w:framePr w:wrap="auto" w:yAlign="inline"/>
              <w:rPr>
                <w:rFonts w:ascii="Times New Roman" w:eastAsia="宋体" w:hAnsi="Times New Roman" w:cs="Times New Roman"/>
                <w:b/>
                <w:bCs/>
                <w:color w:val="auto"/>
              </w:rPr>
            </w:pPr>
            <w:r>
              <w:rPr>
                <w:rFonts w:ascii="Times New Roman" w:eastAsia="宋体" w:hAnsi="Times New Roman" w:cs="Times New Roman"/>
                <w:b/>
                <w:bCs/>
                <w:color w:val="auto"/>
              </w:rPr>
              <w:t>Measurement time</w:t>
            </w:r>
          </w:p>
        </w:tc>
      </w:tr>
      <w:tr w:rsidR="00AB5106" w14:paraId="59ACEC2B" w14:textId="77777777">
        <w:trPr>
          <w:trHeight w:val="312"/>
        </w:trPr>
        <w:tc>
          <w:tcPr>
            <w:tcW w:w="2209" w:type="dxa"/>
            <w:vMerge/>
            <w:tcBorders>
              <w:top w:val="single" w:sz="4" w:space="0" w:color="auto"/>
              <w:bottom w:val="single" w:sz="4" w:space="0" w:color="auto"/>
              <w:tl2br w:val="nil"/>
              <w:tr2bl w:val="nil"/>
            </w:tcBorders>
          </w:tcPr>
          <w:p w14:paraId="59ACEC28" w14:textId="77777777" w:rsidR="00AB5106" w:rsidRDefault="00AB5106">
            <w:pPr>
              <w:framePr w:wrap="auto" w:yAlign="inline"/>
              <w:rPr>
                <w:rFonts w:ascii="Times New Roman" w:eastAsia="宋体" w:hAnsi="Times New Roman" w:cs="Times New Roman"/>
                <w:b/>
                <w:bCs/>
                <w:color w:val="auto"/>
              </w:rPr>
            </w:pPr>
          </w:p>
        </w:tc>
        <w:tc>
          <w:tcPr>
            <w:tcW w:w="10980" w:type="dxa"/>
            <w:vMerge/>
            <w:tcBorders>
              <w:top w:val="single" w:sz="4" w:space="0" w:color="auto"/>
              <w:bottom w:val="single" w:sz="4" w:space="0" w:color="auto"/>
              <w:tl2br w:val="nil"/>
              <w:tr2bl w:val="nil"/>
            </w:tcBorders>
          </w:tcPr>
          <w:p w14:paraId="59ACEC29" w14:textId="77777777" w:rsidR="00AB5106" w:rsidRDefault="00AB5106">
            <w:pPr>
              <w:framePr w:wrap="auto" w:yAlign="inline"/>
              <w:rPr>
                <w:rFonts w:ascii="Times New Roman" w:eastAsia="宋体" w:hAnsi="Times New Roman" w:cs="Times New Roman"/>
                <w:b/>
                <w:bCs/>
                <w:color w:val="auto"/>
              </w:rPr>
            </w:pPr>
          </w:p>
        </w:tc>
        <w:tc>
          <w:tcPr>
            <w:tcW w:w="1444" w:type="dxa"/>
            <w:vMerge/>
            <w:tcBorders>
              <w:top w:val="single" w:sz="4" w:space="0" w:color="auto"/>
              <w:bottom w:val="single" w:sz="4" w:space="0" w:color="auto"/>
              <w:tl2br w:val="nil"/>
              <w:tr2bl w:val="nil"/>
            </w:tcBorders>
          </w:tcPr>
          <w:p w14:paraId="59ACEC2A" w14:textId="77777777" w:rsidR="00AB5106" w:rsidRDefault="00AB5106">
            <w:pPr>
              <w:framePr w:wrap="auto" w:yAlign="inline"/>
              <w:rPr>
                <w:rFonts w:ascii="Times New Roman" w:eastAsia="宋体" w:hAnsi="Times New Roman" w:cs="Times New Roman"/>
                <w:b/>
                <w:bCs/>
                <w:color w:val="auto"/>
              </w:rPr>
            </w:pPr>
          </w:p>
        </w:tc>
      </w:tr>
      <w:tr w:rsidR="00AB5106" w14:paraId="59ACEC2F" w14:textId="77777777">
        <w:trPr>
          <w:trHeight w:val="770"/>
        </w:trPr>
        <w:tc>
          <w:tcPr>
            <w:tcW w:w="2209" w:type="dxa"/>
            <w:vMerge w:val="restart"/>
            <w:tcBorders>
              <w:tl2br w:val="nil"/>
              <w:tr2bl w:val="nil"/>
            </w:tcBorders>
            <w:noWrap/>
          </w:tcPr>
          <w:p w14:paraId="59ACEC2C"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KUSUNOKI 2012</w:t>
            </w:r>
          </w:p>
        </w:tc>
        <w:tc>
          <w:tcPr>
            <w:tcW w:w="10980" w:type="dxa"/>
            <w:tcBorders>
              <w:tl2br w:val="nil"/>
              <w:tr2bl w:val="nil"/>
            </w:tcBorders>
          </w:tcPr>
          <w:p w14:paraId="59ACEC2D"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Total Effective rate: We used the seven-point Likert scale to assess the change in the subjective gastrointestinal symptoms; The best condition in the seven-point Likert scale was ‘markedly improved in comparison with the baseline period'. The worst condition was ‘markedly aggravated in comparison with the baseline period'.</w:t>
            </w:r>
          </w:p>
        </w:tc>
        <w:tc>
          <w:tcPr>
            <w:tcW w:w="1444" w:type="dxa"/>
            <w:tcBorders>
              <w:tl2br w:val="nil"/>
              <w:tr2bl w:val="nil"/>
            </w:tcBorders>
            <w:noWrap/>
          </w:tcPr>
          <w:p w14:paraId="59ACEC2E"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14-18 days</w:t>
            </w:r>
          </w:p>
        </w:tc>
      </w:tr>
      <w:tr w:rsidR="00AB5106" w14:paraId="59ACEC33" w14:textId="77777777">
        <w:trPr>
          <w:trHeight w:val="770"/>
        </w:trPr>
        <w:tc>
          <w:tcPr>
            <w:tcW w:w="2209" w:type="dxa"/>
            <w:vMerge/>
            <w:tcBorders>
              <w:tl2br w:val="nil"/>
              <w:tr2bl w:val="nil"/>
            </w:tcBorders>
            <w:noWrap/>
          </w:tcPr>
          <w:p w14:paraId="59ACEC30"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31"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Adverse events: Safety was evaluated by full clinical and laboratory assessment at every visit. Adverse events were recorded during the treatmentperiod, with registration of dates of onset and resolution, severity,action taken, relationship with the treatment, and outcome.</w:t>
            </w:r>
          </w:p>
        </w:tc>
        <w:tc>
          <w:tcPr>
            <w:tcW w:w="1444" w:type="dxa"/>
            <w:tcBorders>
              <w:tl2br w:val="nil"/>
              <w:tr2bl w:val="nil"/>
            </w:tcBorders>
            <w:noWrap/>
          </w:tcPr>
          <w:p w14:paraId="59ACEC32"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14-18 days</w:t>
            </w:r>
          </w:p>
        </w:tc>
      </w:tr>
      <w:tr w:rsidR="00AB5106" w14:paraId="59ACEC37" w14:textId="77777777">
        <w:trPr>
          <w:trHeight w:val="720"/>
        </w:trPr>
        <w:tc>
          <w:tcPr>
            <w:tcW w:w="2209" w:type="dxa"/>
            <w:tcBorders>
              <w:tl2br w:val="nil"/>
              <w:tr2bl w:val="nil"/>
            </w:tcBorders>
            <w:noWrap/>
          </w:tcPr>
          <w:p w14:paraId="59ACEC34"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Chen 2004 b</w:t>
            </w:r>
          </w:p>
        </w:tc>
        <w:tc>
          <w:tcPr>
            <w:tcW w:w="10980" w:type="dxa"/>
            <w:tcBorders>
              <w:tl2br w:val="nil"/>
              <w:tr2bl w:val="nil"/>
            </w:tcBorders>
          </w:tcPr>
          <w:p w14:paraId="59ACEC35"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Early satiation effective rate: Clinical response= completely clinical response + markedly clinical response + clinical response; Individual symptoms were rated according to the following criteria: Completely clinical response: symptoms improvered by 3 grades or eliminated completely after treatment; Markedly clinical response: symptoms improved by 2 grades but not completely eliminated after treatment; Clinical response: symptoms improved by 1 grade but not completely  eliminated  after treatment; No effect: symptoms were progressed or no improvement.</w:t>
            </w:r>
          </w:p>
        </w:tc>
        <w:tc>
          <w:tcPr>
            <w:tcW w:w="1444" w:type="dxa"/>
            <w:tcBorders>
              <w:tl2br w:val="nil"/>
              <w:tr2bl w:val="nil"/>
            </w:tcBorders>
            <w:noWrap/>
          </w:tcPr>
          <w:p w14:paraId="59ACEC36"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3B" w14:textId="77777777">
        <w:trPr>
          <w:trHeight w:val="840"/>
        </w:trPr>
        <w:tc>
          <w:tcPr>
            <w:tcW w:w="2209" w:type="dxa"/>
            <w:vMerge w:val="restart"/>
            <w:tcBorders>
              <w:tl2br w:val="nil"/>
              <w:tr2bl w:val="nil"/>
            </w:tcBorders>
            <w:noWrap/>
          </w:tcPr>
          <w:p w14:paraId="59ACEC38"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HALLERBACK 2002</w:t>
            </w:r>
          </w:p>
        </w:tc>
        <w:tc>
          <w:tcPr>
            <w:tcW w:w="10980" w:type="dxa"/>
            <w:tcBorders>
              <w:tl2br w:val="nil"/>
              <w:tr2bl w:val="nil"/>
            </w:tcBorders>
          </w:tcPr>
          <w:p w14:paraId="59ACEC39"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Effective rate: relief of dyspeptic symptoms based on the investigator’s question to the patient (‘Have your symptoms improved since you started your new medication? )</w:t>
            </w:r>
            <w:r>
              <w:rPr>
                <w:rFonts w:ascii="Times New Roman" w:eastAsia="宋体" w:hAnsi="Times New Roman" w:cs="Times New Roman"/>
                <w:color w:val="auto"/>
              </w:rPr>
              <w:br/>
              <w:t>Improved %=number of cases with improvement/ total number of cases × 100%</w:t>
            </w:r>
          </w:p>
        </w:tc>
        <w:tc>
          <w:tcPr>
            <w:tcW w:w="1444" w:type="dxa"/>
            <w:tcBorders>
              <w:tl2br w:val="nil"/>
              <w:tr2bl w:val="nil"/>
            </w:tcBorders>
            <w:noWrap/>
          </w:tcPr>
          <w:p w14:paraId="59ACEC3A"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6 weeks</w:t>
            </w:r>
          </w:p>
        </w:tc>
      </w:tr>
      <w:tr w:rsidR="00AB5106" w14:paraId="59ACEC3F" w14:textId="77777777">
        <w:trPr>
          <w:trHeight w:val="90"/>
        </w:trPr>
        <w:tc>
          <w:tcPr>
            <w:tcW w:w="2209" w:type="dxa"/>
            <w:vMerge/>
            <w:tcBorders>
              <w:tl2br w:val="nil"/>
              <w:tr2bl w:val="nil"/>
            </w:tcBorders>
          </w:tcPr>
          <w:p w14:paraId="59ACEC3C"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3D"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An adverse event was defined as any unfavourable or unintended sign, whether or not considered to be causally related to the study drug, and was recorded in the Case Record Form.</w:t>
            </w:r>
          </w:p>
        </w:tc>
        <w:tc>
          <w:tcPr>
            <w:tcW w:w="1444" w:type="dxa"/>
            <w:tcBorders>
              <w:tl2br w:val="nil"/>
              <w:tr2bl w:val="nil"/>
            </w:tcBorders>
            <w:noWrap/>
          </w:tcPr>
          <w:p w14:paraId="59ACEC3E"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6 weeks</w:t>
            </w:r>
          </w:p>
        </w:tc>
      </w:tr>
      <w:tr w:rsidR="00AB5106" w14:paraId="59ACEC44" w14:textId="77777777">
        <w:trPr>
          <w:trHeight w:val="1130"/>
        </w:trPr>
        <w:tc>
          <w:tcPr>
            <w:tcW w:w="2209" w:type="dxa"/>
            <w:tcBorders>
              <w:tl2br w:val="nil"/>
              <w:tr2bl w:val="nil"/>
            </w:tcBorders>
            <w:noWrap/>
          </w:tcPr>
          <w:p w14:paraId="59ACEC40"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 xml:space="preserve">MATSUEDA </w:t>
            </w:r>
          </w:p>
          <w:p w14:paraId="59ACEC41"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2010-study 1</w:t>
            </w:r>
          </w:p>
        </w:tc>
        <w:tc>
          <w:tcPr>
            <w:tcW w:w="10980" w:type="dxa"/>
            <w:tcBorders>
              <w:tl2br w:val="nil"/>
              <w:tr2bl w:val="nil"/>
            </w:tcBorders>
          </w:tcPr>
          <w:p w14:paraId="59ACEC42" w14:textId="4D938D46"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 xml:space="preserve">Total Effective rate: patients completed a </w:t>
            </w:r>
            <w:bookmarkStart w:id="0" w:name="_Hlk136280870"/>
            <w:r>
              <w:rPr>
                <w:rFonts w:ascii="Times New Roman" w:eastAsia="宋体" w:hAnsi="Times New Roman" w:cs="Times New Roman"/>
                <w:color w:val="auto"/>
              </w:rPr>
              <w:t>subjects global assessment of overall treatment efficacy (OTE) questionnaire</w:t>
            </w:r>
            <w:bookmarkEnd w:id="0"/>
            <w:r>
              <w:rPr>
                <w:rFonts w:ascii="Times New Roman" w:eastAsia="宋体" w:hAnsi="Times New Roman" w:cs="Times New Roman"/>
                <w:color w:val="auto"/>
              </w:rPr>
              <w:t>. The question asked was</w:t>
            </w:r>
            <w:r w:rsidR="003D6520">
              <w:rPr>
                <w:rFonts w:ascii="Times New Roman" w:eastAsia="宋体" w:hAnsi="Times New Roman" w:cs="Times New Roman"/>
                <w:color w:val="auto"/>
              </w:rPr>
              <w:t xml:space="preserve"> </w:t>
            </w:r>
            <w:r>
              <w:rPr>
                <w:rFonts w:ascii="Times New Roman" w:eastAsia="宋体" w:hAnsi="Times New Roman" w:cs="Times New Roman"/>
                <w:color w:val="auto"/>
              </w:rPr>
              <w:t>How were your stomach symptoms during the last week in comparison to the baseline period, as assessed by the records in the paper diaries. This was scored on a 7-point Likert scale ranging from'extremely improved in comparison with the baseline period'to 'extremely aggravated in comparison with the baseline period' and 'not changed'as the middle score. patients who were 'extremely improved'or 'improved' on the OTE were considered responders.</w:t>
            </w:r>
          </w:p>
        </w:tc>
        <w:tc>
          <w:tcPr>
            <w:tcW w:w="1444" w:type="dxa"/>
            <w:tcBorders>
              <w:tl2br w:val="nil"/>
              <w:tr2bl w:val="nil"/>
            </w:tcBorders>
            <w:noWrap/>
          </w:tcPr>
          <w:p w14:paraId="59ACEC43"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49" w14:textId="77777777">
        <w:trPr>
          <w:trHeight w:val="1050"/>
        </w:trPr>
        <w:tc>
          <w:tcPr>
            <w:tcW w:w="2209" w:type="dxa"/>
            <w:vMerge w:val="restart"/>
            <w:tcBorders>
              <w:tl2br w:val="nil"/>
              <w:tr2bl w:val="nil"/>
            </w:tcBorders>
            <w:noWrap/>
          </w:tcPr>
          <w:p w14:paraId="59ACEC45"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 xml:space="preserve">MATSUEDA </w:t>
            </w:r>
          </w:p>
          <w:p w14:paraId="59ACEC46"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2010-study 2</w:t>
            </w:r>
          </w:p>
        </w:tc>
        <w:tc>
          <w:tcPr>
            <w:tcW w:w="10980" w:type="dxa"/>
            <w:tcBorders>
              <w:tl2br w:val="nil"/>
              <w:tr2bl w:val="nil"/>
            </w:tcBorders>
          </w:tcPr>
          <w:p w14:paraId="59ACEC47" w14:textId="23C61B1F"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Total Effective rate: patients completed a subjects global assessment of overall treatment efficacy (OTE) questionnaire. The question asked was</w:t>
            </w:r>
            <w:r w:rsidR="003D6520">
              <w:rPr>
                <w:rFonts w:ascii="Times New Roman" w:eastAsia="宋体" w:hAnsi="Times New Roman" w:cs="Times New Roman"/>
                <w:color w:val="auto"/>
              </w:rPr>
              <w:t xml:space="preserve"> </w:t>
            </w:r>
            <w:r>
              <w:rPr>
                <w:rFonts w:ascii="Times New Roman" w:eastAsia="宋体" w:hAnsi="Times New Roman" w:cs="Times New Roman"/>
                <w:color w:val="auto"/>
              </w:rPr>
              <w:t>How were your stomach symptoms during the last week in comparison to the baseline period, as assessed by the records in the paper diaries. This was scored on a 7-point Likert scale ranging from'extremely improved in comparison with the baseline period'to 'extremely aggravated in comparison with the baseline period' and 'not changed'as the middle score. patients who were 'extremely improved'or 'improved' on the OTE were considered responders.</w:t>
            </w:r>
          </w:p>
        </w:tc>
        <w:tc>
          <w:tcPr>
            <w:tcW w:w="1444" w:type="dxa"/>
            <w:tcBorders>
              <w:tl2br w:val="nil"/>
              <w:tr2bl w:val="nil"/>
            </w:tcBorders>
            <w:noWrap/>
          </w:tcPr>
          <w:p w14:paraId="59ACEC48"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4D" w14:textId="77777777">
        <w:trPr>
          <w:trHeight w:val="1190"/>
        </w:trPr>
        <w:tc>
          <w:tcPr>
            <w:tcW w:w="2209" w:type="dxa"/>
            <w:vMerge/>
            <w:tcBorders>
              <w:tl2br w:val="nil"/>
              <w:tr2bl w:val="nil"/>
            </w:tcBorders>
          </w:tcPr>
          <w:p w14:paraId="59ACEC4A"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4B"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Postprandial fullness elimination rate: During the 8-day baseline period and the 28-day treatment period, patients rated each of nine symptoms (upper abdominal pain, upper abdominal discomfort, postprandial fullness, upper abdominal bloating, early satiety, excessive belching, nausea,vomiting and heartburn) on a 0–3 severity scale (none, mild,moderate and severe) using paper diaries. elimination rate=score 0</w:t>
            </w:r>
          </w:p>
        </w:tc>
        <w:tc>
          <w:tcPr>
            <w:tcW w:w="1444" w:type="dxa"/>
            <w:tcBorders>
              <w:tl2br w:val="nil"/>
              <w:tr2bl w:val="nil"/>
            </w:tcBorders>
            <w:noWrap/>
          </w:tcPr>
          <w:p w14:paraId="59ACEC4C"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51" w14:textId="77777777">
        <w:trPr>
          <w:trHeight w:val="840"/>
        </w:trPr>
        <w:tc>
          <w:tcPr>
            <w:tcW w:w="2209" w:type="dxa"/>
            <w:vMerge/>
            <w:tcBorders>
              <w:tl2br w:val="nil"/>
              <w:tr2bl w:val="nil"/>
            </w:tcBorders>
          </w:tcPr>
          <w:p w14:paraId="59ACEC4E"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4F"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Upper abdominal bloating elimination rate:  During the 8-day baseline period and the 28-day treatment period, patients rated each of nine symptoms (upper abdominal pain, upper abdominal discomfort, postprandial fullness, upper abdominal bloating, early satiety, excessive belching, nausea,vomiting and heartburn) on a 0–3 severity scale (none, mild,moderate and severe) using paper diaries. elimination rate=score 0</w:t>
            </w:r>
          </w:p>
        </w:tc>
        <w:tc>
          <w:tcPr>
            <w:tcW w:w="1444" w:type="dxa"/>
            <w:tcBorders>
              <w:tl2br w:val="nil"/>
              <w:tr2bl w:val="nil"/>
            </w:tcBorders>
            <w:noWrap/>
          </w:tcPr>
          <w:p w14:paraId="59ACEC50"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55" w14:textId="77777777">
        <w:trPr>
          <w:trHeight w:val="870"/>
        </w:trPr>
        <w:tc>
          <w:tcPr>
            <w:tcW w:w="2209" w:type="dxa"/>
            <w:vMerge/>
            <w:tcBorders>
              <w:tl2br w:val="nil"/>
              <w:tr2bl w:val="nil"/>
            </w:tcBorders>
          </w:tcPr>
          <w:p w14:paraId="59ACEC52"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53"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Early satiety elimination rate: During the 8-day baseline period and the 28-day treatment period, patients rated each of nine symptoms (upper abdominal pain, upper abdominal discomfort, postprandial fullness, upper abdominal bloating, early satiety, excessive belching, nausea,vomiting and heartburn) on a 0–3 severity scale (none, mild,moderate and severe) using paper diaries. elimination rate=score 0</w:t>
            </w:r>
          </w:p>
        </w:tc>
        <w:tc>
          <w:tcPr>
            <w:tcW w:w="1444" w:type="dxa"/>
            <w:tcBorders>
              <w:tl2br w:val="nil"/>
              <w:tr2bl w:val="nil"/>
            </w:tcBorders>
            <w:noWrap/>
          </w:tcPr>
          <w:p w14:paraId="59ACEC54"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59" w14:textId="77777777">
        <w:trPr>
          <w:trHeight w:val="870"/>
        </w:trPr>
        <w:tc>
          <w:tcPr>
            <w:tcW w:w="2209" w:type="dxa"/>
            <w:vMerge/>
            <w:tcBorders>
              <w:tl2br w:val="nil"/>
              <w:tr2bl w:val="nil"/>
            </w:tcBorders>
          </w:tcPr>
          <w:p w14:paraId="59ACEC56"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57"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Adverse events (AEs) and serious AEs were recorded at each visit. In addition, vital signs, haematology, urinalysis, blood biochemistry and electrocardiography at rest were evaluated.</w:t>
            </w:r>
          </w:p>
        </w:tc>
        <w:tc>
          <w:tcPr>
            <w:tcW w:w="1444" w:type="dxa"/>
            <w:tcBorders>
              <w:tl2br w:val="nil"/>
              <w:tr2bl w:val="nil"/>
            </w:tcBorders>
            <w:noWrap/>
          </w:tcPr>
          <w:p w14:paraId="59ACEC58"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5D" w14:textId="77777777">
        <w:trPr>
          <w:trHeight w:val="674"/>
        </w:trPr>
        <w:tc>
          <w:tcPr>
            <w:tcW w:w="2209" w:type="dxa"/>
            <w:tcBorders>
              <w:tl2br w:val="nil"/>
              <w:tr2bl w:val="nil"/>
            </w:tcBorders>
            <w:noWrap/>
          </w:tcPr>
          <w:p w14:paraId="59ACEC5A"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Zhou 2000</w:t>
            </w:r>
          </w:p>
        </w:tc>
        <w:tc>
          <w:tcPr>
            <w:tcW w:w="10980" w:type="dxa"/>
            <w:tcBorders>
              <w:tl2br w:val="nil"/>
              <w:tr2bl w:val="nil"/>
            </w:tcBorders>
          </w:tcPr>
          <w:p w14:paraId="59ACEC5B"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Total Effective rate: The following symptoms were observed and rated by symptom score scale before and after drug treatment: early satiety, epigastric distension, nausea, vomiting, belching, epigastric pain, epigastric discomfort, heartburn, acid regurgitation and anorexia; The symptom score was recorded according to 4 grade scale (0-3): Grade0 (0 point): asymptomatic. Grade1 (1 point) : mild but noneobvious symtoms; Grade2 (2 points): slightly severe symptoms, but did not affect work; Grade 3 (3 points): severe symptoms, difficult to persist in work. The symptom score was calculated as the total score of early satiety and abdominal distension. The  symptom scores were measured before and after treatment; Clinical response rate of one symptom (%) = number of cases with complete clinical response+ markedly clinical response / total number of cases × 100%.</w:t>
            </w:r>
          </w:p>
        </w:tc>
        <w:tc>
          <w:tcPr>
            <w:tcW w:w="1444" w:type="dxa"/>
            <w:tcBorders>
              <w:tl2br w:val="nil"/>
              <w:tr2bl w:val="nil"/>
            </w:tcBorders>
            <w:noWrap/>
          </w:tcPr>
          <w:p w14:paraId="59ACEC5C"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2 weeks</w:t>
            </w:r>
          </w:p>
        </w:tc>
      </w:tr>
      <w:tr w:rsidR="00AB5106" w14:paraId="59ACEC61" w14:textId="77777777">
        <w:trPr>
          <w:trHeight w:val="1580"/>
        </w:trPr>
        <w:tc>
          <w:tcPr>
            <w:tcW w:w="2209" w:type="dxa"/>
            <w:vMerge w:val="restart"/>
            <w:tcBorders>
              <w:tl2br w:val="nil"/>
              <w:tr2bl w:val="nil"/>
            </w:tcBorders>
            <w:noWrap/>
          </w:tcPr>
          <w:p w14:paraId="59ACEC5E"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Mo 2003</w:t>
            </w:r>
          </w:p>
        </w:tc>
        <w:tc>
          <w:tcPr>
            <w:tcW w:w="10980" w:type="dxa"/>
            <w:tcBorders>
              <w:tl2br w:val="nil"/>
              <w:tr2bl w:val="nil"/>
            </w:tcBorders>
          </w:tcPr>
          <w:p w14:paraId="59ACEC5F"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Early satiation effective rate: The symptom score was recorded according to 4 grade scale (0-3): Grade0 (0 point): asymptomatic. Grade1 (1 point) : mild but noneobvious symtoms; Grade2 (2 points): slightly severe symptoms, but did not affect work; Grade 3 (3 points): severe symptoms, difficult to persist in work; Markedly clinical response: symptoms improved by at least 2 grades but not completely eliminated after treatment; Clinical response: symptoms improved by 1 grade but not completely  eliminated  after treatment; No effect: symptoms were progressed or no improvement; Clinical response rate of one symptom (%) = number of cases with markedly clinical response + clinical response / total number of cases × 100%</w:t>
            </w:r>
            <w:r>
              <w:rPr>
                <w:rFonts w:ascii="Times New Roman" w:eastAsia="宋体" w:hAnsi="Times New Roman" w:cs="Times New Roman"/>
                <w:color w:val="auto"/>
              </w:rPr>
              <w:t>。</w:t>
            </w:r>
          </w:p>
        </w:tc>
        <w:tc>
          <w:tcPr>
            <w:tcW w:w="1444" w:type="dxa"/>
            <w:tcBorders>
              <w:tl2br w:val="nil"/>
              <w:tr2bl w:val="nil"/>
            </w:tcBorders>
            <w:noWrap/>
          </w:tcPr>
          <w:p w14:paraId="59ACEC60"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2 weeks</w:t>
            </w:r>
          </w:p>
        </w:tc>
      </w:tr>
      <w:tr w:rsidR="00AB5106" w14:paraId="59ACEC65" w14:textId="77777777">
        <w:trPr>
          <w:trHeight w:val="636"/>
        </w:trPr>
        <w:tc>
          <w:tcPr>
            <w:tcW w:w="2209" w:type="dxa"/>
            <w:vMerge/>
            <w:tcBorders>
              <w:tl2br w:val="nil"/>
              <w:tr2bl w:val="nil"/>
            </w:tcBorders>
          </w:tcPr>
          <w:p w14:paraId="59ACEC62"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63"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 xml:space="preserve">Adverse events: </w:t>
            </w:r>
            <w:r>
              <w:rPr>
                <w:rFonts w:ascii="Times New Roman" w:eastAsia="宋体" w:hAnsi="Times New Roman" w:cs="Times New Roman"/>
                <w:color w:val="auto"/>
                <w:spacing w:val="10"/>
              </w:rPr>
              <w:t>Laboratory safety evaluation included b</w:t>
            </w:r>
            <w:r>
              <w:rPr>
                <w:rFonts w:ascii="Times New Roman" w:eastAsia="宋体" w:hAnsi="Times New Roman" w:cs="Times New Roman"/>
                <w:color w:val="auto"/>
              </w:rPr>
              <w:t>lood routine, urine routine, liver and kidney function and ECG examination. The researchers closely observed the adverse reactions of drugs.</w:t>
            </w:r>
          </w:p>
        </w:tc>
        <w:tc>
          <w:tcPr>
            <w:tcW w:w="1444" w:type="dxa"/>
            <w:tcBorders>
              <w:tl2br w:val="nil"/>
              <w:tr2bl w:val="nil"/>
            </w:tcBorders>
            <w:noWrap/>
          </w:tcPr>
          <w:p w14:paraId="59ACEC64"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2 weeks</w:t>
            </w:r>
          </w:p>
        </w:tc>
      </w:tr>
      <w:tr w:rsidR="00AB5106" w14:paraId="59ACEC69" w14:textId="77777777">
        <w:trPr>
          <w:trHeight w:val="412"/>
        </w:trPr>
        <w:tc>
          <w:tcPr>
            <w:tcW w:w="2209" w:type="dxa"/>
            <w:tcBorders>
              <w:tl2br w:val="nil"/>
              <w:tr2bl w:val="nil"/>
            </w:tcBorders>
            <w:noWrap/>
          </w:tcPr>
          <w:p w14:paraId="59ACEC66"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lastRenderedPageBreak/>
              <w:t>Funaki 2019</w:t>
            </w:r>
          </w:p>
        </w:tc>
        <w:tc>
          <w:tcPr>
            <w:tcW w:w="10980" w:type="dxa"/>
            <w:tcBorders>
              <w:tl2br w:val="nil"/>
              <w:tr2bl w:val="nil"/>
            </w:tcBorders>
          </w:tcPr>
          <w:p w14:paraId="59ACEC67"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Responder rate based on FD score: the percentage of patients whose corresponding score decreased by 50% or more compared with that before treatment.</w:t>
            </w:r>
          </w:p>
        </w:tc>
        <w:tc>
          <w:tcPr>
            <w:tcW w:w="1444" w:type="dxa"/>
            <w:tcBorders>
              <w:tl2br w:val="nil"/>
              <w:tr2bl w:val="nil"/>
            </w:tcBorders>
            <w:noWrap/>
          </w:tcPr>
          <w:p w14:paraId="59ACEC68"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6D" w14:textId="77777777">
        <w:trPr>
          <w:trHeight w:val="840"/>
        </w:trPr>
        <w:tc>
          <w:tcPr>
            <w:tcW w:w="2209" w:type="dxa"/>
            <w:vMerge w:val="restart"/>
            <w:tcBorders>
              <w:tl2br w:val="nil"/>
              <w:tr2bl w:val="nil"/>
            </w:tcBorders>
            <w:noWrap/>
          </w:tcPr>
          <w:p w14:paraId="59ACEC6A"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Chen 2004 a</w:t>
            </w:r>
          </w:p>
        </w:tc>
        <w:tc>
          <w:tcPr>
            <w:tcW w:w="10980" w:type="dxa"/>
            <w:tcBorders>
              <w:tl2br w:val="nil"/>
              <w:tr2bl w:val="nil"/>
            </w:tcBorders>
          </w:tcPr>
          <w:p w14:paraId="59ACEC6B"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Early satiation effective rate: Individual symptoms were rated according to the following criteria: Completely clinical response: symptoms improved by 3 grades or eliminated completely after treatment; Markedly clinical response: symptoms improved by 2 grades but not completely eliminated after treatment; Clinical response: symptoms improved by 1 grade but not completely  eliminated  after treatment; No effect: symptoms were progressed or no improvement;  Clinical response rate of one symptom (%) = number of cases with complete clinical response+ markedly clinical response + clinical response / total number of cases × 100%.</w:t>
            </w:r>
          </w:p>
        </w:tc>
        <w:tc>
          <w:tcPr>
            <w:tcW w:w="1444" w:type="dxa"/>
            <w:tcBorders>
              <w:tl2br w:val="nil"/>
              <w:tr2bl w:val="nil"/>
            </w:tcBorders>
            <w:noWrap/>
          </w:tcPr>
          <w:p w14:paraId="59ACEC6C"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71" w14:textId="77777777">
        <w:trPr>
          <w:trHeight w:val="840"/>
        </w:trPr>
        <w:tc>
          <w:tcPr>
            <w:tcW w:w="2209" w:type="dxa"/>
            <w:vMerge/>
            <w:tcBorders>
              <w:tl2br w:val="nil"/>
              <w:tr2bl w:val="nil"/>
            </w:tcBorders>
          </w:tcPr>
          <w:p w14:paraId="59ACEC6E"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6F"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Adverse events: The adverse events of drugs complained by the patients and the abnormalities of laboratory tests were assessed according to the five grades of affirmative correlation, possible relevance, affirmative irrelevance, possible irrelevance and uncertainty. Affirmative correlation and possible relevance are regarded as adverse drug reactions.</w:t>
            </w:r>
          </w:p>
        </w:tc>
        <w:tc>
          <w:tcPr>
            <w:tcW w:w="1444" w:type="dxa"/>
            <w:tcBorders>
              <w:tl2br w:val="nil"/>
              <w:tr2bl w:val="nil"/>
            </w:tcBorders>
            <w:noWrap/>
          </w:tcPr>
          <w:p w14:paraId="59ACEC70"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76" w14:textId="77777777">
        <w:trPr>
          <w:trHeight w:val="2380"/>
        </w:trPr>
        <w:tc>
          <w:tcPr>
            <w:tcW w:w="2209" w:type="dxa"/>
            <w:tcBorders>
              <w:tl2br w:val="nil"/>
              <w:tr2bl w:val="nil"/>
            </w:tcBorders>
            <w:noWrap/>
          </w:tcPr>
          <w:p w14:paraId="59ACEC72"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Zhu 2005</w:t>
            </w:r>
          </w:p>
        </w:tc>
        <w:tc>
          <w:tcPr>
            <w:tcW w:w="10980" w:type="dxa"/>
            <w:tcBorders>
              <w:tl2br w:val="nil"/>
              <w:tr2bl w:val="nil"/>
            </w:tcBorders>
          </w:tcPr>
          <w:p w14:paraId="59ACEC73"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Early satiation rate: The following symptoms were observed and rated by symptom score scale before and after drug treatment: early satiety, epigastric distension, nausea, vomiting, belching, epigastric pain, epigastric discomfort, heartburn, acid regurgitation and anorexia; The symptom score was recorded according to 4 grade scale (0-3): Grade0 (0 point): asymptomatic. Grade1 (1 point) : mild but noneobvious symtoms; Grade2 (2 points): slightly severe symptoms, but did not affect work; Grade 3 (3 points): severe symptoms, difficult to persist in work. The symptom score was calculated as the total score of early satiety and abdominal distension. The  symptom scores were measured before and after treatment;  Completely clinical response: symptoms improved by 3 grades or eliminated completely after treatment; Markedly clinical response: symptoms improved by 2 grades but not completely eliminated after treatment; Clinical response: symptoms improved by 1 grade but not completely  eliminated  after treatment; No effect: symptoms were progressed or no improvement; Markedly clinical response rate= the number of case with markedly clinical response/ total number of cases × 100%.</w:t>
            </w:r>
          </w:p>
        </w:tc>
        <w:tc>
          <w:tcPr>
            <w:tcW w:w="1444" w:type="dxa"/>
            <w:tcBorders>
              <w:tl2br w:val="nil"/>
              <w:tr2bl w:val="nil"/>
            </w:tcBorders>
            <w:noWrap/>
          </w:tcPr>
          <w:p w14:paraId="59ACEC74"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 xml:space="preserve">2 weeks, </w:t>
            </w:r>
          </w:p>
          <w:p w14:paraId="59ACEC75"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7A" w14:textId="77777777">
        <w:trPr>
          <w:trHeight w:val="1100"/>
        </w:trPr>
        <w:tc>
          <w:tcPr>
            <w:tcW w:w="2209" w:type="dxa"/>
            <w:tcBorders>
              <w:tl2br w:val="nil"/>
              <w:tr2bl w:val="nil"/>
            </w:tcBorders>
          </w:tcPr>
          <w:p w14:paraId="59ACEC77"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78"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 xml:space="preserve">Adverse events: </w:t>
            </w:r>
            <w:r>
              <w:rPr>
                <w:rFonts w:ascii="Times New Roman" w:eastAsia="宋体" w:hAnsi="Times New Roman" w:cs="Times New Roman"/>
                <w:color w:val="auto"/>
                <w:spacing w:val="10"/>
              </w:rPr>
              <w:t>Laboratory safety evaluation: blood routine; urine routine; blood electrolyte, renal function, liver function; ECG (ECG). The researchers assessed the possible association between adverse events and research drugs and drug combinations.</w:t>
            </w:r>
          </w:p>
        </w:tc>
        <w:tc>
          <w:tcPr>
            <w:tcW w:w="1444" w:type="dxa"/>
            <w:tcBorders>
              <w:tl2br w:val="nil"/>
              <w:tr2bl w:val="nil"/>
            </w:tcBorders>
            <w:noWrap/>
          </w:tcPr>
          <w:p w14:paraId="59ACEC79"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7E" w14:textId="77777777">
        <w:trPr>
          <w:trHeight w:val="708"/>
        </w:trPr>
        <w:tc>
          <w:tcPr>
            <w:tcW w:w="2209" w:type="dxa"/>
            <w:tcBorders>
              <w:tl2br w:val="nil"/>
              <w:tr2bl w:val="nil"/>
            </w:tcBorders>
            <w:noWrap/>
          </w:tcPr>
          <w:p w14:paraId="59ACEC7B"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Holtmann 2006</w:t>
            </w:r>
          </w:p>
        </w:tc>
        <w:tc>
          <w:tcPr>
            <w:tcW w:w="10980" w:type="dxa"/>
            <w:tcBorders>
              <w:tl2br w:val="nil"/>
              <w:tr2bl w:val="nil"/>
            </w:tcBorders>
          </w:tcPr>
          <w:p w14:paraId="59ACEC7C"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Response rate by severity of pain and fullness: after eating as a combined end point. A positive response to treatment was prespecified as improvement by at least one grade on a five-grade scale (absent, very mild or mild, moderate, severe, or very severe) with respect to atleast one of the two symptoms (pain or fullness) and no deteriorationin the other symptom.</w:t>
            </w:r>
          </w:p>
        </w:tc>
        <w:tc>
          <w:tcPr>
            <w:tcW w:w="1444" w:type="dxa"/>
            <w:tcBorders>
              <w:tl2br w:val="nil"/>
              <w:tr2bl w:val="nil"/>
            </w:tcBorders>
            <w:noWrap/>
          </w:tcPr>
          <w:p w14:paraId="59ACEC7D"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8 weeks</w:t>
            </w:r>
          </w:p>
        </w:tc>
      </w:tr>
      <w:tr w:rsidR="00AB5106" w14:paraId="59ACEC82" w14:textId="77777777">
        <w:trPr>
          <w:trHeight w:val="840"/>
        </w:trPr>
        <w:tc>
          <w:tcPr>
            <w:tcW w:w="2209" w:type="dxa"/>
            <w:vMerge w:val="restart"/>
            <w:tcBorders>
              <w:tl2br w:val="nil"/>
              <w:tr2bl w:val="nil"/>
            </w:tcBorders>
            <w:noWrap/>
          </w:tcPr>
          <w:p w14:paraId="59ACEC7F"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Lin 2009</w:t>
            </w:r>
          </w:p>
        </w:tc>
        <w:tc>
          <w:tcPr>
            <w:tcW w:w="10980" w:type="dxa"/>
            <w:tcBorders>
              <w:tl2br w:val="nil"/>
              <w:tr2bl w:val="nil"/>
            </w:tcBorders>
          </w:tcPr>
          <w:p w14:paraId="59ACEC80"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 xml:space="preserve">Total Effective rate: The following symptoms were observed and rated by symptom score scale before and after drug treatment: early satiety, epigastric distension, nausea, vomiting, belching, epigastric pain, epigastric discomfort, heartburn, acid regurgitation and anorexia; The symptom score was recorded according to 4 grade scale (0-3): Grade0 (0 point): asymptomatic. Grade1 (1 point): mild but noneobvious symtoms; Grade2 (2 points): slightly severe symptoms, but did not affect work; Grade 3 (3 points): severe symptoms, difficult to persist in work. The symptom score was calculated as the total score of early satiety </w:t>
            </w:r>
            <w:r>
              <w:rPr>
                <w:rFonts w:ascii="Times New Roman" w:eastAsia="宋体" w:hAnsi="Times New Roman" w:cs="Times New Roman"/>
                <w:color w:val="auto"/>
              </w:rPr>
              <w:lastRenderedPageBreak/>
              <w:t>and abdominal distension. The symptom scores were measured before and after treatment; Clinical response rate of one symptom (%) = number of cases with complete clinical response+ markedly clinical response + clinical response / total number of cases × 100%.</w:t>
            </w:r>
          </w:p>
        </w:tc>
        <w:tc>
          <w:tcPr>
            <w:tcW w:w="1444" w:type="dxa"/>
            <w:tcBorders>
              <w:tl2br w:val="nil"/>
              <w:tr2bl w:val="nil"/>
            </w:tcBorders>
            <w:noWrap/>
          </w:tcPr>
          <w:p w14:paraId="59ACEC81"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lastRenderedPageBreak/>
              <w:t>2 weeks</w:t>
            </w:r>
          </w:p>
        </w:tc>
      </w:tr>
      <w:tr w:rsidR="00AB5106" w14:paraId="59ACEC86" w14:textId="77777777">
        <w:trPr>
          <w:trHeight w:val="357"/>
        </w:trPr>
        <w:tc>
          <w:tcPr>
            <w:tcW w:w="2209" w:type="dxa"/>
            <w:vMerge/>
            <w:tcBorders>
              <w:tl2br w:val="nil"/>
              <w:tr2bl w:val="nil"/>
            </w:tcBorders>
            <w:noWrap/>
          </w:tcPr>
          <w:p w14:paraId="59ACEC83"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84"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Adverse events: NR</w:t>
            </w:r>
          </w:p>
        </w:tc>
        <w:tc>
          <w:tcPr>
            <w:tcW w:w="1444" w:type="dxa"/>
            <w:tcBorders>
              <w:tl2br w:val="nil"/>
              <w:tr2bl w:val="nil"/>
            </w:tcBorders>
            <w:noWrap/>
          </w:tcPr>
          <w:p w14:paraId="59ACEC85"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2 weeks</w:t>
            </w:r>
          </w:p>
        </w:tc>
      </w:tr>
      <w:tr w:rsidR="00AB5106" w14:paraId="59ACEC8A" w14:textId="77777777">
        <w:trPr>
          <w:trHeight w:val="701"/>
        </w:trPr>
        <w:tc>
          <w:tcPr>
            <w:tcW w:w="2209" w:type="dxa"/>
            <w:vMerge w:val="restart"/>
            <w:tcBorders>
              <w:tl2br w:val="nil"/>
              <w:tr2bl w:val="nil"/>
            </w:tcBorders>
            <w:noWrap/>
          </w:tcPr>
          <w:p w14:paraId="59ACEC87"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DAVIS 1988</w:t>
            </w:r>
          </w:p>
        </w:tc>
        <w:tc>
          <w:tcPr>
            <w:tcW w:w="10980" w:type="dxa"/>
            <w:tcBorders>
              <w:tl2br w:val="nil"/>
              <w:tr2bl w:val="nil"/>
            </w:tcBorders>
          </w:tcPr>
          <w:p w14:paraId="59ACEC88"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Efficient of  gastric empting: Half-emptying times increased within the normal range</w:t>
            </w:r>
            <w:r>
              <w:rPr>
                <w:rFonts w:ascii="Times New Roman" w:eastAsia="宋体" w:hAnsi="Times New Roman" w:cs="Times New Roman"/>
                <w:color w:val="auto"/>
              </w:rPr>
              <w:t>；</w:t>
            </w:r>
            <w:r>
              <w:rPr>
                <w:rFonts w:ascii="Times New Roman" w:eastAsia="宋体" w:hAnsi="Times New Roman" w:cs="Times New Roman"/>
                <w:color w:val="auto"/>
              </w:rPr>
              <w:t>Delayed gastric emptying of a solid meal, defined as a half-emptying time (T1/2)&gt;66 min</w:t>
            </w:r>
          </w:p>
        </w:tc>
        <w:tc>
          <w:tcPr>
            <w:tcW w:w="1444" w:type="dxa"/>
            <w:tcBorders>
              <w:tl2br w:val="nil"/>
              <w:tr2bl w:val="nil"/>
            </w:tcBorders>
            <w:noWrap/>
          </w:tcPr>
          <w:p w14:paraId="59ACEC89"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6 weeks</w:t>
            </w:r>
          </w:p>
        </w:tc>
      </w:tr>
      <w:tr w:rsidR="00AB5106" w14:paraId="59ACEC8E" w14:textId="77777777">
        <w:trPr>
          <w:trHeight w:val="697"/>
        </w:trPr>
        <w:tc>
          <w:tcPr>
            <w:tcW w:w="2209" w:type="dxa"/>
            <w:vMerge/>
            <w:tcBorders>
              <w:tl2br w:val="nil"/>
              <w:tr2bl w:val="nil"/>
            </w:tcBorders>
          </w:tcPr>
          <w:p w14:paraId="59ACEC8B"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8C"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 xml:space="preserve">Total Symptom score: Symptoms of chronic unexplained nausea, vomiting, abdominal pain, bloating, and early satiety were each given a value from 0 to 3 (none to severe) with a total possible symptom score of 0 to 15. </w:t>
            </w:r>
          </w:p>
        </w:tc>
        <w:tc>
          <w:tcPr>
            <w:tcW w:w="1444" w:type="dxa"/>
            <w:tcBorders>
              <w:tl2br w:val="nil"/>
              <w:tr2bl w:val="nil"/>
            </w:tcBorders>
            <w:noWrap/>
          </w:tcPr>
          <w:p w14:paraId="59ACEC8D"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6 weeks</w:t>
            </w:r>
          </w:p>
        </w:tc>
      </w:tr>
      <w:tr w:rsidR="00AB5106" w14:paraId="59ACEC92" w14:textId="77777777">
        <w:trPr>
          <w:trHeight w:val="358"/>
        </w:trPr>
        <w:tc>
          <w:tcPr>
            <w:tcW w:w="2209" w:type="dxa"/>
            <w:vMerge w:val="restart"/>
            <w:tcBorders>
              <w:tl2br w:val="nil"/>
              <w:tr2bl w:val="nil"/>
            </w:tcBorders>
            <w:noWrap/>
          </w:tcPr>
          <w:p w14:paraId="59ACEC8F"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Matsueda 2005</w:t>
            </w:r>
          </w:p>
        </w:tc>
        <w:tc>
          <w:tcPr>
            <w:tcW w:w="10980" w:type="dxa"/>
            <w:tcBorders>
              <w:tl2br w:val="nil"/>
              <w:tr2bl w:val="nil"/>
            </w:tcBorders>
          </w:tcPr>
          <w:p w14:paraId="59ACEC90"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 xml:space="preserve">Effective rate: </w:t>
            </w:r>
            <w:bookmarkStart w:id="1" w:name="_Hlk136280906"/>
            <w:r>
              <w:rPr>
                <w:rFonts w:ascii="Times New Roman" w:eastAsia="宋体" w:hAnsi="Times New Roman" w:cs="Times New Roman"/>
                <w:color w:val="auto"/>
              </w:rPr>
              <w:t xml:space="preserve">Patient’s </w:t>
            </w:r>
            <w:bookmarkStart w:id="2" w:name="_Hlk136280844"/>
            <w:r>
              <w:rPr>
                <w:rFonts w:ascii="Times New Roman" w:eastAsia="宋体" w:hAnsi="Times New Roman" w:cs="Times New Roman"/>
                <w:color w:val="auto"/>
              </w:rPr>
              <w:t>Global Symptomatic Improvement</w:t>
            </w:r>
            <w:bookmarkEnd w:id="2"/>
            <w:r>
              <w:rPr>
                <w:rFonts w:ascii="Times New Roman" w:eastAsia="宋体" w:hAnsi="Times New Roman" w:cs="Times New Roman"/>
                <w:color w:val="auto"/>
              </w:rPr>
              <w:t xml:space="preserve"> (PGSI)</w:t>
            </w:r>
            <w:bookmarkEnd w:id="1"/>
          </w:p>
        </w:tc>
        <w:tc>
          <w:tcPr>
            <w:tcW w:w="1444" w:type="dxa"/>
            <w:tcBorders>
              <w:tl2br w:val="nil"/>
              <w:tr2bl w:val="nil"/>
            </w:tcBorders>
            <w:noWrap/>
          </w:tcPr>
          <w:p w14:paraId="59ACEC91"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96" w14:textId="77777777">
        <w:trPr>
          <w:trHeight w:val="358"/>
        </w:trPr>
        <w:tc>
          <w:tcPr>
            <w:tcW w:w="2209" w:type="dxa"/>
            <w:vMerge/>
            <w:tcBorders>
              <w:tl2br w:val="nil"/>
              <w:tr2bl w:val="nil"/>
            </w:tcBorders>
            <w:noWrap/>
          </w:tcPr>
          <w:p w14:paraId="59ACEC93"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94"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Adverse events: assessed by laboratory tests, adverse events (AE) and ECG</w:t>
            </w:r>
          </w:p>
        </w:tc>
        <w:tc>
          <w:tcPr>
            <w:tcW w:w="1444" w:type="dxa"/>
            <w:tcBorders>
              <w:tl2br w:val="nil"/>
              <w:tr2bl w:val="nil"/>
            </w:tcBorders>
            <w:noWrap/>
          </w:tcPr>
          <w:p w14:paraId="59ACEC95"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9C" w14:textId="77777777">
        <w:trPr>
          <w:trHeight w:val="840"/>
        </w:trPr>
        <w:tc>
          <w:tcPr>
            <w:tcW w:w="2209" w:type="dxa"/>
            <w:vMerge w:val="restart"/>
            <w:tcBorders>
              <w:tl2br w:val="nil"/>
              <w:tr2bl w:val="nil"/>
            </w:tcBorders>
            <w:noWrap/>
          </w:tcPr>
          <w:p w14:paraId="59ACEC97"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Li 2005</w:t>
            </w:r>
          </w:p>
        </w:tc>
        <w:tc>
          <w:tcPr>
            <w:tcW w:w="10980" w:type="dxa"/>
            <w:tcBorders>
              <w:tl2br w:val="nil"/>
              <w:tr2bl w:val="nil"/>
            </w:tcBorders>
          </w:tcPr>
          <w:p w14:paraId="59ACEC98"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Total Effective rate: The symptom score was recorded according to 4 grade scale (0-3): Grade0 (0 point): asymptomatic. Grade1 (1 point): mild but none obvious symtoms; Grade2 (2 points): slightly severe symptoms, but did not affect work; Grade 3 (3 points): severe symptoms, difficult to persist in work. The symptom score was calculated as the total score of early satiety and abdominal distension. The symptom scores were measured before and after treatment; Clinical response rate = number of cases with complete clinical response + markedly clinical response / total number of cases x 100%; Symptoms disappear as completely clinical response; symptom improvement percentage ≥ 80% as marked improvement; 50% ≤ symptom improvement percentage &lt; 80% as slight but clear improvement; symptom improvement percentage &lt; 50% as no improvement; symptom improvement percentage negative as deterioration.</w:t>
            </w:r>
          </w:p>
        </w:tc>
        <w:tc>
          <w:tcPr>
            <w:tcW w:w="1444" w:type="dxa"/>
            <w:tcBorders>
              <w:tl2br w:val="nil"/>
              <w:tr2bl w:val="nil"/>
            </w:tcBorders>
            <w:noWrap/>
          </w:tcPr>
          <w:p w14:paraId="59ACEC99"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 xml:space="preserve">1 week, </w:t>
            </w:r>
          </w:p>
          <w:p w14:paraId="59ACEC9A"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 xml:space="preserve">2 weeks, </w:t>
            </w:r>
          </w:p>
          <w:p w14:paraId="59ACEC9B"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A0" w14:textId="77777777">
        <w:trPr>
          <w:trHeight w:val="840"/>
        </w:trPr>
        <w:tc>
          <w:tcPr>
            <w:tcW w:w="2209" w:type="dxa"/>
            <w:vMerge/>
            <w:tcBorders>
              <w:tl2br w:val="nil"/>
              <w:tr2bl w:val="nil"/>
            </w:tcBorders>
          </w:tcPr>
          <w:p w14:paraId="59ACEC9D"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9E" w14:textId="77777777" w:rsidR="00AB5106" w:rsidRDefault="00A9240F">
            <w:pPr>
              <w:framePr w:wrap="auto" w:yAlign="inline"/>
              <w:rPr>
                <w:rFonts w:ascii="Times New Roman" w:eastAsia="宋体" w:hAnsi="Times New Roman" w:cs="Times New Roman"/>
                <w:color w:val="auto"/>
                <w:kern w:val="0"/>
              </w:rPr>
            </w:pPr>
            <w:r>
              <w:rPr>
                <w:rFonts w:ascii="Times New Roman" w:eastAsia="宋体" w:hAnsi="Times New Roman" w:cs="Times New Roman"/>
                <w:color w:val="auto"/>
              </w:rPr>
              <w:t>Adverse events: The electrocardiogram, blood routine, urine routine, liver and renal function, blood electrolyte and fecal occult blood were examined before the trial and within 24 hours after the course of treatment. the number of abnormal laboratory indexes was recorded and the relationship with drugs was analyzed.</w:t>
            </w:r>
          </w:p>
        </w:tc>
        <w:tc>
          <w:tcPr>
            <w:tcW w:w="1444" w:type="dxa"/>
            <w:tcBorders>
              <w:tl2br w:val="nil"/>
              <w:tr2bl w:val="nil"/>
            </w:tcBorders>
            <w:noWrap/>
          </w:tcPr>
          <w:p w14:paraId="59ACEC9F"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Before the trial and within 24 hours after  treatment.</w:t>
            </w:r>
          </w:p>
        </w:tc>
      </w:tr>
      <w:tr w:rsidR="00AB5106" w14:paraId="59ACECA5" w14:textId="77777777">
        <w:trPr>
          <w:trHeight w:val="1910"/>
        </w:trPr>
        <w:tc>
          <w:tcPr>
            <w:tcW w:w="2209" w:type="dxa"/>
            <w:tcBorders>
              <w:tl2br w:val="nil"/>
              <w:tr2bl w:val="nil"/>
            </w:tcBorders>
            <w:noWrap/>
          </w:tcPr>
          <w:p w14:paraId="59ACECA1"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lastRenderedPageBreak/>
              <w:t>Sun 2003</w:t>
            </w:r>
          </w:p>
        </w:tc>
        <w:tc>
          <w:tcPr>
            <w:tcW w:w="10980" w:type="dxa"/>
            <w:tcBorders>
              <w:tl2br w:val="nil"/>
              <w:tr2bl w:val="nil"/>
            </w:tcBorders>
          </w:tcPr>
          <w:p w14:paraId="59ACECA2"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Early satiation effective rate: Total clinical response rate = number of cases with complete clinical response + markedly clinical response / total number of cases x 100%; The symptom score was recorded according to 4 grade scale (0-3): Grade0 (0 point): asymptomatic. Grade1 (1 point): mild but none obvious symtoms; Grade2 (2 points): slightly severe symptoms, but did not affect work; Grade 3 (3 points): severe symptoms, difficult to persist in work. The symptom score was calculated as the total score of early satiety and abdominal distension. The symptom scores were measured before and after treatment; Individual symptoms were rated according to the following criteria: Completely clinical response: symptoms improved by 3 grades or eliminated completely after treatment; Markedly clinical response: symptoms improved by 2 grades but not completely eliminated after treatment; Clinical response: symptoms improved by 1 grade but not completely eliminated after treatment; No effect: symptoms were progressed or no improvement.</w:t>
            </w:r>
          </w:p>
        </w:tc>
        <w:tc>
          <w:tcPr>
            <w:tcW w:w="1444" w:type="dxa"/>
            <w:tcBorders>
              <w:tl2br w:val="nil"/>
              <w:tr2bl w:val="nil"/>
            </w:tcBorders>
            <w:noWrap/>
          </w:tcPr>
          <w:p w14:paraId="59ACECA3"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 xml:space="preserve">1 week, </w:t>
            </w:r>
          </w:p>
          <w:p w14:paraId="59ACECA4"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2 weeks</w:t>
            </w:r>
          </w:p>
        </w:tc>
      </w:tr>
      <w:tr w:rsidR="00AB5106" w14:paraId="59ACECA9" w14:textId="77777777">
        <w:trPr>
          <w:trHeight w:val="1550"/>
        </w:trPr>
        <w:tc>
          <w:tcPr>
            <w:tcW w:w="2209" w:type="dxa"/>
            <w:vMerge w:val="restart"/>
            <w:tcBorders>
              <w:tl2br w:val="nil"/>
              <w:tr2bl w:val="nil"/>
            </w:tcBorders>
            <w:noWrap/>
          </w:tcPr>
          <w:p w14:paraId="59ACECA6"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Matsueda 2011</w:t>
            </w:r>
          </w:p>
        </w:tc>
        <w:tc>
          <w:tcPr>
            <w:tcW w:w="10980" w:type="dxa"/>
            <w:tcBorders>
              <w:tl2br w:val="nil"/>
              <w:tr2bl w:val="nil"/>
            </w:tcBorders>
          </w:tcPr>
          <w:p w14:paraId="59ACECA7"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Total Effective rate: rated each of nine symptoms (upper abdominal pain, upper abdominal discomfort, postprandial fullness, upper abdominal bloating, early satiation, excessive belching, nausea, vomiting and heartburn) on a severity scale of 0-3 (none, mild, moderate and severe) using paper diaries; a global assessment of the OTE questionnaire. This was scored in the paper diaries on a seven-point Likert scale, ranging from ‘extremely improved compared with the baseline period’, ‘improved compared with the baseline period’, ‘slightly improved compared with the baseline period’, ‘not changed’, ‘slightly aggravated compared with the baseline period’, ‘aggravated compared with the baseline period’ and ‘extremely aggravated compared with the baseline period’; achieving the two primary overall efficacy end points: “extremely improved” or“improved” were considered responders.</w:t>
            </w:r>
          </w:p>
        </w:tc>
        <w:tc>
          <w:tcPr>
            <w:tcW w:w="1444" w:type="dxa"/>
            <w:tcBorders>
              <w:tl2br w:val="nil"/>
              <w:tr2bl w:val="nil"/>
            </w:tcBorders>
            <w:noWrap/>
          </w:tcPr>
          <w:p w14:paraId="59ACECA8"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8 weeks</w:t>
            </w:r>
          </w:p>
        </w:tc>
      </w:tr>
      <w:tr w:rsidR="00AB5106" w14:paraId="59ACECAD" w14:textId="77777777">
        <w:trPr>
          <w:trHeight w:val="717"/>
        </w:trPr>
        <w:tc>
          <w:tcPr>
            <w:tcW w:w="2209" w:type="dxa"/>
            <w:vMerge/>
            <w:tcBorders>
              <w:tl2br w:val="nil"/>
              <w:tr2bl w:val="nil"/>
            </w:tcBorders>
            <w:noWrap/>
          </w:tcPr>
          <w:p w14:paraId="59ACECAA"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AB"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Adverse events: results of electrocardiography, clinical laboratory tests and physical examinations were evaluated at the baseline visit, at week 4 of treatment and at week 4 of the post-treatmentfollow-up period.</w:t>
            </w:r>
          </w:p>
        </w:tc>
        <w:tc>
          <w:tcPr>
            <w:tcW w:w="1444" w:type="dxa"/>
            <w:tcBorders>
              <w:tl2br w:val="nil"/>
              <w:tr2bl w:val="nil"/>
            </w:tcBorders>
            <w:noWrap/>
          </w:tcPr>
          <w:p w14:paraId="59ACECAC"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8 weeks</w:t>
            </w:r>
          </w:p>
        </w:tc>
      </w:tr>
      <w:tr w:rsidR="00AB5106" w14:paraId="59ACECB2" w14:textId="77777777">
        <w:trPr>
          <w:trHeight w:val="980"/>
        </w:trPr>
        <w:tc>
          <w:tcPr>
            <w:tcW w:w="2209" w:type="dxa"/>
            <w:tcBorders>
              <w:tl2br w:val="nil"/>
              <w:tr2bl w:val="nil"/>
            </w:tcBorders>
            <w:noWrap/>
          </w:tcPr>
          <w:p w14:paraId="59ACECAE"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Mierop 1979</w:t>
            </w:r>
          </w:p>
        </w:tc>
        <w:tc>
          <w:tcPr>
            <w:tcW w:w="10980" w:type="dxa"/>
            <w:tcBorders>
              <w:tl2br w:val="nil"/>
              <w:tr2bl w:val="nil"/>
            </w:tcBorders>
          </w:tcPr>
          <w:p w14:paraId="59ACECAF"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Effective rate: the therapeutic effect obtained was individually assessed by means of a global appreciation score; Rating possibilities for the global appreciation were: excellent (rapid and sustained disappearance of the cardinal symptoms), good (marked improvement), moderate (slight but clear improvement), poor (no or almost no improvement). Excellent+good=efficacy; Efficacy%=</w:t>
            </w:r>
            <w:r>
              <w:rPr>
                <w:rFonts w:ascii="Times New Roman" w:eastAsia="宋体" w:hAnsi="Times New Roman" w:cs="Times New Roman"/>
                <w:color w:val="auto"/>
              </w:rPr>
              <w:t>（</w:t>
            </w:r>
            <w:r>
              <w:rPr>
                <w:rFonts w:ascii="Times New Roman" w:eastAsia="宋体" w:hAnsi="Times New Roman" w:cs="Times New Roman"/>
                <w:color w:val="auto"/>
              </w:rPr>
              <w:t>excellent+good</w:t>
            </w:r>
            <w:r>
              <w:rPr>
                <w:rFonts w:ascii="Times New Roman" w:eastAsia="宋体" w:hAnsi="Times New Roman" w:cs="Times New Roman"/>
                <w:color w:val="auto"/>
              </w:rPr>
              <w:t>）</w:t>
            </w:r>
            <w:r>
              <w:rPr>
                <w:rFonts w:ascii="Times New Roman" w:eastAsia="宋体" w:hAnsi="Times New Roman" w:cs="Times New Roman"/>
                <w:color w:val="auto"/>
              </w:rPr>
              <w:t>/total*100%</w:t>
            </w:r>
          </w:p>
        </w:tc>
        <w:tc>
          <w:tcPr>
            <w:tcW w:w="1444" w:type="dxa"/>
            <w:tcBorders>
              <w:tl2br w:val="nil"/>
              <w:tr2bl w:val="nil"/>
            </w:tcBorders>
            <w:noWrap/>
          </w:tcPr>
          <w:p w14:paraId="59ACECB0"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 xml:space="preserve">2 weeks, </w:t>
            </w:r>
          </w:p>
          <w:p w14:paraId="59ACECB1"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B6" w14:textId="77777777">
        <w:trPr>
          <w:trHeight w:val="310"/>
        </w:trPr>
        <w:tc>
          <w:tcPr>
            <w:tcW w:w="2209" w:type="dxa"/>
            <w:tcBorders>
              <w:tl2br w:val="nil"/>
              <w:tr2bl w:val="nil"/>
            </w:tcBorders>
            <w:noWrap/>
          </w:tcPr>
          <w:p w14:paraId="59ACECB3"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Van Ganse W 1978</w:t>
            </w:r>
          </w:p>
        </w:tc>
        <w:tc>
          <w:tcPr>
            <w:tcW w:w="10980" w:type="dxa"/>
            <w:tcBorders>
              <w:tl2br w:val="nil"/>
              <w:tr2bl w:val="nil"/>
            </w:tcBorders>
          </w:tcPr>
          <w:p w14:paraId="59ACECB4"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Total effective rate: NR</w:t>
            </w:r>
          </w:p>
        </w:tc>
        <w:tc>
          <w:tcPr>
            <w:tcW w:w="1444" w:type="dxa"/>
            <w:tcBorders>
              <w:tl2br w:val="nil"/>
              <w:tr2bl w:val="nil"/>
            </w:tcBorders>
            <w:noWrap/>
          </w:tcPr>
          <w:p w14:paraId="59ACECB5"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NR</w:t>
            </w:r>
          </w:p>
        </w:tc>
      </w:tr>
      <w:tr w:rsidR="00AB5106" w14:paraId="59ACECBA" w14:textId="77777777">
        <w:trPr>
          <w:trHeight w:val="310"/>
        </w:trPr>
        <w:tc>
          <w:tcPr>
            <w:tcW w:w="2209" w:type="dxa"/>
            <w:tcBorders>
              <w:tl2br w:val="nil"/>
              <w:tr2bl w:val="nil"/>
            </w:tcBorders>
            <w:noWrap/>
          </w:tcPr>
          <w:p w14:paraId="59ACECB7"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Bekhti A 1979</w:t>
            </w:r>
          </w:p>
        </w:tc>
        <w:tc>
          <w:tcPr>
            <w:tcW w:w="10980" w:type="dxa"/>
            <w:tcBorders>
              <w:tl2br w:val="nil"/>
              <w:tr2bl w:val="nil"/>
            </w:tcBorders>
          </w:tcPr>
          <w:p w14:paraId="59ACECB8"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Total effective rate: NR</w:t>
            </w:r>
          </w:p>
        </w:tc>
        <w:tc>
          <w:tcPr>
            <w:tcW w:w="1444" w:type="dxa"/>
            <w:tcBorders>
              <w:tl2br w:val="nil"/>
              <w:tr2bl w:val="nil"/>
            </w:tcBorders>
            <w:noWrap/>
          </w:tcPr>
          <w:p w14:paraId="59ACECB9"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NR</w:t>
            </w:r>
          </w:p>
        </w:tc>
      </w:tr>
      <w:tr w:rsidR="00AB5106" w14:paraId="59ACECBE" w14:textId="77777777">
        <w:trPr>
          <w:trHeight w:val="310"/>
        </w:trPr>
        <w:tc>
          <w:tcPr>
            <w:tcW w:w="2209" w:type="dxa"/>
            <w:tcBorders>
              <w:tl2br w:val="nil"/>
              <w:tr2bl w:val="nil"/>
            </w:tcBorders>
            <w:noWrap/>
          </w:tcPr>
          <w:p w14:paraId="59ACECBB"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De Loose F 1979</w:t>
            </w:r>
          </w:p>
        </w:tc>
        <w:tc>
          <w:tcPr>
            <w:tcW w:w="10980" w:type="dxa"/>
            <w:tcBorders>
              <w:tl2br w:val="nil"/>
              <w:tr2bl w:val="nil"/>
            </w:tcBorders>
          </w:tcPr>
          <w:p w14:paraId="59ACECBC"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Total effective rate: NR</w:t>
            </w:r>
          </w:p>
        </w:tc>
        <w:tc>
          <w:tcPr>
            <w:tcW w:w="1444" w:type="dxa"/>
            <w:tcBorders>
              <w:tl2br w:val="nil"/>
              <w:tr2bl w:val="nil"/>
            </w:tcBorders>
            <w:noWrap/>
          </w:tcPr>
          <w:p w14:paraId="59ACECBD"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NR</w:t>
            </w:r>
          </w:p>
        </w:tc>
      </w:tr>
      <w:tr w:rsidR="00AB5106" w14:paraId="59ACECC2" w14:textId="77777777">
        <w:trPr>
          <w:trHeight w:val="310"/>
        </w:trPr>
        <w:tc>
          <w:tcPr>
            <w:tcW w:w="2209" w:type="dxa"/>
            <w:tcBorders>
              <w:tl2br w:val="nil"/>
              <w:tr2bl w:val="nil"/>
            </w:tcBorders>
            <w:noWrap/>
          </w:tcPr>
          <w:p w14:paraId="59ACECBF"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Van Outryve M 1979</w:t>
            </w:r>
          </w:p>
        </w:tc>
        <w:tc>
          <w:tcPr>
            <w:tcW w:w="10980" w:type="dxa"/>
            <w:tcBorders>
              <w:tl2br w:val="nil"/>
              <w:tr2bl w:val="nil"/>
            </w:tcBorders>
          </w:tcPr>
          <w:p w14:paraId="59ACECC0"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Total effective rate: NR</w:t>
            </w:r>
          </w:p>
        </w:tc>
        <w:tc>
          <w:tcPr>
            <w:tcW w:w="1444" w:type="dxa"/>
            <w:tcBorders>
              <w:tl2br w:val="nil"/>
              <w:tr2bl w:val="nil"/>
            </w:tcBorders>
            <w:noWrap/>
          </w:tcPr>
          <w:p w14:paraId="59ACECC1"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NR</w:t>
            </w:r>
          </w:p>
        </w:tc>
      </w:tr>
      <w:tr w:rsidR="00AB5106" w14:paraId="59ACECC6" w14:textId="77777777">
        <w:trPr>
          <w:trHeight w:val="310"/>
        </w:trPr>
        <w:tc>
          <w:tcPr>
            <w:tcW w:w="2209" w:type="dxa"/>
            <w:tcBorders>
              <w:tl2br w:val="nil"/>
              <w:tr2bl w:val="nil"/>
            </w:tcBorders>
            <w:noWrap/>
          </w:tcPr>
          <w:p w14:paraId="59ACECC3"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Amaranpukar DN 2004</w:t>
            </w:r>
          </w:p>
        </w:tc>
        <w:tc>
          <w:tcPr>
            <w:tcW w:w="10980" w:type="dxa"/>
            <w:tcBorders>
              <w:tl2br w:val="nil"/>
              <w:tr2bl w:val="nil"/>
            </w:tcBorders>
          </w:tcPr>
          <w:p w14:paraId="59ACECC4"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Total effective rate: NR</w:t>
            </w:r>
          </w:p>
        </w:tc>
        <w:tc>
          <w:tcPr>
            <w:tcW w:w="1444" w:type="dxa"/>
            <w:tcBorders>
              <w:tl2br w:val="nil"/>
              <w:tr2bl w:val="nil"/>
            </w:tcBorders>
            <w:noWrap/>
          </w:tcPr>
          <w:p w14:paraId="59ACECC5"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NR</w:t>
            </w:r>
          </w:p>
        </w:tc>
      </w:tr>
      <w:tr w:rsidR="00AB5106" w14:paraId="59ACECCA" w14:textId="77777777">
        <w:trPr>
          <w:trHeight w:val="310"/>
        </w:trPr>
        <w:tc>
          <w:tcPr>
            <w:tcW w:w="2209" w:type="dxa"/>
            <w:tcBorders>
              <w:tl2br w:val="nil"/>
              <w:tr2bl w:val="nil"/>
            </w:tcBorders>
            <w:noWrap/>
          </w:tcPr>
          <w:p w14:paraId="59ACECC7"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Talley NJ 2008</w:t>
            </w:r>
          </w:p>
        </w:tc>
        <w:tc>
          <w:tcPr>
            <w:tcW w:w="10980" w:type="dxa"/>
            <w:tcBorders>
              <w:tl2br w:val="nil"/>
              <w:tr2bl w:val="nil"/>
            </w:tcBorders>
          </w:tcPr>
          <w:p w14:paraId="59ACECC8"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Total effective rate: NR</w:t>
            </w:r>
          </w:p>
        </w:tc>
        <w:tc>
          <w:tcPr>
            <w:tcW w:w="1444" w:type="dxa"/>
            <w:tcBorders>
              <w:tl2br w:val="nil"/>
              <w:tr2bl w:val="nil"/>
            </w:tcBorders>
            <w:noWrap/>
          </w:tcPr>
          <w:p w14:paraId="59ACECC9"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NR</w:t>
            </w:r>
          </w:p>
        </w:tc>
      </w:tr>
      <w:tr w:rsidR="00AB5106" w14:paraId="59ACECCE" w14:textId="77777777">
        <w:trPr>
          <w:trHeight w:val="310"/>
        </w:trPr>
        <w:tc>
          <w:tcPr>
            <w:tcW w:w="2209" w:type="dxa"/>
            <w:tcBorders>
              <w:tl2br w:val="nil"/>
              <w:tr2bl w:val="nil"/>
            </w:tcBorders>
            <w:noWrap/>
          </w:tcPr>
          <w:p w14:paraId="59ACECCB"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Yeon-Mi Kim 2010</w:t>
            </w:r>
          </w:p>
        </w:tc>
        <w:tc>
          <w:tcPr>
            <w:tcW w:w="10980" w:type="dxa"/>
            <w:tcBorders>
              <w:tl2br w:val="nil"/>
              <w:tr2bl w:val="nil"/>
            </w:tcBorders>
          </w:tcPr>
          <w:p w14:paraId="59ACECCC"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Total effective rate: NR</w:t>
            </w:r>
          </w:p>
        </w:tc>
        <w:tc>
          <w:tcPr>
            <w:tcW w:w="1444" w:type="dxa"/>
            <w:tcBorders>
              <w:tl2br w:val="nil"/>
              <w:tr2bl w:val="nil"/>
            </w:tcBorders>
            <w:noWrap/>
          </w:tcPr>
          <w:p w14:paraId="59ACECCD"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NR</w:t>
            </w:r>
          </w:p>
        </w:tc>
      </w:tr>
      <w:tr w:rsidR="00AB5106" w14:paraId="59ACECD2" w14:textId="77777777">
        <w:trPr>
          <w:trHeight w:val="310"/>
        </w:trPr>
        <w:tc>
          <w:tcPr>
            <w:tcW w:w="2209" w:type="dxa"/>
            <w:tcBorders>
              <w:tl2br w:val="nil"/>
              <w:tr2bl w:val="nil"/>
            </w:tcBorders>
            <w:noWrap/>
          </w:tcPr>
          <w:p w14:paraId="59ACECCF"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lastRenderedPageBreak/>
              <w:t>Du 2014</w:t>
            </w:r>
          </w:p>
        </w:tc>
        <w:tc>
          <w:tcPr>
            <w:tcW w:w="10980" w:type="dxa"/>
            <w:tcBorders>
              <w:tl2br w:val="nil"/>
              <w:tr2bl w:val="nil"/>
            </w:tcBorders>
          </w:tcPr>
          <w:p w14:paraId="59ACECD0"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Total effective rate: FD symptoms mean score:The total symptom score consisted of the sum of 3 symptoms</w:t>
            </w:r>
            <w:r>
              <w:rPr>
                <w:rFonts w:ascii="Times New Roman" w:eastAsia="宋体" w:hAnsi="Times New Roman" w:cs="Times New Roman"/>
                <w:color w:val="auto"/>
              </w:rPr>
              <w:t>（</w:t>
            </w:r>
            <w:r>
              <w:rPr>
                <w:rFonts w:ascii="Times New Roman" w:eastAsia="宋体" w:hAnsi="Times New Roman" w:cs="Times New Roman"/>
                <w:color w:val="auto"/>
              </w:rPr>
              <w:t>early satiation,postprandial fullness, bloating</w:t>
            </w:r>
            <w:r>
              <w:rPr>
                <w:rFonts w:ascii="Times New Roman" w:eastAsia="宋体" w:hAnsi="Times New Roman" w:cs="Times New Roman"/>
                <w:color w:val="auto"/>
              </w:rPr>
              <w:t>）</w:t>
            </w:r>
            <w:r>
              <w:rPr>
                <w:rFonts w:ascii="Times New Roman" w:eastAsia="宋体" w:hAnsi="Times New Roman" w:cs="Times New Roman"/>
                <w:color w:val="auto"/>
              </w:rPr>
              <w:t>. Patients assessed severity of their own symptoms using a 5-point Likert scale: none (0), mild (1), moderate (2), severe (3), and extremely (4); Symptom frequency was also assessed using a 5-point Likert scale: none (0), &lt;1 d/wk (1), 1 d/wk (2), &gt;1 d/wk (3), and everyday (4)</w:t>
            </w:r>
            <w:r>
              <w:rPr>
                <w:rFonts w:ascii="Times New Roman" w:eastAsia="宋体" w:hAnsi="Times New Roman" w:cs="Times New Roman"/>
                <w:color w:val="auto"/>
              </w:rPr>
              <w:t>；</w:t>
            </w:r>
            <w:r>
              <w:rPr>
                <w:rFonts w:ascii="Times New Roman" w:eastAsia="宋体" w:hAnsi="Times New Roman" w:cs="Times New Roman"/>
                <w:color w:val="auto"/>
              </w:rPr>
              <w:t>Total score was obtained by summing each symptom severity multiplied by its frequency, and a value of 48 points represented the most severe symptom intensity.</w:t>
            </w:r>
          </w:p>
        </w:tc>
        <w:tc>
          <w:tcPr>
            <w:tcW w:w="1444" w:type="dxa"/>
            <w:tcBorders>
              <w:tl2br w:val="nil"/>
              <w:tr2bl w:val="nil"/>
            </w:tcBorders>
            <w:noWrap/>
          </w:tcPr>
          <w:p w14:paraId="59ACECD1"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D6" w14:textId="77777777">
        <w:trPr>
          <w:trHeight w:val="310"/>
        </w:trPr>
        <w:tc>
          <w:tcPr>
            <w:tcW w:w="2209" w:type="dxa"/>
            <w:tcBorders>
              <w:tl2br w:val="nil"/>
              <w:tr2bl w:val="nil"/>
            </w:tcBorders>
            <w:noWrap/>
          </w:tcPr>
          <w:p w14:paraId="59ACECD3" w14:textId="77777777" w:rsidR="00AB5106" w:rsidRDefault="00AB5106">
            <w:pPr>
              <w:framePr w:wrap="auto" w:yAlign="inline"/>
              <w:rPr>
                <w:rFonts w:ascii="Times New Roman" w:eastAsia="宋体" w:hAnsi="Times New Roman" w:cs="Times New Roman"/>
                <w:color w:val="auto"/>
              </w:rPr>
            </w:pPr>
          </w:p>
        </w:tc>
        <w:tc>
          <w:tcPr>
            <w:tcW w:w="10980" w:type="dxa"/>
            <w:tcBorders>
              <w:tl2br w:val="nil"/>
              <w:tr2bl w:val="nil"/>
            </w:tcBorders>
          </w:tcPr>
          <w:p w14:paraId="59ACECD4"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Adverse events: potential cardiovascular side effects were evaluated using 12-lead ECG after 2 and 4 weeks and at additional times, if necessary. The incidence rates of adverse events (AEs) and adverse drug reactions (ADRs) were also evaluated.</w:t>
            </w:r>
          </w:p>
        </w:tc>
        <w:tc>
          <w:tcPr>
            <w:tcW w:w="1444" w:type="dxa"/>
            <w:tcBorders>
              <w:tl2br w:val="nil"/>
              <w:tr2bl w:val="nil"/>
            </w:tcBorders>
            <w:noWrap/>
          </w:tcPr>
          <w:p w14:paraId="59ACECD5"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4 weeks</w:t>
            </w:r>
          </w:p>
        </w:tc>
      </w:tr>
      <w:tr w:rsidR="00AB5106" w14:paraId="59ACECDA" w14:textId="77777777">
        <w:trPr>
          <w:trHeight w:val="310"/>
        </w:trPr>
        <w:tc>
          <w:tcPr>
            <w:tcW w:w="2209" w:type="dxa"/>
            <w:tcBorders>
              <w:tl2br w:val="nil"/>
              <w:tr2bl w:val="nil"/>
            </w:tcBorders>
            <w:noWrap/>
          </w:tcPr>
          <w:p w14:paraId="59ACECD7"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MORA 1993</w:t>
            </w:r>
          </w:p>
        </w:tc>
        <w:tc>
          <w:tcPr>
            <w:tcW w:w="10980" w:type="dxa"/>
            <w:tcBorders>
              <w:tl2br w:val="nil"/>
              <w:tr2bl w:val="nil"/>
            </w:tcBorders>
          </w:tcPr>
          <w:p w14:paraId="59ACECD8"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Total Effective rate: At the end of each treatment phase, an overall assessment was conducted and the results were compared with those of the previous phase. The evaluation results were divided into the following levels: good = symptoms disappeared; general = symptoms improved, but some symptoms still existed; poor = no improvement; Evaluation symptoms include: postprandial upper abdominal flatulence, flatulence, epigastric pain, heartburn, reflux, nausea, vomiting, anorexia and abnormal defecation per week. According to the frequency and severity of the symptoms, it is divided into the following levels: 0 = asymptomatic; 1 = mild (patients should be reminded of symptoms) with low frequency (1 to 3 days a week); 2 = moderate intensity (patients are aware of symptoms but can perform regular activities) and moderate frequency (4 to 5 days a week); 3 = severe (patients can only occasionally carry out daily activities) and have a higher frequency (every day of the week).</w:t>
            </w:r>
          </w:p>
        </w:tc>
        <w:tc>
          <w:tcPr>
            <w:tcW w:w="1444" w:type="dxa"/>
            <w:tcBorders>
              <w:tl2br w:val="nil"/>
              <w:tr2bl w:val="nil"/>
            </w:tcBorders>
            <w:noWrap/>
          </w:tcPr>
          <w:p w14:paraId="59ACECD9" w14:textId="77777777" w:rsidR="00AB5106" w:rsidRDefault="00A9240F">
            <w:pPr>
              <w:framePr w:wrap="auto" w:yAlign="inline"/>
              <w:rPr>
                <w:rFonts w:ascii="Times New Roman" w:eastAsia="宋体" w:hAnsi="Times New Roman" w:cs="Times New Roman"/>
                <w:color w:val="auto"/>
              </w:rPr>
            </w:pPr>
            <w:r>
              <w:rPr>
                <w:rFonts w:ascii="Times New Roman" w:eastAsia="宋体" w:hAnsi="Times New Roman" w:cs="Times New Roman"/>
                <w:color w:val="auto"/>
              </w:rPr>
              <w:t>8 weeks</w:t>
            </w:r>
          </w:p>
        </w:tc>
      </w:tr>
      <w:tr w:rsidR="00AB5106" w14:paraId="59ACECDF" w14:textId="77777777">
        <w:trPr>
          <w:trHeight w:val="310"/>
        </w:trPr>
        <w:tc>
          <w:tcPr>
            <w:tcW w:w="2209" w:type="dxa"/>
            <w:tcBorders>
              <w:tl2br w:val="nil"/>
              <w:tr2bl w:val="nil"/>
            </w:tcBorders>
            <w:noWrap/>
          </w:tcPr>
          <w:p w14:paraId="59ACECDB" w14:textId="77777777" w:rsidR="00AB5106" w:rsidRDefault="00A9240F">
            <w:pPr>
              <w:framePr w:wrap="auto" w:yAlign="inline"/>
              <w:rPr>
                <w:rFonts w:ascii="Times New Roman" w:eastAsia="宋体" w:hAnsi="Times New Roman" w:cs="Times New Roman"/>
                <w:color w:val="auto"/>
              </w:rPr>
            </w:pPr>
            <w:r>
              <w:rPr>
                <w:rFonts w:ascii="Times New Roman" w:hAnsi="Times New Roman" w:hint="eastAsia"/>
              </w:rPr>
              <w:t>Sinha 2021</w:t>
            </w:r>
          </w:p>
        </w:tc>
        <w:tc>
          <w:tcPr>
            <w:tcW w:w="10980" w:type="dxa"/>
            <w:tcBorders>
              <w:tl2br w:val="nil"/>
              <w:tr2bl w:val="nil"/>
            </w:tcBorders>
          </w:tcPr>
          <w:p w14:paraId="59ACECDC" w14:textId="77777777" w:rsidR="00AB5106" w:rsidRDefault="00A9240F">
            <w:pPr>
              <w:framePr w:wrap="around"/>
            </w:pPr>
            <w:r>
              <w:rPr>
                <w:rFonts w:hint="eastAsia"/>
              </w:rPr>
              <w:t xml:space="preserve">Total effective rate: Responder rates based on overall treatment effect by using a seven-point Likert scale at the end of treatment visit was the primary efficacy endpoint. On the OTE scale, patients with </w:t>
            </w:r>
            <w:r>
              <w:t>“</w:t>
            </w:r>
            <w:r>
              <w:rPr>
                <w:rFonts w:hint="eastAsia"/>
              </w:rPr>
              <w:t>extremely improved</w:t>
            </w:r>
            <w:r>
              <w:t>”</w:t>
            </w:r>
            <w:r>
              <w:rPr>
                <w:rFonts w:hint="eastAsia"/>
              </w:rPr>
              <w:t xml:space="preserve"> or </w:t>
            </w:r>
            <w:r>
              <w:t>“</w:t>
            </w:r>
            <w:r>
              <w:rPr>
                <w:rFonts w:hint="eastAsia"/>
              </w:rPr>
              <w:t>improved</w:t>
            </w:r>
            <w:r>
              <w:t>”</w:t>
            </w:r>
            <w:r>
              <w:rPr>
                <w:rFonts w:hint="eastAsia"/>
              </w:rPr>
              <w:t xml:space="preserve"> were considered as responders. </w:t>
            </w:r>
          </w:p>
          <w:p w14:paraId="59ACECDD" w14:textId="77777777" w:rsidR="00AB5106" w:rsidRDefault="00A9240F">
            <w:pPr>
              <w:framePr w:wrap="auto" w:yAlign="inline"/>
              <w:rPr>
                <w:rFonts w:ascii="Times New Roman" w:eastAsia="宋体" w:hAnsi="Times New Roman" w:cs="Times New Roman"/>
                <w:color w:val="auto"/>
              </w:rPr>
            </w:pPr>
            <w:r>
              <w:rPr>
                <w:rFonts w:hint="eastAsia"/>
              </w:rPr>
              <w:t>Safety variables included all treatment-emergent clinical and laboratory adverse events</w:t>
            </w:r>
            <w:r>
              <w:rPr>
                <w:rFonts w:eastAsia="宋体" w:hint="eastAsia"/>
              </w:rPr>
              <w:t>.</w:t>
            </w:r>
          </w:p>
        </w:tc>
        <w:tc>
          <w:tcPr>
            <w:tcW w:w="1444" w:type="dxa"/>
            <w:tcBorders>
              <w:tl2br w:val="nil"/>
              <w:tr2bl w:val="nil"/>
            </w:tcBorders>
            <w:noWrap/>
          </w:tcPr>
          <w:p w14:paraId="59ACECDE" w14:textId="77777777" w:rsidR="00AB5106" w:rsidRDefault="00AB5106">
            <w:pPr>
              <w:framePr w:wrap="auto" w:yAlign="inline"/>
              <w:rPr>
                <w:rFonts w:ascii="Times New Roman" w:eastAsia="宋体" w:hAnsi="Times New Roman" w:cs="Times New Roman"/>
                <w:color w:val="auto"/>
              </w:rPr>
            </w:pPr>
          </w:p>
        </w:tc>
      </w:tr>
    </w:tbl>
    <w:p w14:paraId="59ACECE0" w14:textId="77777777" w:rsidR="00AB5106" w:rsidRDefault="00AB5106">
      <w:pPr>
        <w:framePr w:wrap="auto" w:yAlign="inline"/>
        <w:rPr>
          <w:rFonts w:ascii="Times New Roman" w:eastAsia="宋体" w:hAnsi="Times New Roman" w:cs="Times New Roman"/>
          <w:color w:val="auto"/>
          <w:szCs w:val="24"/>
        </w:rPr>
      </w:pPr>
    </w:p>
    <w:p w14:paraId="59ACECE1" w14:textId="77777777" w:rsidR="00AB5106" w:rsidRDefault="00A9240F">
      <w:pPr>
        <w:framePr w:wrap="auto" w:yAlign="inline"/>
        <w:rPr>
          <w:rFonts w:ascii="Times New Roman" w:eastAsia="宋体" w:hAnsi="Times New Roman" w:cs="Times New Roman"/>
          <w:color w:val="auto"/>
          <w:szCs w:val="24"/>
        </w:rPr>
      </w:pPr>
      <w:r>
        <w:rPr>
          <w:rFonts w:ascii="Times New Roman" w:eastAsia="宋体" w:hAnsi="Times New Roman" w:cs="Times New Roman"/>
          <w:color w:val="auto"/>
          <w:szCs w:val="24"/>
        </w:rPr>
        <w:t>Notes: FSSG: the modified frequency scale for the symptoms of gastroesophageal reflux disease questionnaire; GSRS: gastrointestinal symptom rating scale.</w:t>
      </w:r>
    </w:p>
    <w:p w14:paraId="59ACECE2" w14:textId="77777777" w:rsidR="00AB5106" w:rsidRDefault="00AB5106">
      <w:pPr>
        <w:framePr w:wrap="auto" w:yAlign="inline"/>
        <w:rPr>
          <w:rFonts w:ascii="Times New Roman" w:eastAsia="宋体" w:hAnsi="Times New Roman" w:cs="Times New Roman"/>
          <w:color w:val="auto"/>
          <w:szCs w:val="24"/>
        </w:rPr>
      </w:pPr>
    </w:p>
    <w:p w14:paraId="59ACECE3" w14:textId="77777777" w:rsidR="00AB5106" w:rsidRDefault="00AB5106">
      <w:pPr>
        <w:framePr w:wrap="auto" w:yAlign="inline"/>
        <w:rPr>
          <w:rFonts w:ascii="Times New Roman" w:eastAsia="宋体" w:hAnsi="Times New Roman" w:cs="Times New Roman"/>
          <w:color w:val="auto"/>
          <w:szCs w:val="24"/>
        </w:rPr>
      </w:pPr>
    </w:p>
    <w:p w14:paraId="59ACECE4" w14:textId="77777777" w:rsidR="00AB5106" w:rsidRDefault="00AB5106">
      <w:pPr>
        <w:framePr w:wrap="auto" w:yAlign="inline"/>
        <w:rPr>
          <w:rFonts w:ascii="Times New Roman" w:eastAsia="宋体" w:hAnsi="Times New Roman" w:cs="Times New Roman"/>
          <w:color w:val="auto"/>
          <w:szCs w:val="24"/>
        </w:rPr>
      </w:pPr>
    </w:p>
    <w:p w14:paraId="59ACECE5" w14:textId="77777777" w:rsidR="00AB5106" w:rsidRDefault="00AB5106">
      <w:pPr>
        <w:framePr w:wrap="auto" w:yAlign="inline"/>
        <w:rPr>
          <w:rFonts w:ascii="Times New Roman" w:eastAsia="宋体" w:hAnsi="Times New Roman" w:cs="Times New Roman"/>
          <w:color w:val="auto"/>
          <w:szCs w:val="24"/>
        </w:rPr>
      </w:pPr>
    </w:p>
    <w:p w14:paraId="59ACECE6" w14:textId="77777777" w:rsidR="00AB5106" w:rsidRDefault="00AB5106">
      <w:pPr>
        <w:framePr w:wrap="auto" w:yAlign="inline"/>
        <w:rPr>
          <w:rFonts w:ascii="Times New Roman" w:eastAsia="宋体" w:hAnsi="Times New Roman" w:cs="Times New Roman"/>
          <w:color w:val="auto"/>
          <w:szCs w:val="24"/>
        </w:rPr>
      </w:pPr>
    </w:p>
    <w:p w14:paraId="59ACECE7" w14:textId="77777777" w:rsidR="00AB5106" w:rsidRDefault="00AB5106">
      <w:pPr>
        <w:framePr w:wrap="auto" w:yAlign="inline"/>
        <w:rPr>
          <w:rFonts w:ascii="Times New Roman" w:eastAsia="宋体" w:hAnsi="Times New Roman" w:cs="Times New Roman"/>
          <w:color w:val="auto"/>
          <w:szCs w:val="24"/>
        </w:rPr>
      </w:pPr>
    </w:p>
    <w:p w14:paraId="59ACECE8" w14:textId="77777777" w:rsidR="00AB5106" w:rsidRDefault="00AB5106">
      <w:pPr>
        <w:framePr w:wrap="auto" w:yAlign="inline"/>
        <w:rPr>
          <w:rFonts w:ascii="Times New Roman" w:eastAsia="宋体" w:hAnsi="Times New Roman" w:cs="Times New Roman"/>
          <w:color w:val="auto"/>
          <w:szCs w:val="24"/>
        </w:rPr>
      </w:pPr>
    </w:p>
    <w:p w14:paraId="59ACECE9" w14:textId="77777777" w:rsidR="00AB5106" w:rsidRDefault="00AB5106">
      <w:pPr>
        <w:framePr w:wrap="auto" w:yAlign="inline"/>
        <w:rPr>
          <w:rFonts w:ascii="Times New Roman" w:eastAsia="宋体" w:hAnsi="Times New Roman" w:cs="Times New Roman"/>
          <w:color w:val="auto"/>
          <w:szCs w:val="24"/>
        </w:rPr>
      </w:pPr>
    </w:p>
    <w:p w14:paraId="59ACECEA" w14:textId="77777777" w:rsidR="00AB5106" w:rsidRDefault="00AB5106">
      <w:pPr>
        <w:framePr w:wrap="auto" w:yAlign="inline"/>
        <w:rPr>
          <w:rFonts w:ascii="Times New Roman" w:eastAsia="宋体" w:hAnsi="Times New Roman" w:cs="Times New Roman"/>
          <w:color w:val="auto"/>
          <w:szCs w:val="24"/>
        </w:rPr>
      </w:pPr>
    </w:p>
    <w:p w14:paraId="59ACECEB" w14:textId="77777777" w:rsidR="00AB5106" w:rsidRDefault="00AB5106">
      <w:pPr>
        <w:framePr w:wrap="auto" w:yAlign="inline"/>
        <w:rPr>
          <w:rFonts w:ascii="Times New Roman" w:eastAsia="宋体" w:hAnsi="Times New Roman" w:cs="Times New Roman"/>
          <w:color w:val="auto"/>
          <w:szCs w:val="24"/>
        </w:rPr>
      </w:pPr>
    </w:p>
    <w:p w14:paraId="59ACECEC" w14:textId="77777777" w:rsidR="00AB5106" w:rsidRDefault="00AB5106">
      <w:pPr>
        <w:framePr w:wrap="auto" w:yAlign="inline"/>
        <w:rPr>
          <w:rFonts w:ascii="Times New Roman" w:eastAsia="宋体" w:hAnsi="Times New Roman" w:cs="Times New Roman"/>
          <w:color w:val="auto"/>
          <w:szCs w:val="24"/>
        </w:rPr>
      </w:pPr>
    </w:p>
    <w:p w14:paraId="59ACECED" w14:textId="77777777" w:rsidR="00AB5106" w:rsidRDefault="00AB5106">
      <w:pPr>
        <w:framePr w:wrap="auto" w:yAlign="inline"/>
        <w:rPr>
          <w:rFonts w:ascii="Times New Roman" w:eastAsia="宋体" w:hAnsi="Times New Roman" w:cs="Times New Roman"/>
          <w:color w:val="auto"/>
          <w:szCs w:val="24"/>
        </w:rPr>
      </w:pPr>
    </w:p>
    <w:p w14:paraId="59ACECF2" w14:textId="77777777" w:rsidR="00AB5106" w:rsidRDefault="00A9240F">
      <w:pPr>
        <w:keepNext/>
        <w:framePr w:wrap="auto" w:yAlign="inline"/>
        <w:rPr>
          <w:rFonts w:ascii="Times New Roman" w:eastAsia="黑体" w:hAnsi="Times New Roman" w:cs="Times New Roman"/>
          <w:color w:val="auto"/>
          <w:sz w:val="20"/>
          <w:szCs w:val="20"/>
        </w:rPr>
      </w:pPr>
      <w:r>
        <w:rPr>
          <w:rFonts w:ascii="Times New Roman" w:eastAsia="黑体" w:hAnsi="Times New Roman" w:cs="Times New Roman"/>
          <w:color w:val="auto"/>
          <w:sz w:val="20"/>
          <w:szCs w:val="20"/>
        </w:rPr>
        <w:lastRenderedPageBreak/>
        <w:t>Supplementary Table 3 Description results of specific adverse event in Acotiamide, Domperidone, Itopride and Cinitapride.</w:t>
      </w:r>
    </w:p>
    <w:tbl>
      <w:tblPr>
        <w:tblStyle w:val="7"/>
        <w:tblW w:w="15457"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503"/>
        <w:gridCol w:w="1496"/>
        <w:gridCol w:w="6774"/>
        <w:gridCol w:w="1985"/>
        <w:gridCol w:w="2699"/>
      </w:tblGrid>
      <w:tr w:rsidR="00AB5106" w14:paraId="59ACECF8" w14:textId="77777777">
        <w:trPr>
          <w:trHeight w:val="310"/>
        </w:trPr>
        <w:tc>
          <w:tcPr>
            <w:tcW w:w="0" w:type="auto"/>
            <w:vMerge w:val="restart"/>
            <w:tcBorders>
              <w:top w:val="single" w:sz="8" w:space="0" w:color="auto"/>
              <w:bottom w:val="nil"/>
            </w:tcBorders>
            <w:noWrap/>
            <w:vAlign w:val="center"/>
          </w:tcPr>
          <w:p w14:paraId="59ACECF3"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Study ID (author + year)</w:t>
            </w:r>
          </w:p>
        </w:tc>
        <w:tc>
          <w:tcPr>
            <w:tcW w:w="0" w:type="auto"/>
            <w:vMerge w:val="restart"/>
            <w:tcBorders>
              <w:top w:val="single" w:sz="8" w:space="0" w:color="auto"/>
              <w:bottom w:val="nil"/>
            </w:tcBorders>
            <w:noWrap/>
            <w:vAlign w:val="center"/>
          </w:tcPr>
          <w:p w14:paraId="59ACECF4"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Drug</w:t>
            </w:r>
          </w:p>
        </w:tc>
        <w:tc>
          <w:tcPr>
            <w:tcW w:w="6774" w:type="dxa"/>
            <w:vMerge w:val="restart"/>
            <w:tcBorders>
              <w:top w:val="single" w:sz="8" w:space="0" w:color="auto"/>
              <w:bottom w:val="nil"/>
            </w:tcBorders>
            <w:noWrap/>
            <w:vAlign w:val="center"/>
          </w:tcPr>
          <w:p w14:paraId="59ACECF5"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Outcome</w:t>
            </w:r>
          </w:p>
        </w:tc>
        <w:tc>
          <w:tcPr>
            <w:tcW w:w="1985" w:type="dxa"/>
            <w:vMerge w:val="restart"/>
            <w:tcBorders>
              <w:top w:val="single" w:sz="8" w:space="0" w:color="auto"/>
              <w:bottom w:val="nil"/>
            </w:tcBorders>
            <w:noWrap/>
            <w:vAlign w:val="center"/>
          </w:tcPr>
          <w:p w14:paraId="59ACECF6"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Follow-up time</w:t>
            </w:r>
          </w:p>
        </w:tc>
        <w:tc>
          <w:tcPr>
            <w:tcW w:w="2699" w:type="dxa"/>
            <w:tcBorders>
              <w:top w:val="single" w:sz="8" w:space="0" w:color="auto"/>
              <w:bottom w:val="single" w:sz="4" w:space="0" w:color="auto"/>
            </w:tcBorders>
            <w:noWrap/>
          </w:tcPr>
          <w:p w14:paraId="59ACECF7"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Risk</w:t>
            </w:r>
          </w:p>
        </w:tc>
      </w:tr>
      <w:tr w:rsidR="00AB5106" w14:paraId="59ACECFE" w14:textId="77777777">
        <w:trPr>
          <w:trHeight w:val="300"/>
        </w:trPr>
        <w:tc>
          <w:tcPr>
            <w:tcW w:w="0" w:type="auto"/>
            <w:vMerge/>
            <w:tcBorders>
              <w:top w:val="nil"/>
              <w:bottom w:val="single" w:sz="4" w:space="0" w:color="auto"/>
            </w:tcBorders>
          </w:tcPr>
          <w:p w14:paraId="59ACECF9" w14:textId="77777777" w:rsidR="00AB5106" w:rsidRDefault="00AB5106">
            <w:pPr>
              <w:framePr w:wrap="auto" w:yAlign="inline"/>
              <w:jc w:val="left"/>
              <w:rPr>
                <w:rFonts w:ascii="Times New Roman" w:eastAsia="等线" w:hAnsi="Times New Roman" w:cs="Times New Roman"/>
                <w:color w:val="auto"/>
                <w:szCs w:val="22"/>
              </w:rPr>
            </w:pPr>
          </w:p>
        </w:tc>
        <w:tc>
          <w:tcPr>
            <w:tcW w:w="0" w:type="auto"/>
            <w:vMerge/>
            <w:tcBorders>
              <w:top w:val="nil"/>
              <w:bottom w:val="single" w:sz="4" w:space="0" w:color="auto"/>
            </w:tcBorders>
          </w:tcPr>
          <w:p w14:paraId="59ACECFA" w14:textId="77777777" w:rsidR="00AB5106" w:rsidRDefault="00AB5106">
            <w:pPr>
              <w:framePr w:wrap="auto" w:yAlign="inline"/>
              <w:jc w:val="left"/>
              <w:rPr>
                <w:rFonts w:ascii="Times New Roman" w:eastAsia="等线" w:hAnsi="Times New Roman" w:cs="Times New Roman"/>
                <w:color w:val="auto"/>
                <w:szCs w:val="22"/>
              </w:rPr>
            </w:pPr>
          </w:p>
        </w:tc>
        <w:tc>
          <w:tcPr>
            <w:tcW w:w="6774" w:type="dxa"/>
            <w:vMerge/>
            <w:tcBorders>
              <w:top w:val="nil"/>
              <w:bottom w:val="single" w:sz="4" w:space="0" w:color="auto"/>
            </w:tcBorders>
          </w:tcPr>
          <w:p w14:paraId="59ACECFB" w14:textId="77777777" w:rsidR="00AB5106" w:rsidRDefault="00AB5106">
            <w:pPr>
              <w:framePr w:wrap="auto" w:yAlign="inline"/>
              <w:jc w:val="left"/>
              <w:rPr>
                <w:rFonts w:ascii="Times New Roman" w:eastAsia="等线" w:hAnsi="Times New Roman" w:cs="Times New Roman"/>
                <w:color w:val="auto"/>
                <w:szCs w:val="22"/>
              </w:rPr>
            </w:pPr>
          </w:p>
        </w:tc>
        <w:tc>
          <w:tcPr>
            <w:tcW w:w="1985" w:type="dxa"/>
            <w:vMerge/>
            <w:tcBorders>
              <w:top w:val="nil"/>
              <w:bottom w:val="single" w:sz="4" w:space="0" w:color="auto"/>
            </w:tcBorders>
          </w:tcPr>
          <w:p w14:paraId="59ACECFC" w14:textId="77777777" w:rsidR="00AB5106" w:rsidRDefault="00AB5106">
            <w:pPr>
              <w:framePr w:wrap="auto" w:yAlign="inline"/>
              <w:jc w:val="left"/>
              <w:rPr>
                <w:rFonts w:ascii="Times New Roman" w:eastAsia="等线" w:hAnsi="Times New Roman" w:cs="Times New Roman"/>
                <w:color w:val="auto"/>
                <w:szCs w:val="22"/>
              </w:rPr>
            </w:pPr>
          </w:p>
        </w:tc>
        <w:tc>
          <w:tcPr>
            <w:tcW w:w="2699" w:type="dxa"/>
            <w:tcBorders>
              <w:top w:val="single" w:sz="4" w:space="0" w:color="auto"/>
              <w:bottom w:val="single" w:sz="4" w:space="0" w:color="auto"/>
            </w:tcBorders>
            <w:noWrap/>
          </w:tcPr>
          <w:p w14:paraId="59ACECFD"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Event/Total</w:t>
            </w:r>
          </w:p>
        </w:tc>
      </w:tr>
      <w:tr w:rsidR="00AB5106" w14:paraId="59ACED04" w14:textId="77777777">
        <w:trPr>
          <w:trHeight w:val="310"/>
        </w:trPr>
        <w:tc>
          <w:tcPr>
            <w:tcW w:w="0" w:type="auto"/>
            <w:vMerge w:val="restart"/>
            <w:tcBorders>
              <w:top w:val="single" w:sz="4" w:space="0" w:color="auto"/>
            </w:tcBorders>
            <w:noWrap/>
          </w:tcPr>
          <w:p w14:paraId="59ACECFF"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KUSUNOKI 2012</w:t>
            </w:r>
          </w:p>
        </w:tc>
        <w:tc>
          <w:tcPr>
            <w:tcW w:w="0" w:type="auto"/>
            <w:vMerge w:val="restart"/>
            <w:tcBorders>
              <w:top w:val="single" w:sz="4" w:space="0" w:color="auto"/>
            </w:tcBorders>
            <w:noWrap/>
          </w:tcPr>
          <w:p w14:paraId="59ACED00"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Acotiamide</w:t>
            </w:r>
          </w:p>
        </w:tc>
        <w:tc>
          <w:tcPr>
            <w:tcW w:w="6774" w:type="dxa"/>
            <w:tcBorders>
              <w:top w:val="single" w:sz="4" w:space="0" w:color="auto"/>
            </w:tcBorders>
            <w:noWrap/>
          </w:tcPr>
          <w:p w14:paraId="59ACED01"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 xml:space="preserve">Increase of </w:t>
            </w:r>
            <w:bookmarkStart w:id="3" w:name="_Hlk74128928"/>
            <w:r>
              <w:rPr>
                <w:rFonts w:ascii="Times New Roman" w:eastAsia="等线" w:hAnsi="Times New Roman" w:cs="Times New Roman"/>
                <w:color w:val="auto"/>
                <w:szCs w:val="22"/>
              </w:rPr>
              <w:t>blood prolactin</w:t>
            </w:r>
            <w:bookmarkEnd w:id="3"/>
          </w:p>
        </w:tc>
        <w:tc>
          <w:tcPr>
            <w:tcW w:w="1985" w:type="dxa"/>
            <w:tcBorders>
              <w:top w:val="single" w:sz="4" w:space="0" w:color="auto"/>
            </w:tcBorders>
            <w:noWrap/>
          </w:tcPr>
          <w:p w14:paraId="59ACED02"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14-18 days</w:t>
            </w:r>
          </w:p>
        </w:tc>
        <w:tc>
          <w:tcPr>
            <w:tcW w:w="2699" w:type="dxa"/>
            <w:tcBorders>
              <w:top w:val="single" w:sz="4" w:space="0" w:color="auto"/>
            </w:tcBorders>
            <w:noWrap/>
          </w:tcPr>
          <w:p w14:paraId="59ACED03" w14:textId="77777777" w:rsidR="00AB5106" w:rsidRDefault="00A9240F">
            <w:pPr>
              <w:framePr w:wrap="auto" w:yAlign="inline"/>
              <w:jc w:val="left"/>
              <w:rPr>
                <w:rFonts w:ascii="Times New Roman" w:eastAsia="等线" w:hAnsi="Times New Roman" w:cs="Times New Roman"/>
                <w:color w:val="auto"/>
                <w:szCs w:val="22"/>
                <w:vertAlign w:val="superscript"/>
              </w:rPr>
            </w:pPr>
            <w:r>
              <w:rPr>
                <w:rFonts w:ascii="Times New Roman" w:eastAsia="等线" w:hAnsi="Times New Roman" w:cs="Times New Roman"/>
                <w:color w:val="auto"/>
                <w:szCs w:val="22"/>
              </w:rPr>
              <w:t>2/21</w:t>
            </w:r>
            <w:r>
              <w:rPr>
                <w:rFonts w:ascii="Times New Roman" w:eastAsia="等线" w:hAnsi="Times New Roman" w:cs="Times New Roman"/>
                <w:color w:val="auto"/>
                <w:szCs w:val="22"/>
                <w:vertAlign w:val="superscript"/>
              </w:rPr>
              <w:t>c</w:t>
            </w:r>
          </w:p>
        </w:tc>
      </w:tr>
      <w:tr w:rsidR="00AB5106" w14:paraId="59ACED0A" w14:textId="77777777">
        <w:trPr>
          <w:trHeight w:val="310"/>
        </w:trPr>
        <w:tc>
          <w:tcPr>
            <w:tcW w:w="0" w:type="auto"/>
            <w:vMerge/>
          </w:tcPr>
          <w:p w14:paraId="59ACED05" w14:textId="77777777" w:rsidR="00AB5106" w:rsidRDefault="00AB5106">
            <w:pPr>
              <w:framePr w:wrap="auto" w:yAlign="inline"/>
              <w:jc w:val="left"/>
              <w:rPr>
                <w:rFonts w:ascii="Times New Roman" w:eastAsia="等线" w:hAnsi="Times New Roman" w:cs="Times New Roman"/>
                <w:color w:val="auto"/>
                <w:szCs w:val="22"/>
              </w:rPr>
            </w:pPr>
          </w:p>
        </w:tc>
        <w:tc>
          <w:tcPr>
            <w:tcW w:w="0" w:type="auto"/>
            <w:vMerge/>
          </w:tcPr>
          <w:p w14:paraId="59ACED06" w14:textId="77777777" w:rsidR="00AB5106" w:rsidRDefault="00AB5106">
            <w:pPr>
              <w:framePr w:wrap="auto" w:yAlign="inline"/>
              <w:jc w:val="left"/>
              <w:rPr>
                <w:rFonts w:ascii="Times New Roman" w:eastAsia="等线" w:hAnsi="Times New Roman" w:cs="Times New Roman"/>
                <w:color w:val="auto"/>
                <w:szCs w:val="22"/>
              </w:rPr>
            </w:pPr>
          </w:p>
        </w:tc>
        <w:tc>
          <w:tcPr>
            <w:tcW w:w="6774" w:type="dxa"/>
            <w:noWrap/>
          </w:tcPr>
          <w:p w14:paraId="59ACED07"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 xml:space="preserve">Increase of </w:t>
            </w:r>
            <w:bookmarkStart w:id="4" w:name="_Hlk74128940"/>
            <w:r>
              <w:rPr>
                <w:rFonts w:ascii="Times New Roman" w:eastAsia="等线" w:hAnsi="Times New Roman" w:cs="Times New Roman"/>
                <w:color w:val="auto"/>
                <w:szCs w:val="22"/>
              </w:rPr>
              <w:t>alanine aminotransferase</w:t>
            </w:r>
            <w:bookmarkEnd w:id="4"/>
          </w:p>
        </w:tc>
        <w:tc>
          <w:tcPr>
            <w:tcW w:w="1985" w:type="dxa"/>
            <w:noWrap/>
          </w:tcPr>
          <w:p w14:paraId="59ACED08"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14-18 days</w:t>
            </w:r>
          </w:p>
        </w:tc>
        <w:tc>
          <w:tcPr>
            <w:tcW w:w="2699" w:type="dxa"/>
            <w:noWrap/>
          </w:tcPr>
          <w:p w14:paraId="59ACED09"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1/21</w:t>
            </w:r>
          </w:p>
        </w:tc>
      </w:tr>
      <w:tr w:rsidR="00AB5106" w14:paraId="59ACED10" w14:textId="77777777">
        <w:trPr>
          <w:trHeight w:val="310"/>
        </w:trPr>
        <w:tc>
          <w:tcPr>
            <w:tcW w:w="0" w:type="auto"/>
            <w:vMerge/>
          </w:tcPr>
          <w:p w14:paraId="59ACED0B" w14:textId="77777777" w:rsidR="00AB5106" w:rsidRDefault="00AB5106">
            <w:pPr>
              <w:framePr w:wrap="auto" w:yAlign="inline"/>
              <w:jc w:val="left"/>
              <w:rPr>
                <w:rFonts w:ascii="Times New Roman" w:eastAsia="等线" w:hAnsi="Times New Roman" w:cs="Times New Roman"/>
                <w:color w:val="auto"/>
                <w:szCs w:val="22"/>
              </w:rPr>
            </w:pPr>
          </w:p>
        </w:tc>
        <w:tc>
          <w:tcPr>
            <w:tcW w:w="0" w:type="auto"/>
            <w:vMerge/>
          </w:tcPr>
          <w:p w14:paraId="59ACED0C" w14:textId="77777777" w:rsidR="00AB5106" w:rsidRDefault="00AB5106">
            <w:pPr>
              <w:framePr w:wrap="auto" w:yAlign="inline"/>
              <w:jc w:val="left"/>
              <w:rPr>
                <w:rFonts w:ascii="Times New Roman" w:eastAsia="等线" w:hAnsi="Times New Roman" w:cs="Times New Roman"/>
                <w:color w:val="auto"/>
                <w:szCs w:val="22"/>
              </w:rPr>
            </w:pPr>
          </w:p>
        </w:tc>
        <w:tc>
          <w:tcPr>
            <w:tcW w:w="6774" w:type="dxa"/>
            <w:noWrap/>
          </w:tcPr>
          <w:p w14:paraId="59ACED0D"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 xml:space="preserve">Increase of </w:t>
            </w:r>
            <w:bookmarkStart w:id="5" w:name="_Hlk74128951"/>
            <w:r>
              <w:rPr>
                <w:rFonts w:ascii="Times New Roman" w:eastAsia="等线" w:hAnsi="Times New Roman" w:cs="Times New Roman"/>
                <w:color w:val="auto"/>
                <w:szCs w:val="22"/>
              </w:rPr>
              <w:t>blood potassium</w:t>
            </w:r>
            <w:bookmarkEnd w:id="5"/>
          </w:p>
        </w:tc>
        <w:tc>
          <w:tcPr>
            <w:tcW w:w="1985" w:type="dxa"/>
            <w:noWrap/>
          </w:tcPr>
          <w:p w14:paraId="59ACED0E"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14-18 days</w:t>
            </w:r>
          </w:p>
        </w:tc>
        <w:tc>
          <w:tcPr>
            <w:tcW w:w="2699" w:type="dxa"/>
            <w:noWrap/>
          </w:tcPr>
          <w:p w14:paraId="59ACED0F"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1/21</w:t>
            </w:r>
          </w:p>
        </w:tc>
      </w:tr>
      <w:tr w:rsidR="00AB5106" w14:paraId="59ACED16" w14:textId="77777777">
        <w:trPr>
          <w:trHeight w:val="310"/>
        </w:trPr>
        <w:tc>
          <w:tcPr>
            <w:tcW w:w="0" w:type="auto"/>
            <w:vMerge/>
          </w:tcPr>
          <w:p w14:paraId="59ACED11" w14:textId="77777777" w:rsidR="00AB5106" w:rsidRDefault="00AB5106">
            <w:pPr>
              <w:framePr w:wrap="auto" w:yAlign="inline"/>
              <w:jc w:val="left"/>
              <w:rPr>
                <w:rFonts w:ascii="Times New Roman" w:eastAsia="等线" w:hAnsi="Times New Roman" w:cs="Times New Roman"/>
                <w:color w:val="auto"/>
                <w:szCs w:val="22"/>
              </w:rPr>
            </w:pPr>
            <w:bookmarkStart w:id="6" w:name="_Hlk74128967"/>
          </w:p>
        </w:tc>
        <w:tc>
          <w:tcPr>
            <w:tcW w:w="0" w:type="auto"/>
            <w:vMerge/>
          </w:tcPr>
          <w:p w14:paraId="59ACED12" w14:textId="77777777" w:rsidR="00AB5106" w:rsidRDefault="00AB5106">
            <w:pPr>
              <w:framePr w:wrap="auto" w:yAlign="inline"/>
              <w:jc w:val="left"/>
              <w:rPr>
                <w:rFonts w:ascii="Times New Roman" w:eastAsia="等线" w:hAnsi="Times New Roman" w:cs="Times New Roman"/>
                <w:color w:val="auto"/>
                <w:szCs w:val="22"/>
              </w:rPr>
            </w:pPr>
          </w:p>
        </w:tc>
        <w:tc>
          <w:tcPr>
            <w:tcW w:w="6774" w:type="dxa"/>
            <w:noWrap/>
          </w:tcPr>
          <w:p w14:paraId="59ACED13"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Increase of blood hilimhin</w:t>
            </w:r>
          </w:p>
        </w:tc>
        <w:tc>
          <w:tcPr>
            <w:tcW w:w="1985" w:type="dxa"/>
            <w:noWrap/>
          </w:tcPr>
          <w:p w14:paraId="59ACED14"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14-18 days</w:t>
            </w:r>
          </w:p>
        </w:tc>
        <w:tc>
          <w:tcPr>
            <w:tcW w:w="2699" w:type="dxa"/>
            <w:noWrap/>
          </w:tcPr>
          <w:p w14:paraId="59ACED15"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0/21</w:t>
            </w:r>
          </w:p>
        </w:tc>
      </w:tr>
      <w:tr w:rsidR="00AB5106" w14:paraId="59ACED1C" w14:textId="77777777">
        <w:trPr>
          <w:trHeight w:val="310"/>
        </w:trPr>
        <w:tc>
          <w:tcPr>
            <w:tcW w:w="0" w:type="auto"/>
            <w:vMerge/>
          </w:tcPr>
          <w:p w14:paraId="59ACED17" w14:textId="77777777" w:rsidR="00AB5106" w:rsidRDefault="00AB5106">
            <w:pPr>
              <w:framePr w:wrap="auto" w:yAlign="inline"/>
              <w:jc w:val="left"/>
              <w:rPr>
                <w:rFonts w:ascii="Times New Roman" w:eastAsia="等线" w:hAnsi="Times New Roman" w:cs="Times New Roman"/>
                <w:color w:val="auto"/>
                <w:szCs w:val="22"/>
              </w:rPr>
            </w:pPr>
          </w:p>
        </w:tc>
        <w:tc>
          <w:tcPr>
            <w:tcW w:w="0" w:type="auto"/>
            <w:vMerge/>
          </w:tcPr>
          <w:p w14:paraId="59ACED18" w14:textId="77777777" w:rsidR="00AB5106" w:rsidRDefault="00AB5106">
            <w:pPr>
              <w:framePr w:wrap="auto" w:yAlign="inline"/>
              <w:jc w:val="left"/>
              <w:rPr>
                <w:rFonts w:ascii="Times New Roman" w:eastAsia="等线" w:hAnsi="Times New Roman" w:cs="Times New Roman"/>
                <w:color w:val="auto"/>
                <w:szCs w:val="22"/>
              </w:rPr>
            </w:pPr>
          </w:p>
        </w:tc>
        <w:tc>
          <w:tcPr>
            <w:tcW w:w="6774" w:type="dxa"/>
            <w:noWrap/>
          </w:tcPr>
          <w:p w14:paraId="59ACED19"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Increase of lactic acid dehydrogenase</w:t>
            </w:r>
          </w:p>
        </w:tc>
        <w:tc>
          <w:tcPr>
            <w:tcW w:w="1985" w:type="dxa"/>
            <w:noWrap/>
          </w:tcPr>
          <w:p w14:paraId="59ACED1A"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14-18 days</w:t>
            </w:r>
          </w:p>
        </w:tc>
        <w:tc>
          <w:tcPr>
            <w:tcW w:w="2699" w:type="dxa"/>
            <w:noWrap/>
          </w:tcPr>
          <w:p w14:paraId="59ACED1B"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0/21</w:t>
            </w:r>
          </w:p>
        </w:tc>
      </w:tr>
      <w:tr w:rsidR="00AB5106" w14:paraId="59ACED22" w14:textId="77777777">
        <w:trPr>
          <w:trHeight w:val="310"/>
        </w:trPr>
        <w:tc>
          <w:tcPr>
            <w:tcW w:w="0" w:type="auto"/>
            <w:vMerge/>
          </w:tcPr>
          <w:p w14:paraId="59ACED1D" w14:textId="77777777" w:rsidR="00AB5106" w:rsidRDefault="00AB5106">
            <w:pPr>
              <w:framePr w:wrap="auto" w:yAlign="inline"/>
              <w:jc w:val="left"/>
              <w:rPr>
                <w:rFonts w:ascii="Times New Roman" w:eastAsia="等线" w:hAnsi="Times New Roman" w:cs="Times New Roman"/>
                <w:color w:val="auto"/>
                <w:szCs w:val="22"/>
              </w:rPr>
            </w:pPr>
          </w:p>
        </w:tc>
        <w:tc>
          <w:tcPr>
            <w:tcW w:w="0" w:type="auto"/>
            <w:vMerge/>
          </w:tcPr>
          <w:p w14:paraId="59ACED1E" w14:textId="77777777" w:rsidR="00AB5106" w:rsidRDefault="00AB5106">
            <w:pPr>
              <w:framePr w:wrap="auto" w:yAlign="inline"/>
              <w:jc w:val="left"/>
              <w:rPr>
                <w:rFonts w:ascii="Times New Roman" w:eastAsia="等线" w:hAnsi="Times New Roman" w:cs="Times New Roman"/>
                <w:color w:val="auto"/>
                <w:szCs w:val="22"/>
              </w:rPr>
            </w:pPr>
          </w:p>
        </w:tc>
        <w:tc>
          <w:tcPr>
            <w:tcW w:w="6774" w:type="dxa"/>
            <w:noWrap/>
          </w:tcPr>
          <w:p w14:paraId="59ACED1F"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Urine glucose positivity</w:t>
            </w:r>
          </w:p>
        </w:tc>
        <w:tc>
          <w:tcPr>
            <w:tcW w:w="1985" w:type="dxa"/>
            <w:noWrap/>
          </w:tcPr>
          <w:p w14:paraId="59ACED20"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14-18 days</w:t>
            </w:r>
          </w:p>
        </w:tc>
        <w:tc>
          <w:tcPr>
            <w:tcW w:w="2699" w:type="dxa"/>
            <w:noWrap/>
          </w:tcPr>
          <w:p w14:paraId="59ACED21"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0/21</w:t>
            </w:r>
          </w:p>
        </w:tc>
      </w:tr>
      <w:tr w:rsidR="00AB5106" w14:paraId="59ACED28" w14:textId="77777777">
        <w:trPr>
          <w:trHeight w:val="310"/>
        </w:trPr>
        <w:tc>
          <w:tcPr>
            <w:tcW w:w="0" w:type="auto"/>
            <w:vMerge/>
          </w:tcPr>
          <w:p w14:paraId="59ACED23" w14:textId="77777777" w:rsidR="00AB5106" w:rsidRDefault="00AB5106">
            <w:pPr>
              <w:framePr w:wrap="auto" w:yAlign="inline"/>
              <w:jc w:val="left"/>
              <w:rPr>
                <w:rFonts w:ascii="Times New Roman" w:eastAsia="等线" w:hAnsi="Times New Roman" w:cs="Times New Roman"/>
                <w:color w:val="auto"/>
                <w:szCs w:val="22"/>
              </w:rPr>
            </w:pPr>
          </w:p>
        </w:tc>
        <w:tc>
          <w:tcPr>
            <w:tcW w:w="0" w:type="auto"/>
            <w:vMerge/>
          </w:tcPr>
          <w:p w14:paraId="59ACED24" w14:textId="77777777" w:rsidR="00AB5106" w:rsidRDefault="00AB5106">
            <w:pPr>
              <w:framePr w:wrap="auto" w:yAlign="inline"/>
              <w:jc w:val="left"/>
              <w:rPr>
                <w:rFonts w:ascii="Times New Roman" w:eastAsia="等线" w:hAnsi="Times New Roman" w:cs="Times New Roman"/>
                <w:color w:val="auto"/>
                <w:szCs w:val="22"/>
              </w:rPr>
            </w:pPr>
          </w:p>
        </w:tc>
        <w:tc>
          <w:tcPr>
            <w:tcW w:w="6774" w:type="dxa"/>
            <w:noWrap/>
          </w:tcPr>
          <w:p w14:paraId="59ACED25"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Urine protein positivity</w:t>
            </w:r>
          </w:p>
        </w:tc>
        <w:tc>
          <w:tcPr>
            <w:tcW w:w="1985" w:type="dxa"/>
            <w:noWrap/>
          </w:tcPr>
          <w:p w14:paraId="59ACED26"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14-18 days</w:t>
            </w:r>
          </w:p>
        </w:tc>
        <w:tc>
          <w:tcPr>
            <w:tcW w:w="2699" w:type="dxa"/>
            <w:noWrap/>
          </w:tcPr>
          <w:p w14:paraId="59ACED27"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0/21</w:t>
            </w:r>
          </w:p>
        </w:tc>
      </w:tr>
      <w:tr w:rsidR="00AB5106" w14:paraId="59ACED2E" w14:textId="77777777">
        <w:trPr>
          <w:trHeight w:val="310"/>
        </w:trPr>
        <w:tc>
          <w:tcPr>
            <w:tcW w:w="0" w:type="auto"/>
            <w:vMerge/>
          </w:tcPr>
          <w:p w14:paraId="59ACED29" w14:textId="77777777" w:rsidR="00AB5106" w:rsidRDefault="00AB5106">
            <w:pPr>
              <w:framePr w:wrap="auto" w:yAlign="inline"/>
              <w:jc w:val="left"/>
              <w:rPr>
                <w:rFonts w:ascii="Times New Roman" w:eastAsia="等线" w:hAnsi="Times New Roman" w:cs="Times New Roman"/>
                <w:color w:val="auto"/>
                <w:szCs w:val="22"/>
              </w:rPr>
            </w:pPr>
          </w:p>
        </w:tc>
        <w:tc>
          <w:tcPr>
            <w:tcW w:w="0" w:type="auto"/>
            <w:vMerge/>
          </w:tcPr>
          <w:p w14:paraId="59ACED2A" w14:textId="77777777" w:rsidR="00AB5106" w:rsidRDefault="00AB5106">
            <w:pPr>
              <w:framePr w:wrap="auto" w:yAlign="inline"/>
              <w:jc w:val="left"/>
              <w:rPr>
                <w:rFonts w:ascii="Times New Roman" w:eastAsia="等线" w:hAnsi="Times New Roman" w:cs="Times New Roman"/>
                <w:color w:val="auto"/>
                <w:szCs w:val="22"/>
              </w:rPr>
            </w:pPr>
          </w:p>
        </w:tc>
        <w:tc>
          <w:tcPr>
            <w:tcW w:w="6774" w:type="dxa"/>
            <w:noWrap/>
          </w:tcPr>
          <w:p w14:paraId="59ACED2B"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Taste disturbance</w:t>
            </w:r>
          </w:p>
        </w:tc>
        <w:tc>
          <w:tcPr>
            <w:tcW w:w="1985" w:type="dxa"/>
            <w:noWrap/>
          </w:tcPr>
          <w:p w14:paraId="59ACED2C"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14-18 days</w:t>
            </w:r>
          </w:p>
        </w:tc>
        <w:tc>
          <w:tcPr>
            <w:tcW w:w="2699" w:type="dxa"/>
            <w:noWrap/>
          </w:tcPr>
          <w:p w14:paraId="59ACED2D"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0/21</w:t>
            </w:r>
          </w:p>
        </w:tc>
      </w:tr>
      <w:bookmarkEnd w:id="6"/>
      <w:tr w:rsidR="00AB5106" w14:paraId="59ACED34" w14:textId="77777777">
        <w:trPr>
          <w:trHeight w:val="310"/>
        </w:trPr>
        <w:tc>
          <w:tcPr>
            <w:tcW w:w="0" w:type="auto"/>
            <w:noWrap/>
          </w:tcPr>
          <w:p w14:paraId="59ACED2F"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Li 2005</w:t>
            </w:r>
          </w:p>
        </w:tc>
        <w:tc>
          <w:tcPr>
            <w:tcW w:w="0" w:type="auto"/>
            <w:noWrap/>
          </w:tcPr>
          <w:p w14:paraId="59ACED30"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Domperidone</w:t>
            </w:r>
          </w:p>
        </w:tc>
        <w:tc>
          <w:tcPr>
            <w:tcW w:w="6774" w:type="dxa"/>
            <w:noWrap/>
          </w:tcPr>
          <w:p w14:paraId="59ACED31"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Serious AE</w:t>
            </w:r>
            <w:r>
              <w:rPr>
                <w:rFonts w:ascii="Times New Roman" w:eastAsia="等线" w:hAnsi="Times New Roman" w:cs="Times New Roman"/>
                <w:color w:val="auto"/>
                <w:szCs w:val="22"/>
                <w:vertAlign w:val="superscript"/>
              </w:rPr>
              <w:t>a</w:t>
            </w:r>
          </w:p>
        </w:tc>
        <w:tc>
          <w:tcPr>
            <w:tcW w:w="1985" w:type="dxa"/>
            <w:noWrap/>
          </w:tcPr>
          <w:p w14:paraId="59ACED32"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4 weeks</w:t>
            </w:r>
          </w:p>
        </w:tc>
        <w:tc>
          <w:tcPr>
            <w:tcW w:w="2699" w:type="dxa"/>
            <w:noWrap/>
          </w:tcPr>
          <w:p w14:paraId="59ACED33"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1/101</w:t>
            </w:r>
          </w:p>
        </w:tc>
      </w:tr>
      <w:tr w:rsidR="00AB5106" w14:paraId="59ACED3A" w14:textId="77777777">
        <w:trPr>
          <w:trHeight w:val="310"/>
        </w:trPr>
        <w:tc>
          <w:tcPr>
            <w:tcW w:w="0" w:type="auto"/>
            <w:vMerge w:val="restart"/>
            <w:noWrap/>
          </w:tcPr>
          <w:p w14:paraId="59ACED35"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Chen 2004a</w:t>
            </w:r>
          </w:p>
        </w:tc>
        <w:tc>
          <w:tcPr>
            <w:tcW w:w="0" w:type="auto"/>
            <w:vMerge w:val="restart"/>
            <w:noWrap/>
          </w:tcPr>
          <w:p w14:paraId="59ACED36"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Domperidone</w:t>
            </w:r>
          </w:p>
        </w:tc>
        <w:tc>
          <w:tcPr>
            <w:tcW w:w="6774" w:type="dxa"/>
            <w:noWrap/>
          </w:tcPr>
          <w:p w14:paraId="59ACED37"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lower limb skin rash</w:t>
            </w:r>
          </w:p>
        </w:tc>
        <w:tc>
          <w:tcPr>
            <w:tcW w:w="1985" w:type="dxa"/>
            <w:noWrap/>
          </w:tcPr>
          <w:p w14:paraId="59ACED38"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5 days</w:t>
            </w:r>
          </w:p>
        </w:tc>
        <w:tc>
          <w:tcPr>
            <w:tcW w:w="2699" w:type="dxa"/>
            <w:noWrap/>
          </w:tcPr>
          <w:p w14:paraId="59ACED39"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NR/20</w:t>
            </w:r>
          </w:p>
        </w:tc>
      </w:tr>
      <w:tr w:rsidR="00AB5106" w14:paraId="59ACED40" w14:textId="77777777">
        <w:trPr>
          <w:trHeight w:val="310"/>
        </w:trPr>
        <w:tc>
          <w:tcPr>
            <w:tcW w:w="0" w:type="auto"/>
            <w:vMerge/>
          </w:tcPr>
          <w:p w14:paraId="59ACED3B" w14:textId="77777777" w:rsidR="00AB5106" w:rsidRDefault="00AB5106">
            <w:pPr>
              <w:framePr w:wrap="auto" w:yAlign="inline"/>
              <w:jc w:val="left"/>
              <w:rPr>
                <w:rFonts w:ascii="Times New Roman" w:eastAsia="等线" w:hAnsi="Times New Roman" w:cs="Times New Roman"/>
                <w:color w:val="auto"/>
                <w:szCs w:val="22"/>
              </w:rPr>
            </w:pPr>
          </w:p>
        </w:tc>
        <w:tc>
          <w:tcPr>
            <w:tcW w:w="0" w:type="auto"/>
            <w:vMerge/>
          </w:tcPr>
          <w:p w14:paraId="59ACED3C" w14:textId="77777777" w:rsidR="00AB5106" w:rsidRDefault="00AB5106">
            <w:pPr>
              <w:framePr w:wrap="auto" w:yAlign="inline"/>
              <w:jc w:val="left"/>
              <w:rPr>
                <w:rFonts w:ascii="Times New Roman" w:eastAsia="等线" w:hAnsi="Times New Roman" w:cs="Times New Roman"/>
                <w:color w:val="auto"/>
                <w:szCs w:val="22"/>
              </w:rPr>
            </w:pPr>
          </w:p>
        </w:tc>
        <w:tc>
          <w:tcPr>
            <w:tcW w:w="6774" w:type="dxa"/>
            <w:noWrap/>
          </w:tcPr>
          <w:p w14:paraId="59ACED3D"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mild lower abdominal pain</w:t>
            </w:r>
          </w:p>
        </w:tc>
        <w:tc>
          <w:tcPr>
            <w:tcW w:w="1985" w:type="dxa"/>
            <w:noWrap/>
          </w:tcPr>
          <w:p w14:paraId="59ACED3E"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 week</w:t>
            </w:r>
          </w:p>
        </w:tc>
        <w:tc>
          <w:tcPr>
            <w:tcW w:w="2699" w:type="dxa"/>
            <w:noWrap/>
          </w:tcPr>
          <w:p w14:paraId="59ACED3F"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1/20</w:t>
            </w:r>
            <w:r>
              <w:rPr>
                <w:rFonts w:ascii="Times New Roman" w:eastAsia="等线" w:hAnsi="Times New Roman" w:cs="Times New Roman"/>
                <w:color w:val="auto"/>
                <w:szCs w:val="22"/>
                <w:vertAlign w:val="superscript"/>
              </w:rPr>
              <w:t xml:space="preserve"> c</w:t>
            </w:r>
          </w:p>
        </w:tc>
      </w:tr>
      <w:tr w:rsidR="00AB5106" w14:paraId="59ACED46" w14:textId="77777777">
        <w:trPr>
          <w:trHeight w:val="310"/>
        </w:trPr>
        <w:tc>
          <w:tcPr>
            <w:tcW w:w="0" w:type="auto"/>
            <w:vMerge/>
          </w:tcPr>
          <w:p w14:paraId="59ACED41" w14:textId="77777777" w:rsidR="00AB5106" w:rsidRDefault="00AB5106">
            <w:pPr>
              <w:framePr w:wrap="auto" w:yAlign="inline"/>
              <w:jc w:val="left"/>
              <w:rPr>
                <w:rFonts w:ascii="Times New Roman" w:eastAsia="等线" w:hAnsi="Times New Roman" w:cs="Times New Roman"/>
                <w:color w:val="auto"/>
                <w:szCs w:val="22"/>
              </w:rPr>
            </w:pPr>
          </w:p>
        </w:tc>
        <w:tc>
          <w:tcPr>
            <w:tcW w:w="0" w:type="auto"/>
            <w:vMerge/>
          </w:tcPr>
          <w:p w14:paraId="59ACED42" w14:textId="77777777" w:rsidR="00AB5106" w:rsidRDefault="00AB5106">
            <w:pPr>
              <w:framePr w:wrap="auto" w:yAlign="inline"/>
              <w:jc w:val="left"/>
              <w:rPr>
                <w:rFonts w:ascii="Times New Roman" w:eastAsia="等线" w:hAnsi="Times New Roman" w:cs="Times New Roman"/>
                <w:color w:val="auto"/>
                <w:szCs w:val="22"/>
              </w:rPr>
            </w:pPr>
          </w:p>
        </w:tc>
        <w:tc>
          <w:tcPr>
            <w:tcW w:w="6774" w:type="dxa"/>
            <w:noWrap/>
          </w:tcPr>
          <w:p w14:paraId="59ACED43"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expressive galactorrhea</w:t>
            </w:r>
          </w:p>
        </w:tc>
        <w:tc>
          <w:tcPr>
            <w:tcW w:w="1985" w:type="dxa"/>
            <w:noWrap/>
          </w:tcPr>
          <w:p w14:paraId="59ACED44"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5 days</w:t>
            </w:r>
          </w:p>
        </w:tc>
        <w:tc>
          <w:tcPr>
            <w:tcW w:w="2699" w:type="dxa"/>
            <w:noWrap/>
          </w:tcPr>
          <w:p w14:paraId="59ACED45"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1/20</w:t>
            </w:r>
            <w:r>
              <w:rPr>
                <w:rFonts w:ascii="Times New Roman" w:eastAsia="等线" w:hAnsi="Times New Roman" w:cs="Times New Roman"/>
                <w:color w:val="auto"/>
                <w:szCs w:val="22"/>
                <w:vertAlign w:val="superscript"/>
              </w:rPr>
              <w:t xml:space="preserve"> c</w:t>
            </w:r>
          </w:p>
        </w:tc>
      </w:tr>
      <w:tr w:rsidR="00AB5106" w14:paraId="59ACED4D" w14:textId="77777777">
        <w:trPr>
          <w:trHeight w:val="310"/>
        </w:trPr>
        <w:tc>
          <w:tcPr>
            <w:tcW w:w="0" w:type="auto"/>
            <w:vMerge w:val="restart"/>
            <w:noWrap/>
          </w:tcPr>
          <w:p w14:paraId="59ACED47"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DAVIS 1988</w:t>
            </w:r>
          </w:p>
        </w:tc>
        <w:tc>
          <w:tcPr>
            <w:tcW w:w="0" w:type="auto"/>
            <w:vMerge w:val="restart"/>
            <w:noWrap/>
          </w:tcPr>
          <w:p w14:paraId="59ACED48"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 xml:space="preserve">Domperidone </w:t>
            </w:r>
          </w:p>
        </w:tc>
        <w:tc>
          <w:tcPr>
            <w:tcW w:w="6774" w:type="dxa"/>
            <w:noWrap/>
          </w:tcPr>
          <w:p w14:paraId="59ACED49"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 xml:space="preserve">Expressive galactorrhea and bilateral breast tenderness </w:t>
            </w:r>
          </w:p>
          <w:p w14:paraId="59ACED4A"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(only bilateral breast tenderness in the placebo group) - drug-related</w:t>
            </w:r>
          </w:p>
        </w:tc>
        <w:tc>
          <w:tcPr>
            <w:tcW w:w="1985" w:type="dxa"/>
            <w:noWrap/>
          </w:tcPr>
          <w:p w14:paraId="59ACED4B"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6 weeks</w:t>
            </w:r>
          </w:p>
        </w:tc>
        <w:tc>
          <w:tcPr>
            <w:tcW w:w="2699" w:type="dxa"/>
            <w:noWrap/>
          </w:tcPr>
          <w:p w14:paraId="59ACED4C"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4/9</w:t>
            </w:r>
            <w:r>
              <w:rPr>
                <w:rFonts w:ascii="Times New Roman" w:eastAsia="等线" w:hAnsi="Times New Roman" w:cs="Times New Roman"/>
                <w:color w:val="auto"/>
                <w:szCs w:val="22"/>
                <w:vertAlign w:val="superscript"/>
              </w:rPr>
              <w:t xml:space="preserve"> c</w:t>
            </w:r>
          </w:p>
        </w:tc>
      </w:tr>
      <w:tr w:rsidR="00AB5106" w14:paraId="59ACED53" w14:textId="77777777">
        <w:trPr>
          <w:trHeight w:val="310"/>
        </w:trPr>
        <w:tc>
          <w:tcPr>
            <w:tcW w:w="0" w:type="auto"/>
            <w:vMerge/>
          </w:tcPr>
          <w:p w14:paraId="59ACED4E" w14:textId="77777777" w:rsidR="00AB5106" w:rsidRDefault="00AB5106">
            <w:pPr>
              <w:framePr w:wrap="auto" w:yAlign="inline"/>
              <w:jc w:val="left"/>
              <w:rPr>
                <w:rFonts w:ascii="Times New Roman" w:eastAsia="等线" w:hAnsi="Times New Roman" w:cs="Times New Roman"/>
                <w:color w:val="auto"/>
                <w:szCs w:val="22"/>
              </w:rPr>
            </w:pPr>
          </w:p>
        </w:tc>
        <w:tc>
          <w:tcPr>
            <w:tcW w:w="0" w:type="auto"/>
            <w:vMerge/>
          </w:tcPr>
          <w:p w14:paraId="59ACED4F" w14:textId="77777777" w:rsidR="00AB5106" w:rsidRDefault="00AB5106">
            <w:pPr>
              <w:framePr w:wrap="auto" w:yAlign="inline"/>
              <w:jc w:val="left"/>
              <w:rPr>
                <w:rFonts w:ascii="Times New Roman" w:eastAsia="等线" w:hAnsi="Times New Roman" w:cs="Times New Roman"/>
                <w:color w:val="auto"/>
                <w:szCs w:val="22"/>
              </w:rPr>
            </w:pPr>
          </w:p>
        </w:tc>
        <w:tc>
          <w:tcPr>
            <w:tcW w:w="6774" w:type="dxa"/>
            <w:noWrap/>
          </w:tcPr>
          <w:p w14:paraId="59ACED50"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Constipation - drug-related</w:t>
            </w:r>
          </w:p>
        </w:tc>
        <w:tc>
          <w:tcPr>
            <w:tcW w:w="1985" w:type="dxa"/>
            <w:noWrap/>
          </w:tcPr>
          <w:p w14:paraId="59ACED51"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6 weeks</w:t>
            </w:r>
          </w:p>
        </w:tc>
        <w:tc>
          <w:tcPr>
            <w:tcW w:w="2699" w:type="dxa"/>
            <w:noWrap/>
          </w:tcPr>
          <w:p w14:paraId="59ACED52"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1/9</w:t>
            </w:r>
            <w:r>
              <w:rPr>
                <w:rFonts w:ascii="Times New Roman" w:eastAsia="等线" w:hAnsi="Times New Roman" w:cs="Times New Roman"/>
                <w:color w:val="auto"/>
                <w:szCs w:val="22"/>
                <w:vertAlign w:val="superscript"/>
              </w:rPr>
              <w:t xml:space="preserve"> c</w:t>
            </w:r>
          </w:p>
        </w:tc>
      </w:tr>
      <w:tr w:rsidR="00AB5106" w14:paraId="59ACED59" w14:textId="77777777">
        <w:trPr>
          <w:trHeight w:val="310"/>
        </w:trPr>
        <w:tc>
          <w:tcPr>
            <w:tcW w:w="0" w:type="auto"/>
            <w:vMerge/>
          </w:tcPr>
          <w:p w14:paraId="59ACED54" w14:textId="77777777" w:rsidR="00AB5106" w:rsidRDefault="00AB5106">
            <w:pPr>
              <w:framePr w:wrap="auto" w:yAlign="inline"/>
              <w:jc w:val="left"/>
              <w:rPr>
                <w:rFonts w:ascii="Times New Roman" w:eastAsia="等线" w:hAnsi="Times New Roman" w:cs="Times New Roman"/>
                <w:color w:val="auto"/>
                <w:szCs w:val="22"/>
              </w:rPr>
            </w:pPr>
          </w:p>
        </w:tc>
        <w:tc>
          <w:tcPr>
            <w:tcW w:w="0" w:type="auto"/>
            <w:vMerge/>
          </w:tcPr>
          <w:p w14:paraId="59ACED55" w14:textId="77777777" w:rsidR="00AB5106" w:rsidRDefault="00AB5106">
            <w:pPr>
              <w:framePr w:wrap="auto" w:yAlign="inline"/>
              <w:jc w:val="left"/>
              <w:rPr>
                <w:rFonts w:ascii="Times New Roman" w:eastAsia="等线" w:hAnsi="Times New Roman" w:cs="Times New Roman"/>
                <w:color w:val="auto"/>
                <w:szCs w:val="22"/>
              </w:rPr>
            </w:pPr>
          </w:p>
        </w:tc>
        <w:tc>
          <w:tcPr>
            <w:tcW w:w="6774" w:type="dxa"/>
            <w:noWrap/>
          </w:tcPr>
          <w:p w14:paraId="59ACED56"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Decreased appetite - drug-related</w:t>
            </w:r>
          </w:p>
        </w:tc>
        <w:tc>
          <w:tcPr>
            <w:tcW w:w="1985" w:type="dxa"/>
            <w:noWrap/>
          </w:tcPr>
          <w:p w14:paraId="59ACED57"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6 weeks</w:t>
            </w:r>
          </w:p>
        </w:tc>
        <w:tc>
          <w:tcPr>
            <w:tcW w:w="2699" w:type="dxa"/>
            <w:noWrap/>
          </w:tcPr>
          <w:p w14:paraId="59ACED58"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NR/9</w:t>
            </w:r>
          </w:p>
        </w:tc>
      </w:tr>
      <w:tr w:rsidR="00AB5106" w14:paraId="59ACED5F" w14:textId="77777777">
        <w:trPr>
          <w:trHeight w:val="310"/>
        </w:trPr>
        <w:tc>
          <w:tcPr>
            <w:tcW w:w="0" w:type="auto"/>
            <w:vMerge/>
          </w:tcPr>
          <w:p w14:paraId="59ACED5A" w14:textId="77777777" w:rsidR="00AB5106" w:rsidRDefault="00AB5106">
            <w:pPr>
              <w:framePr w:wrap="auto" w:yAlign="inline"/>
              <w:jc w:val="left"/>
              <w:rPr>
                <w:rFonts w:ascii="Times New Roman" w:eastAsia="等线" w:hAnsi="Times New Roman" w:cs="Times New Roman"/>
                <w:color w:val="auto"/>
                <w:szCs w:val="22"/>
              </w:rPr>
            </w:pPr>
          </w:p>
        </w:tc>
        <w:tc>
          <w:tcPr>
            <w:tcW w:w="0" w:type="auto"/>
            <w:vMerge/>
          </w:tcPr>
          <w:p w14:paraId="59ACED5B" w14:textId="77777777" w:rsidR="00AB5106" w:rsidRDefault="00AB5106">
            <w:pPr>
              <w:framePr w:wrap="auto" w:yAlign="inline"/>
              <w:jc w:val="left"/>
              <w:rPr>
                <w:rFonts w:ascii="Times New Roman" w:eastAsia="等线" w:hAnsi="Times New Roman" w:cs="Times New Roman"/>
                <w:color w:val="auto"/>
                <w:szCs w:val="22"/>
              </w:rPr>
            </w:pPr>
          </w:p>
        </w:tc>
        <w:tc>
          <w:tcPr>
            <w:tcW w:w="6774" w:type="dxa"/>
            <w:noWrap/>
          </w:tcPr>
          <w:p w14:paraId="59ACED5C"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Hyperprolactinemia - drug-related</w:t>
            </w:r>
          </w:p>
        </w:tc>
        <w:tc>
          <w:tcPr>
            <w:tcW w:w="1985" w:type="dxa"/>
            <w:noWrap/>
          </w:tcPr>
          <w:p w14:paraId="59ACED5D"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After 6 weeks</w:t>
            </w:r>
          </w:p>
        </w:tc>
        <w:tc>
          <w:tcPr>
            <w:tcW w:w="2699" w:type="dxa"/>
            <w:noWrap/>
          </w:tcPr>
          <w:p w14:paraId="59ACED5E"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9/9</w:t>
            </w:r>
            <w:r>
              <w:rPr>
                <w:rFonts w:ascii="Times New Roman" w:eastAsia="等线" w:hAnsi="Times New Roman" w:cs="Times New Roman"/>
                <w:color w:val="auto"/>
                <w:szCs w:val="22"/>
                <w:vertAlign w:val="superscript"/>
              </w:rPr>
              <w:t xml:space="preserve"> c</w:t>
            </w:r>
          </w:p>
        </w:tc>
      </w:tr>
      <w:tr w:rsidR="00AB5106" w14:paraId="59ACED65" w14:textId="77777777">
        <w:trPr>
          <w:trHeight w:val="310"/>
        </w:trPr>
        <w:tc>
          <w:tcPr>
            <w:tcW w:w="0" w:type="auto"/>
            <w:noWrap/>
          </w:tcPr>
          <w:p w14:paraId="59ACED60"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Du 2014</w:t>
            </w:r>
          </w:p>
        </w:tc>
        <w:tc>
          <w:tcPr>
            <w:tcW w:w="0" w:type="auto"/>
            <w:noWrap/>
          </w:tcPr>
          <w:p w14:paraId="59ACED61"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Domperidone</w:t>
            </w:r>
          </w:p>
        </w:tc>
        <w:tc>
          <w:tcPr>
            <w:tcW w:w="6774" w:type="dxa"/>
            <w:noWrap/>
          </w:tcPr>
          <w:p w14:paraId="59ACED62"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AE- non drug related</w:t>
            </w:r>
          </w:p>
        </w:tc>
        <w:tc>
          <w:tcPr>
            <w:tcW w:w="1985" w:type="dxa"/>
            <w:noWrap/>
          </w:tcPr>
          <w:p w14:paraId="59ACED63"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8 weeks</w:t>
            </w:r>
          </w:p>
        </w:tc>
        <w:tc>
          <w:tcPr>
            <w:tcW w:w="2699" w:type="dxa"/>
            <w:noWrap/>
          </w:tcPr>
          <w:p w14:paraId="59ACED64"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16/192</w:t>
            </w:r>
            <w:r>
              <w:rPr>
                <w:rFonts w:ascii="Times New Roman" w:eastAsia="等线" w:hAnsi="Times New Roman" w:cs="Times New Roman"/>
                <w:color w:val="auto"/>
                <w:szCs w:val="22"/>
                <w:vertAlign w:val="superscript"/>
              </w:rPr>
              <w:t xml:space="preserve"> c</w:t>
            </w:r>
          </w:p>
        </w:tc>
      </w:tr>
      <w:tr w:rsidR="00AB5106" w14:paraId="59ACED6B" w14:textId="77777777">
        <w:trPr>
          <w:trHeight w:val="310"/>
        </w:trPr>
        <w:tc>
          <w:tcPr>
            <w:tcW w:w="0" w:type="auto"/>
            <w:noWrap/>
          </w:tcPr>
          <w:p w14:paraId="59ACED66"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Li 2005</w:t>
            </w:r>
          </w:p>
        </w:tc>
        <w:tc>
          <w:tcPr>
            <w:tcW w:w="0" w:type="auto"/>
            <w:noWrap/>
          </w:tcPr>
          <w:p w14:paraId="59ACED67"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 xml:space="preserve">Itopride </w:t>
            </w:r>
          </w:p>
        </w:tc>
        <w:tc>
          <w:tcPr>
            <w:tcW w:w="6774" w:type="dxa"/>
            <w:noWrap/>
          </w:tcPr>
          <w:p w14:paraId="59ACED68" w14:textId="77777777" w:rsidR="00AB5106" w:rsidRDefault="00A9240F">
            <w:pPr>
              <w:framePr w:wrap="auto" w:yAlign="inline"/>
              <w:jc w:val="left"/>
              <w:rPr>
                <w:rFonts w:ascii="Times New Roman" w:eastAsia="等线" w:hAnsi="Times New Roman" w:cs="Times New Roman"/>
                <w:color w:val="auto"/>
                <w:szCs w:val="22"/>
                <w:vertAlign w:val="superscript"/>
              </w:rPr>
            </w:pPr>
            <w:r>
              <w:rPr>
                <w:rFonts w:ascii="Times New Roman" w:eastAsia="等线" w:hAnsi="Times New Roman" w:cs="Times New Roman"/>
                <w:color w:val="auto"/>
                <w:szCs w:val="22"/>
              </w:rPr>
              <w:t>Serious AE</w:t>
            </w:r>
            <w:r>
              <w:rPr>
                <w:rFonts w:ascii="Times New Roman" w:eastAsia="等线" w:hAnsi="Times New Roman" w:cs="Times New Roman"/>
                <w:color w:val="auto"/>
                <w:szCs w:val="22"/>
                <w:vertAlign w:val="superscript"/>
              </w:rPr>
              <w:t>b</w:t>
            </w:r>
          </w:p>
        </w:tc>
        <w:tc>
          <w:tcPr>
            <w:tcW w:w="1985" w:type="dxa"/>
            <w:noWrap/>
          </w:tcPr>
          <w:p w14:paraId="59ACED69"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4 weeks</w:t>
            </w:r>
          </w:p>
        </w:tc>
        <w:tc>
          <w:tcPr>
            <w:tcW w:w="2699" w:type="dxa"/>
            <w:noWrap/>
          </w:tcPr>
          <w:p w14:paraId="59ACED6A"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0/100</w:t>
            </w:r>
          </w:p>
        </w:tc>
      </w:tr>
      <w:tr w:rsidR="00AB5106" w14:paraId="59ACED71" w14:textId="77777777">
        <w:trPr>
          <w:trHeight w:val="310"/>
        </w:trPr>
        <w:tc>
          <w:tcPr>
            <w:tcW w:w="0" w:type="auto"/>
            <w:vMerge w:val="restart"/>
            <w:noWrap/>
          </w:tcPr>
          <w:p w14:paraId="59ACED6C" w14:textId="77777777" w:rsidR="00AB5106" w:rsidRDefault="00A9240F">
            <w:pPr>
              <w:framePr w:wrap="auto" w:yAlign="inline"/>
              <w:jc w:val="left"/>
              <w:rPr>
                <w:rFonts w:ascii="Times New Roman" w:eastAsia="等线" w:hAnsi="Times New Roman" w:cs="Times New Roman"/>
                <w:color w:val="auto"/>
                <w:szCs w:val="22"/>
              </w:rPr>
            </w:pPr>
            <w:bookmarkStart w:id="7" w:name="_Hlk74129847"/>
            <w:r>
              <w:rPr>
                <w:rFonts w:ascii="Times New Roman" w:eastAsia="等线" w:hAnsi="Times New Roman" w:cs="Times New Roman"/>
                <w:color w:val="auto"/>
                <w:szCs w:val="22"/>
              </w:rPr>
              <w:t>Chen 2004a</w:t>
            </w:r>
          </w:p>
        </w:tc>
        <w:tc>
          <w:tcPr>
            <w:tcW w:w="0" w:type="auto"/>
            <w:vMerge w:val="restart"/>
            <w:noWrap/>
          </w:tcPr>
          <w:p w14:paraId="59ACED6D" w14:textId="77777777" w:rsidR="00AB5106" w:rsidRDefault="00A9240F">
            <w:pPr>
              <w:framePr w:wrap="auto" w:yAlign="inline"/>
              <w:jc w:val="left"/>
              <w:rPr>
                <w:rFonts w:ascii="Times New Roman" w:eastAsia="等线" w:hAnsi="Times New Roman" w:cs="Times New Roman"/>
                <w:color w:val="auto"/>
                <w:szCs w:val="22"/>
              </w:rPr>
            </w:pPr>
            <w:bookmarkStart w:id="8" w:name="_Hlk74129866"/>
            <w:r>
              <w:rPr>
                <w:rFonts w:ascii="Times New Roman" w:eastAsia="等线" w:hAnsi="Times New Roman" w:cs="Times New Roman"/>
                <w:color w:val="auto"/>
                <w:szCs w:val="22"/>
              </w:rPr>
              <w:t>Itopride</w:t>
            </w:r>
            <w:bookmarkEnd w:id="8"/>
          </w:p>
        </w:tc>
        <w:tc>
          <w:tcPr>
            <w:tcW w:w="6774" w:type="dxa"/>
            <w:noWrap/>
          </w:tcPr>
          <w:p w14:paraId="59ACED6E"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lower limb skin rash</w:t>
            </w:r>
          </w:p>
        </w:tc>
        <w:tc>
          <w:tcPr>
            <w:tcW w:w="1985" w:type="dxa"/>
            <w:noWrap/>
          </w:tcPr>
          <w:p w14:paraId="59ACED6F"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5 days</w:t>
            </w:r>
          </w:p>
        </w:tc>
        <w:tc>
          <w:tcPr>
            <w:tcW w:w="2699" w:type="dxa"/>
            <w:noWrap/>
          </w:tcPr>
          <w:p w14:paraId="59ACED70"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1/20</w:t>
            </w:r>
            <w:r>
              <w:rPr>
                <w:rFonts w:ascii="Times New Roman" w:eastAsia="等线" w:hAnsi="Times New Roman" w:cs="Times New Roman"/>
                <w:color w:val="auto"/>
                <w:szCs w:val="22"/>
                <w:vertAlign w:val="superscript"/>
              </w:rPr>
              <w:t xml:space="preserve"> c</w:t>
            </w:r>
          </w:p>
        </w:tc>
      </w:tr>
      <w:tr w:rsidR="00AB5106" w14:paraId="59ACED77" w14:textId="77777777">
        <w:trPr>
          <w:trHeight w:val="310"/>
        </w:trPr>
        <w:tc>
          <w:tcPr>
            <w:tcW w:w="0" w:type="auto"/>
            <w:vMerge/>
          </w:tcPr>
          <w:p w14:paraId="59ACED72" w14:textId="77777777" w:rsidR="00AB5106" w:rsidRDefault="00AB5106">
            <w:pPr>
              <w:framePr w:wrap="auto" w:yAlign="inline"/>
              <w:jc w:val="left"/>
              <w:rPr>
                <w:rFonts w:ascii="Times New Roman" w:eastAsia="等线" w:hAnsi="Times New Roman" w:cs="Times New Roman"/>
                <w:color w:val="auto"/>
                <w:szCs w:val="22"/>
              </w:rPr>
            </w:pPr>
          </w:p>
        </w:tc>
        <w:tc>
          <w:tcPr>
            <w:tcW w:w="0" w:type="auto"/>
            <w:vMerge/>
          </w:tcPr>
          <w:p w14:paraId="59ACED73" w14:textId="77777777" w:rsidR="00AB5106" w:rsidRDefault="00AB5106">
            <w:pPr>
              <w:framePr w:wrap="auto" w:yAlign="inline"/>
              <w:jc w:val="left"/>
              <w:rPr>
                <w:rFonts w:ascii="Times New Roman" w:eastAsia="等线" w:hAnsi="Times New Roman" w:cs="Times New Roman"/>
                <w:color w:val="auto"/>
                <w:szCs w:val="22"/>
              </w:rPr>
            </w:pPr>
          </w:p>
        </w:tc>
        <w:tc>
          <w:tcPr>
            <w:tcW w:w="6774" w:type="dxa"/>
            <w:noWrap/>
          </w:tcPr>
          <w:p w14:paraId="59ACED74"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mild lower abdominal pain</w:t>
            </w:r>
          </w:p>
        </w:tc>
        <w:tc>
          <w:tcPr>
            <w:tcW w:w="1985" w:type="dxa"/>
            <w:noWrap/>
          </w:tcPr>
          <w:p w14:paraId="59ACED75"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1 week</w:t>
            </w:r>
          </w:p>
        </w:tc>
        <w:tc>
          <w:tcPr>
            <w:tcW w:w="2699" w:type="dxa"/>
            <w:noWrap/>
          </w:tcPr>
          <w:p w14:paraId="59ACED76"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2/20</w:t>
            </w:r>
            <w:r>
              <w:rPr>
                <w:rFonts w:ascii="Times New Roman" w:eastAsia="等线" w:hAnsi="Times New Roman" w:cs="Times New Roman"/>
                <w:color w:val="auto"/>
                <w:szCs w:val="22"/>
                <w:vertAlign w:val="superscript"/>
              </w:rPr>
              <w:t xml:space="preserve"> c</w:t>
            </w:r>
          </w:p>
        </w:tc>
      </w:tr>
      <w:tr w:rsidR="00AB5106" w14:paraId="59ACED7D" w14:textId="77777777">
        <w:trPr>
          <w:trHeight w:val="310"/>
        </w:trPr>
        <w:tc>
          <w:tcPr>
            <w:tcW w:w="0" w:type="auto"/>
            <w:vMerge/>
          </w:tcPr>
          <w:p w14:paraId="59ACED78" w14:textId="77777777" w:rsidR="00AB5106" w:rsidRDefault="00AB5106">
            <w:pPr>
              <w:framePr w:wrap="auto" w:yAlign="inline"/>
              <w:jc w:val="left"/>
              <w:rPr>
                <w:rFonts w:ascii="Times New Roman" w:eastAsia="等线" w:hAnsi="Times New Roman" w:cs="Times New Roman"/>
                <w:color w:val="auto"/>
                <w:szCs w:val="22"/>
              </w:rPr>
            </w:pPr>
          </w:p>
        </w:tc>
        <w:tc>
          <w:tcPr>
            <w:tcW w:w="0" w:type="auto"/>
            <w:vMerge/>
          </w:tcPr>
          <w:p w14:paraId="59ACED79" w14:textId="77777777" w:rsidR="00AB5106" w:rsidRDefault="00AB5106">
            <w:pPr>
              <w:framePr w:wrap="auto" w:yAlign="inline"/>
              <w:jc w:val="left"/>
              <w:rPr>
                <w:rFonts w:ascii="Times New Roman" w:eastAsia="等线" w:hAnsi="Times New Roman" w:cs="Times New Roman"/>
                <w:color w:val="auto"/>
                <w:szCs w:val="22"/>
              </w:rPr>
            </w:pPr>
          </w:p>
        </w:tc>
        <w:tc>
          <w:tcPr>
            <w:tcW w:w="6774" w:type="dxa"/>
            <w:noWrap/>
          </w:tcPr>
          <w:p w14:paraId="59ACED7A"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expressive galactorrhea</w:t>
            </w:r>
          </w:p>
        </w:tc>
        <w:tc>
          <w:tcPr>
            <w:tcW w:w="1985" w:type="dxa"/>
            <w:noWrap/>
          </w:tcPr>
          <w:p w14:paraId="59ACED7B"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5 days</w:t>
            </w:r>
          </w:p>
        </w:tc>
        <w:tc>
          <w:tcPr>
            <w:tcW w:w="2699" w:type="dxa"/>
            <w:noWrap/>
          </w:tcPr>
          <w:p w14:paraId="59ACED7C"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NR/20</w:t>
            </w:r>
          </w:p>
        </w:tc>
      </w:tr>
      <w:bookmarkEnd w:id="7"/>
      <w:tr w:rsidR="00AB5106" w14:paraId="59ACED83" w14:textId="77777777">
        <w:trPr>
          <w:trHeight w:val="310"/>
        </w:trPr>
        <w:tc>
          <w:tcPr>
            <w:tcW w:w="0" w:type="auto"/>
            <w:noWrap/>
          </w:tcPr>
          <w:p w14:paraId="59ACED7E"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Du 2014</w:t>
            </w:r>
          </w:p>
        </w:tc>
        <w:tc>
          <w:tcPr>
            <w:tcW w:w="0" w:type="auto"/>
            <w:noWrap/>
          </w:tcPr>
          <w:p w14:paraId="59ACED7F" w14:textId="77777777" w:rsidR="00AB5106" w:rsidRDefault="00A9240F">
            <w:pPr>
              <w:framePr w:wrap="auto" w:yAlign="inline"/>
              <w:jc w:val="left"/>
              <w:rPr>
                <w:rFonts w:ascii="Times New Roman" w:eastAsia="等线" w:hAnsi="Times New Roman" w:cs="Times New Roman"/>
                <w:color w:val="auto"/>
                <w:szCs w:val="22"/>
              </w:rPr>
            </w:pPr>
            <w:bookmarkStart w:id="9" w:name="_Hlk74131906"/>
            <w:r>
              <w:rPr>
                <w:rFonts w:ascii="Times New Roman" w:eastAsia="等线" w:hAnsi="Times New Roman" w:cs="Times New Roman"/>
                <w:color w:val="auto"/>
                <w:szCs w:val="22"/>
              </w:rPr>
              <w:t>Cinitapride</w:t>
            </w:r>
            <w:bookmarkEnd w:id="9"/>
          </w:p>
        </w:tc>
        <w:tc>
          <w:tcPr>
            <w:tcW w:w="6774" w:type="dxa"/>
            <w:noWrap/>
          </w:tcPr>
          <w:p w14:paraId="59ACED80"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AE- non drug related</w:t>
            </w:r>
          </w:p>
        </w:tc>
        <w:tc>
          <w:tcPr>
            <w:tcW w:w="1985" w:type="dxa"/>
            <w:noWrap/>
          </w:tcPr>
          <w:p w14:paraId="59ACED81"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8 weeks</w:t>
            </w:r>
          </w:p>
        </w:tc>
        <w:tc>
          <w:tcPr>
            <w:tcW w:w="2699" w:type="dxa"/>
            <w:noWrap/>
          </w:tcPr>
          <w:p w14:paraId="59ACED82" w14:textId="77777777" w:rsidR="00AB5106" w:rsidRDefault="00A9240F">
            <w:pPr>
              <w:framePr w:wrap="auto" w:yAlign="inline"/>
              <w:jc w:val="left"/>
              <w:rPr>
                <w:rFonts w:ascii="Times New Roman" w:eastAsia="等线" w:hAnsi="Times New Roman" w:cs="Times New Roman"/>
                <w:color w:val="auto"/>
                <w:szCs w:val="22"/>
              </w:rPr>
            </w:pPr>
            <w:r>
              <w:rPr>
                <w:rFonts w:ascii="Times New Roman" w:eastAsia="等线" w:hAnsi="Times New Roman" w:cs="Times New Roman"/>
                <w:color w:val="auto"/>
                <w:szCs w:val="22"/>
              </w:rPr>
              <w:t>6/191</w:t>
            </w:r>
          </w:p>
        </w:tc>
      </w:tr>
    </w:tbl>
    <w:p w14:paraId="59ACED84" w14:textId="77777777" w:rsidR="00AB5106" w:rsidRDefault="00A9240F">
      <w:pPr>
        <w:framePr w:wrap="auto" w:yAlign="inline"/>
        <w:rPr>
          <w:rFonts w:ascii="Times New Roman" w:eastAsia="等线" w:hAnsi="Times New Roman" w:cs="Times New Roman"/>
          <w:color w:val="auto"/>
          <w:szCs w:val="22"/>
        </w:rPr>
      </w:pPr>
      <w:r>
        <w:rPr>
          <w:rFonts w:ascii="Times New Roman" w:eastAsia="等线" w:hAnsi="Times New Roman" w:cs="Times New Roman"/>
          <w:color w:val="auto"/>
          <w:szCs w:val="22"/>
        </w:rPr>
        <w:t xml:space="preserve">Notes: a, Only one serious adverse event was reported: an intervertebral disc herniation occurred in one of the 450 patients (0.2%) treated with Domperidone, judged </w:t>
      </w:r>
      <w:r>
        <w:rPr>
          <w:rFonts w:ascii="Times New Roman" w:eastAsia="等线" w:hAnsi="Times New Roman" w:cs="Times New Roman"/>
          <w:color w:val="auto"/>
          <w:szCs w:val="22"/>
        </w:rPr>
        <w:lastRenderedPageBreak/>
        <w:t>as ‘not related’; b, Only one case in the control group developed moderate and severe abdominal pain, diarrhea, intestinal tinnitus and dizziness at 1 day after treatment, stopped taking the drug for 2 days, and all the symptoms disappeared 3-7 days after drug withdrawal; c, the specific adverse events was ≥5%; AE, adverse events.</w:t>
      </w:r>
    </w:p>
    <w:p w14:paraId="59ACED85" w14:textId="77777777" w:rsidR="00AB5106" w:rsidRDefault="00AB5106">
      <w:pPr>
        <w:framePr w:wrap="auto" w:yAlign="inline"/>
        <w:rPr>
          <w:rFonts w:ascii="Times New Roman" w:eastAsia="等线" w:hAnsi="Times New Roman" w:cs="Times New Roman"/>
          <w:color w:val="auto"/>
          <w:szCs w:val="22"/>
        </w:rPr>
      </w:pPr>
    </w:p>
    <w:p w14:paraId="59ACED86" w14:textId="77777777" w:rsidR="00AB5106" w:rsidRDefault="00AB5106">
      <w:pPr>
        <w:framePr w:wrap="auto" w:yAlign="inline"/>
        <w:rPr>
          <w:rFonts w:ascii="Times New Roman" w:eastAsia="等线" w:hAnsi="Times New Roman" w:cs="Times New Roman"/>
          <w:color w:val="auto"/>
          <w:szCs w:val="22"/>
        </w:rPr>
      </w:pPr>
    </w:p>
    <w:p w14:paraId="59ACED87" w14:textId="77777777" w:rsidR="00AB5106" w:rsidRDefault="00AB5106">
      <w:pPr>
        <w:framePr w:wrap="auto" w:yAlign="inline"/>
        <w:rPr>
          <w:rFonts w:ascii="Times New Roman" w:eastAsia="宋体" w:hAnsi="Times New Roman" w:cs="Times New Roman"/>
          <w:color w:val="auto"/>
          <w:szCs w:val="24"/>
        </w:rPr>
      </w:pPr>
    </w:p>
    <w:p w14:paraId="59ACED88" w14:textId="77777777" w:rsidR="00AB5106" w:rsidRDefault="00AB5106">
      <w:pPr>
        <w:framePr w:wrap="auto" w:yAlign="inline"/>
        <w:rPr>
          <w:rFonts w:ascii="Times New Roman" w:eastAsia="宋体" w:hAnsi="Times New Roman" w:cs="Times New Roman"/>
          <w:color w:val="auto"/>
          <w:szCs w:val="24"/>
        </w:rPr>
      </w:pPr>
    </w:p>
    <w:p w14:paraId="59ACED89" w14:textId="77777777" w:rsidR="00AB5106" w:rsidRDefault="00AB5106">
      <w:pPr>
        <w:framePr w:wrap="auto" w:yAlign="inline"/>
        <w:rPr>
          <w:rFonts w:ascii="Times New Roman" w:eastAsia="宋体" w:hAnsi="Times New Roman" w:cs="Times New Roman"/>
          <w:color w:val="auto"/>
          <w:szCs w:val="24"/>
        </w:rPr>
      </w:pPr>
    </w:p>
    <w:p w14:paraId="59ACED8A" w14:textId="77777777" w:rsidR="00AB5106" w:rsidRDefault="00AB5106">
      <w:pPr>
        <w:framePr w:wrap="auto" w:yAlign="inline"/>
        <w:rPr>
          <w:rFonts w:ascii="Times New Roman" w:eastAsia="宋体" w:hAnsi="Times New Roman" w:cs="Times New Roman"/>
          <w:color w:val="auto"/>
          <w:szCs w:val="24"/>
        </w:rPr>
      </w:pPr>
    </w:p>
    <w:p w14:paraId="59ACED8B" w14:textId="77777777" w:rsidR="00AB5106" w:rsidRDefault="00AB5106">
      <w:pPr>
        <w:framePr w:wrap="auto" w:yAlign="inline"/>
        <w:rPr>
          <w:rFonts w:ascii="Times New Roman" w:eastAsia="宋体" w:hAnsi="Times New Roman" w:cs="Times New Roman"/>
          <w:color w:val="auto"/>
          <w:szCs w:val="24"/>
        </w:rPr>
      </w:pPr>
    </w:p>
    <w:p w14:paraId="59ACED8C" w14:textId="77777777" w:rsidR="00AB5106" w:rsidRDefault="00AB5106">
      <w:pPr>
        <w:framePr w:wrap="auto" w:yAlign="inline"/>
        <w:rPr>
          <w:rFonts w:ascii="Times New Roman" w:eastAsia="宋体" w:hAnsi="Times New Roman" w:cs="Times New Roman"/>
          <w:color w:val="auto"/>
          <w:szCs w:val="24"/>
        </w:rPr>
      </w:pPr>
    </w:p>
    <w:p w14:paraId="59ACED8D" w14:textId="77777777" w:rsidR="00AB5106" w:rsidRDefault="00AB5106">
      <w:pPr>
        <w:framePr w:wrap="auto" w:yAlign="inline"/>
        <w:rPr>
          <w:rFonts w:ascii="Times New Roman" w:eastAsia="宋体" w:hAnsi="Times New Roman" w:cs="Times New Roman"/>
          <w:color w:val="auto"/>
          <w:szCs w:val="24"/>
        </w:rPr>
      </w:pPr>
    </w:p>
    <w:p w14:paraId="59ACED8E" w14:textId="77777777" w:rsidR="00AB5106" w:rsidRDefault="00AB5106">
      <w:pPr>
        <w:framePr w:wrap="auto" w:yAlign="inline"/>
        <w:rPr>
          <w:rFonts w:ascii="Times New Roman" w:eastAsia="宋体" w:hAnsi="Times New Roman" w:cs="Times New Roman"/>
          <w:color w:val="auto"/>
          <w:szCs w:val="24"/>
        </w:rPr>
      </w:pPr>
    </w:p>
    <w:p w14:paraId="59ACED8F" w14:textId="77777777" w:rsidR="00AB5106" w:rsidRDefault="00AB5106">
      <w:pPr>
        <w:framePr w:wrap="auto" w:yAlign="inline"/>
        <w:rPr>
          <w:rFonts w:ascii="Times New Roman" w:eastAsia="宋体" w:hAnsi="Times New Roman" w:cs="Times New Roman"/>
          <w:color w:val="auto"/>
          <w:szCs w:val="24"/>
        </w:rPr>
      </w:pPr>
    </w:p>
    <w:p w14:paraId="59ACED90" w14:textId="77777777" w:rsidR="00AB5106" w:rsidRDefault="00AB5106">
      <w:pPr>
        <w:framePr w:wrap="auto" w:yAlign="inline"/>
        <w:rPr>
          <w:rFonts w:ascii="Times New Roman" w:eastAsia="宋体" w:hAnsi="Times New Roman" w:cs="Times New Roman"/>
          <w:color w:val="auto"/>
          <w:szCs w:val="24"/>
        </w:rPr>
      </w:pPr>
    </w:p>
    <w:p w14:paraId="59ACED91" w14:textId="77777777" w:rsidR="00AB5106" w:rsidRDefault="00AB5106">
      <w:pPr>
        <w:framePr w:wrap="auto" w:yAlign="inline"/>
        <w:rPr>
          <w:rFonts w:ascii="Times New Roman" w:eastAsia="宋体" w:hAnsi="Times New Roman" w:cs="Times New Roman"/>
          <w:color w:val="auto"/>
          <w:szCs w:val="24"/>
        </w:rPr>
      </w:pPr>
    </w:p>
    <w:p w14:paraId="59ACED92" w14:textId="77777777" w:rsidR="00AB5106" w:rsidRDefault="00AB5106">
      <w:pPr>
        <w:framePr w:wrap="auto" w:yAlign="inline"/>
        <w:rPr>
          <w:rFonts w:ascii="Times New Roman" w:eastAsia="宋体" w:hAnsi="Times New Roman" w:cs="Times New Roman"/>
          <w:color w:val="auto"/>
          <w:szCs w:val="24"/>
        </w:rPr>
      </w:pPr>
    </w:p>
    <w:p w14:paraId="59ACED93" w14:textId="77777777" w:rsidR="00AB5106" w:rsidRDefault="00AB5106">
      <w:pPr>
        <w:framePr w:wrap="auto" w:yAlign="inline"/>
        <w:rPr>
          <w:rFonts w:ascii="Times New Roman" w:eastAsia="宋体" w:hAnsi="Times New Roman" w:cs="Times New Roman"/>
          <w:color w:val="auto"/>
          <w:szCs w:val="24"/>
        </w:rPr>
      </w:pPr>
    </w:p>
    <w:p w14:paraId="59ACED94" w14:textId="77777777" w:rsidR="00AB5106" w:rsidRDefault="00AB5106">
      <w:pPr>
        <w:framePr w:wrap="auto" w:yAlign="inline"/>
        <w:rPr>
          <w:rFonts w:ascii="Times New Roman" w:eastAsia="宋体" w:hAnsi="Times New Roman" w:cs="Times New Roman"/>
          <w:color w:val="auto"/>
          <w:szCs w:val="24"/>
        </w:rPr>
      </w:pPr>
    </w:p>
    <w:p w14:paraId="59ACED95" w14:textId="77777777" w:rsidR="00AB5106" w:rsidRDefault="00AB5106">
      <w:pPr>
        <w:framePr w:wrap="auto" w:yAlign="inline"/>
        <w:rPr>
          <w:rFonts w:ascii="Times New Roman" w:eastAsia="宋体" w:hAnsi="Times New Roman" w:cs="Times New Roman"/>
          <w:color w:val="auto"/>
          <w:szCs w:val="24"/>
        </w:rPr>
      </w:pPr>
    </w:p>
    <w:p w14:paraId="59ACED96" w14:textId="77777777" w:rsidR="00AB5106" w:rsidRDefault="00AB5106">
      <w:pPr>
        <w:framePr w:wrap="auto" w:yAlign="inline"/>
        <w:rPr>
          <w:rFonts w:ascii="Times New Roman" w:eastAsia="宋体" w:hAnsi="Times New Roman" w:cs="Times New Roman"/>
          <w:color w:val="auto"/>
          <w:szCs w:val="24"/>
        </w:rPr>
      </w:pPr>
    </w:p>
    <w:p w14:paraId="59ACED97" w14:textId="77777777" w:rsidR="00AB5106" w:rsidRDefault="00AB5106">
      <w:pPr>
        <w:framePr w:wrap="auto" w:yAlign="inline"/>
        <w:rPr>
          <w:rFonts w:ascii="Times New Roman" w:eastAsia="宋体" w:hAnsi="Times New Roman" w:cs="Times New Roman"/>
          <w:color w:val="auto"/>
          <w:szCs w:val="24"/>
        </w:rPr>
      </w:pPr>
    </w:p>
    <w:p w14:paraId="59ACED98" w14:textId="77777777" w:rsidR="00AB5106" w:rsidRDefault="00AB5106">
      <w:pPr>
        <w:framePr w:wrap="auto" w:yAlign="inline"/>
        <w:rPr>
          <w:rFonts w:ascii="Times New Roman" w:eastAsia="宋体" w:hAnsi="Times New Roman" w:cs="Times New Roman"/>
          <w:color w:val="auto"/>
          <w:szCs w:val="24"/>
        </w:rPr>
      </w:pPr>
    </w:p>
    <w:p w14:paraId="59ACED99" w14:textId="77777777" w:rsidR="00AB5106" w:rsidRDefault="00AB5106">
      <w:pPr>
        <w:framePr w:wrap="auto" w:yAlign="inline"/>
        <w:rPr>
          <w:rFonts w:ascii="Times New Roman" w:eastAsia="宋体" w:hAnsi="Times New Roman" w:cs="Times New Roman"/>
          <w:color w:val="auto"/>
          <w:szCs w:val="24"/>
        </w:rPr>
      </w:pPr>
    </w:p>
    <w:p w14:paraId="59ACED9A" w14:textId="77777777" w:rsidR="00AB5106" w:rsidRDefault="00AB5106">
      <w:pPr>
        <w:framePr w:wrap="auto" w:yAlign="inline"/>
        <w:rPr>
          <w:rFonts w:ascii="Times New Roman" w:eastAsia="宋体" w:hAnsi="Times New Roman" w:cs="Times New Roman"/>
          <w:color w:val="auto"/>
          <w:szCs w:val="24"/>
        </w:rPr>
      </w:pPr>
    </w:p>
    <w:p w14:paraId="59ACED9B" w14:textId="77777777" w:rsidR="00AB5106" w:rsidRDefault="00AB5106">
      <w:pPr>
        <w:framePr w:wrap="auto" w:yAlign="inline"/>
        <w:rPr>
          <w:rFonts w:ascii="Times New Roman" w:eastAsia="宋体" w:hAnsi="Times New Roman" w:cs="Times New Roman"/>
          <w:color w:val="auto"/>
          <w:szCs w:val="24"/>
        </w:rPr>
      </w:pPr>
    </w:p>
    <w:p w14:paraId="59ACED9C" w14:textId="77777777" w:rsidR="00AB5106" w:rsidRDefault="00AB5106">
      <w:pPr>
        <w:framePr w:wrap="auto" w:yAlign="inline"/>
        <w:rPr>
          <w:rFonts w:ascii="Times New Roman" w:eastAsia="宋体" w:hAnsi="Times New Roman" w:cs="Times New Roman"/>
          <w:color w:val="auto"/>
          <w:szCs w:val="24"/>
        </w:rPr>
      </w:pPr>
    </w:p>
    <w:p w14:paraId="59ACED9D" w14:textId="77777777" w:rsidR="00AB5106" w:rsidRDefault="00AB5106">
      <w:pPr>
        <w:framePr w:wrap="auto" w:yAlign="inline"/>
        <w:rPr>
          <w:rFonts w:ascii="Times New Roman" w:eastAsia="宋体" w:hAnsi="Times New Roman" w:cs="Times New Roman"/>
          <w:color w:val="auto"/>
          <w:szCs w:val="24"/>
        </w:rPr>
      </w:pPr>
    </w:p>
    <w:p w14:paraId="59ACED9E" w14:textId="77777777" w:rsidR="00AB5106" w:rsidRDefault="00AB5106">
      <w:pPr>
        <w:framePr w:wrap="auto" w:yAlign="inline"/>
        <w:rPr>
          <w:rFonts w:ascii="Times New Roman" w:eastAsia="宋体" w:hAnsi="Times New Roman" w:cs="Times New Roman"/>
          <w:color w:val="auto"/>
          <w:szCs w:val="24"/>
        </w:rPr>
      </w:pPr>
    </w:p>
    <w:p w14:paraId="08562C35" w14:textId="77777777" w:rsidR="00A340A4" w:rsidRDefault="00A340A4">
      <w:pPr>
        <w:framePr w:wrap="auto" w:yAlign="inline"/>
        <w:rPr>
          <w:rFonts w:ascii="Times New Roman" w:eastAsia="宋体" w:hAnsi="Times New Roman" w:cs="Times New Roman"/>
          <w:color w:val="auto"/>
          <w:szCs w:val="24"/>
        </w:rPr>
      </w:pPr>
    </w:p>
    <w:p w14:paraId="009AD24F" w14:textId="77777777" w:rsidR="00A340A4" w:rsidRDefault="00A340A4">
      <w:pPr>
        <w:framePr w:wrap="auto" w:yAlign="inline"/>
        <w:rPr>
          <w:rFonts w:ascii="Times New Roman" w:eastAsia="宋体" w:hAnsi="Times New Roman" w:cs="Times New Roman"/>
          <w:color w:val="auto"/>
          <w:szCs w:val="24"/>
        </w:rPr>
      </w:pPr>
    </w:p>
    <w:p w14:paraId="09B12F71" w14:textId="77777777" w:rsidR="00A340A4" w:rsidRDefault="00A340A4">
      <w:pPr>
        <w:framePr w:wrap="auto" w:yAlign="inline"/>
        <w:rPr>
          <w:rFonts w:ascii="Times New Roman" w:eastAsia="宋体" w:hAnsi="Times New Roman" w:cs="Times New Roman" w:hint="eastAsia"/>
          <w:color w:val="auto"/>
          <w:szCs w:val="24"/>
        </w:rPr>
      </w:pPr>
    </w:p>
    <w:p w14:paraId="59ACED9F" w14:textId="77777777" w:rsidR="00AB5106" w:rsidRDefault="00AB5106">
      <w:pPr>
        <w:framePr w:wrap="auto" w:yAlign="inline"/>
        <w:rPr>
          <w:rFonts w:ascii="Times New Roman" w:eastAsia="宋体" w:hAnsi="Times New Roman" w:cs="Times New Roman"/>
          <w:color w:val="auto"/>
          <w:szCs w:val="24"/>
        </w:rPr>
      </w:pPr>
    </w:p>
    <w:p w14:paraId="59ACEDA0" w14:textId="77777777" w:rsidR="00AB5106" w:rsidRDefault="00AB5106">
      <w:pPr>
        <w:framePr w:wrap="auto" w:yAlign="inline"/>
        <w:rPr>
          <w:rFonts w:ascii="Times New Roman" w:eastAsia="宋体" w:hAnsi="Times New Roman" w:cs="Times New Roman"/>
          <w:color w:val="auto"/>
          <w:szCs w:val="24"/>
        </w:rPr>
      </w:pPr>
    </w:p>
    <w:p w14:paraId="59ACEDA4" w14:textId="77777777" w:rsidR="00AB5106" w:rsidRDefault="00AB5106">
      <w:pPr>
        <w:framePr w:wrap="auto" w:yAlign="inline"/>
        <w:rPr>
          <w:rFonts w:ascii="Times New Roman" w:eastAsia="宋体" w:hAnsi="Times New Roman" w:cs="Times New Roman"/>
          <w:color w:val="auto"/>
          <w:szCs w:val="24"/>
        </w:rPr>
      </w:pPr>
    </w:p>
    <w:p w14:paraId="59ACEDA5" w14:textId="7117A555" w:rsidR="00AB5106" w:rsidRDefault="00A9240F">
      <w:pPr>
        <w:framePr w:wrap="auto" w:yAlign="inline"/>
        <w:widowControl/>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lastRenderedPageBreak/>
        <w:t>Supplementary Table 4 SUCRA of each treatment</w:t>
      </w:r>
      <w:r w:rsidR="009F4D61">
        <w:rPr>
          <w:rFonts w:ascii="Times New Roman" w:eastAsia="等线" w:hAnsi="Times New Roman" w:cs="Times New Roman"/>
          <w:color w:val="auto"/>
          <w:sz w:val="24"/>
          <w:szCs w:val="24"/>
        </w:rPr>
        <w:t xml:space="preserve"> for total efficacy rate</w:t>
      </w:r>
    </w:p>
    <w:tbl>
      <w:tblPr>
        <w:tblStyle w:val="21"/>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560"/>
      </w:tblGrid>
      <w:tr w:rsidR="00AB5106" w14:paraId="59ACEDA8" w14:textId="77777777">
        <w:trPr>
          <w:trHeight w:val="280"/>
        </w:trPr>
        <w:tc>
          <w:tcPr>
            <w:tcW w:w="1700" w:type="dxa"/>
            <w:tcBorders>
              <w:top w:val="single" w:sz="8" w:space="0" w:color="auto"/>
              <w:bottom w:val="single" w:sz="4" w:space="0" w:color="auto"/>
            </w:tcBorders>
            <w:noWrap/>
          </w:tcPr>
          <w:p w14:paraId="59ACEDA6"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Treatment</w:t>
            </w:r>
          </w:p>
        </w:tc>
        <w:tc>
          <w:tcPr>
            <w:tcW w:w="1560" w:type="dxa"/>
            <w:tcBorders>
              <w:top w:val="single" w:sz="8" w:space="0" w:color="auto"/>
              <w:bottom w:val="single" w:sz="4" w:space="0" w:color="auto"/>
            </w:tcBorders>
            <w:noWrap/>
          </w:tcPr>
          <w:p w14:paraId="59ACEDA7"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SUCRA</w:t>
            </w:r>
          </w:p>
        </w:tc>
      </w:tr>
      <w:tr w:rsidR="00AB5106" w14:paraId="59ACEDAB" w14:textId="77777777">
        <w:trPr>
          <w:trHeight w:val="280"/>
        </w:trPr>
        <w:tc>
          <w:tcPr>
            <w:tcW w:w="1700" w:type="dxa"/>
            <w:tcBorders>
              <w:top w:val="single" w:sz="4" w:space="0" w:color="auto"/>
            </w:tcBorders>
            <w:noWrap/>
          </w:tcPr>
          <w:p w14:paraId="59ACEDA9"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Metoclopramide</w:t>
            </w:r>
          </w:p>
        </w:tc>
        <w:tc>
          <w:tcPr>
            <w:tcW w:w="1560" w:type="dxa"/>
            <w:tcBorders>
              <w:top w:val="single" w:sz="4" w:space="0" w:color="auto"/>
            </w:tcBorders>
            <w:noWrap/>
          </w:tcPr>
          <w:p w14:paraId="59ACEDAA" w14:textId="36E31B0D"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0.979</w:t>
            </w:r>
          </w:p>
        </w:tc>
      </w:tr>
      <w:tr w:rsidR="00AB5106" w14:paraId="59ACEDAE" w14:textId="77777777">
        <w:trPr>
          <w:trHeight w:val="280"/>
        </w:trPr>
        <w:tc>
          <w:tcPr>
            <w:tcW w:w="1700" w:type="dxa"/>
            <w:noWrap/>
          </w:tcPr>
          <w:p w14:paraId="59ACEDAC"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Cinitapride</w:t>
            </w:r>
          </w:p>
        </w:tc>
        <w:tc>
          <w:tcPr>
            <w:tcW w:w="1560" w:type="dxa"/>
            <w:noWrap/>
          </w:tcPr>
          <w:p w14:paraId="59ACEDAD" w14:textId="33872770"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0.82</w:t>
            </w:r>
            <w:r w:rsidR="00E33C14">
              <w:rPr>
                <w:rFonts w:ascii="Times New Roman" w:eastAsia="等线" w:hAnsi="Times New Roman" w:cs="Times New Roman"/>
                <w:color w:val="auto"/>
                <w:sz w:val="24"/>
                <w:szCs w:val="24"/>
              </w:rPr>
              <w:t>1</w:t>
            </w:r>
          </w:p>
        </w:tc>
      </w:tr>
      <w:tr w:rsidR="00AB5106" w14:paraId="59ACEDB1" w14:textId="77777777">
        <w:trPr>
          <w:trHeight w:val="280"/>
        </w:trPr>
        <w:tc>
          <w:tcPr>
            <w:tcW w:w="1700" w:type="dxa"/>
            <w:noWrap/>
          </w:tcPr>
          <w:p w14:paraId="59ACEDAF"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Domperidone</w:t>
            </w:r>
          </w:p>
        </w:tc>
        <w:tc>
          <w:tcPr>
            <w:tcW w:w="1560" w:type="dxa"/>
            <w:noWrap/>
          </w:tcPr>
          <w:p w14:paraId="59ACEDB0" w14:textId="2A5160C9"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0.63</w:t>
            </w:r>
            <w:r>
              <w:rPr>
                <w:rFonts w:ascii="Times New Roman" w:eastAsia="等线" w:hAnsi="Times New Roman" w:cs="Times New Roman" w:hint="eastAsia"/>
                <w:color w:val="auto"/>
                <w:sz w:val="24"/>
                <w:szCs w:val="24"/>
              </w:rPr>
              <w:t>2</w:t>
            </w:r>
          </w:p>
        </w:tc>
      </w:tr>
      <w:tr w:rsidR="00AB5106" w14:paraId="59ACEDB4" w14:textId="77777777" w:rsidTr="003E027A">
        <w:trPr>
          <w:trHeight w:val="291"/>
        </w:trPr>
        <w:tc>
          <w:tcPr>
            <w:tcW w:w="1700" w:type="dxa"/>
            <w:noWrap/>
          </w:tcPr>
          <w:p w14:paraId="59ACEDB2"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Acotiamide</w:t>
            </w:r>
          </w:p>
        </w:tc>
        <w:tc>
          <w:tcPr>
            <w:tcW w:w="1560" w:type="dxa"/>
            <w:noWrap/>
          </w:tcPr>
          <w:p w14:paraId="59ACEDB3" w14:textId="41A46D8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0.4</w:t>
            </w:r>
            <w:r>
              <w:rPr>
                <w:rFonts w:ascii="Times New Roman" w:eastAsia="等线" w:hAnsi="Times New Roman" w:cs="Times New Roman" w:hint="eastAsia"/>
                <w:color w:val="auto"/>
                <w:sz w:val="24"/>
                <w:szCs w:val="24"/>
              </w:rPr>
              <w:t>73</w:t>
            </w:r>
          </w:p>
        </w:tc>
      </w:tr>
      <w:tr w:rsidR="00AB5106" w14:paraId="59ACEDB7" w14:textId="77777777">
        <w:trPr>
          <w:trHeight w:val="280"/>
        </w:trPr>
        <w:tc>
          <w:tcPr>
            <w:tcW w:w="1700" w:type="dxa"/>
            <w:noWrap/>
          </w:tcPr>
          <w:p w14:paraId="59ACEDB5"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Itopride</w:t>
            </w:r>
          </w:p>
        </w:tc>
        <w:tc>
          <w:tcPr>
            <w:tcW w:w="1560" w:type="dxa"/>
            <w:noWrap/>
          </w:tcPr>
          <w:p w14:paraId="59ACEDB6" w14:textId="7573AFBF"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0.393</w:t>
            </w:r>
          </w:p>
        </w:tc>
      </w:tr>
      <w:tr w:rsidR="00AB5106" w14:paraId="59ACEDBA" w14:textId="77777777">
        <w:trPr>
          <w:trHeight w:val="280"/>
        </w:trPr>
        <w:tc>
          <w:tcPr>
            <w:tcW w:w="1700" w:type="dxa"/>
            <w:noWrap/>
          </w:tcPr>
          <w:p w14:paraId="59ACEDB8"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Mosapride</w:t>
            </w:r>
          </w:p>
        </w:tc>
        <w:tc>
          <w:tcPr>
            <w:tcW w:w="1560" w:type="dxa"/>
            <w:noWrap/>
          </w:tcPr>
          <w:p w14:paraId="59ACEDB9" w14:textId="2E9261BE"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0.2</w:t>
            </w:r>
            <w:r>
              <w:rPr>
                <w:rFonts w:ascii="Times New Roman" w:eastAsia="等线" w:hAnsi="Times New Roman" w:cs="Times New Roman" w:hint="eastAsia"/>
                <w:color w:val="auto"/>
                <w:sz w:val="24"/>
                <w:szCs w:val="24"/>
              </w:rPr>
              <w:t>011</w:t>
            </w:r>
          </w:p>
        </w:tc>
      </w:tr>
      <w:tr w:rsidR="00AB5106" w14:paraId="59ACEDBD" w14:textId="77777777">
        <w:trPr>
          <w:trHeight w:val="280"/>
        </w:trPr>
        <w:tc>
          <w:tcPr>
            <w:tcW w:w="1700" w:type="dxa"/>
            <w:noWrap/>
          </w:tcPr>
          <w:p w14:paraId="59ACEDBB"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Placebo</w:t>
            </w:r>
          </w:p>
        </w:tc>
        <w:tc>
          <w:tcPr>
            <w:tcW w:w="1560" w:type="dxa"/>
            <w:noWrap/>
          </w:tcPr>
          <w:p w14:paraId="59ACEDBC" w14:textId="5BCB9A6C"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0.0003</w:t>
            </w:r>
          </w:p>
        </w:tc>
      </w:tr>
    </w:tbl>
    <w:p w14:paraId="59ACEDBE" w14:textId="40270F32" w:rsidR="00AB5106" w:rsidRDefault="00A9240F">
      <w:pPr>
        <w:framePr w:wrap="auto" w:yAlign="inline"/>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Notes: SUCRA: surface under the cumulative ranking curve.</w:t>
      </w:r>
      <w:r w:rsidR="009F4D61">
        <w:rPr>
          <w:rFonts w:ascii="Times New Roman" w:eastAsia="等线" w:hAnsi="Times New Roman" w:cs="Times New Roman"/>
          <w:color w:val="auto"/>
          <w:sz w:val="24"/>
          <w:szCs w:val="24"/>
        </w:rPr>
        <w:t xml:space="preserve"> Higher value means higher probability of an effective drug.</w:t>
      </w:r>
    </w:p>
    <w:p w14:paraId="59ACEDBF" w14:textId="77777777" w:rsidR="00AB5106" w:rsidRDefault="00AB5106">
      <w:pPr>
        <w:framePr w:wrap="auto" w:yAlign="inline"/>
        <w:rPr>
          <w:rFonts w:ascii="Times New Roman" w:eastAsia="宋体" w:hAnsi="Times New Roman" w:cs="Times New Roman"/>
          <w:color w:val="auto"/>
          <w:szCs w:val="24"/>
        </w:rPr>
      </w:pPr>
    </w:p>
    <w:p w14:paraId="59ACEDC0" w14:textId="77777777" w:rsidR="00AB5106" w:rsidRDefault="00AB5106">
      <w:pPr>
        <w:framePr w:wrap="auto" w:yAlign="inline"/>
        <w:rPr>
          <w:rFonts w:ascii="Times New Roman" w:eastAsia="宋体" w:hAnsi="Times New Roman" w:cs="Times New Roman"/>
          <w:color w:val="auto"/>
          <w:szCs w:val="24"/>
        </w:rPr>
      </w:pPr>
    </w:p>
    <w:p w14:paraId="59ACEDC1" w14:textId="77777777" w:rsidR="00AB5106" w:rsidRDefault="00AB5106">
      <w:pPr>
        <w:framePr w:wrap="auto" w:yAlign="inline"/>
        <w:rPr>
          <w:rFonts w:ascii="Times New Roman" w:eastAsia="宋体" w:hAnsi="Times New Roman" w:cs="Times New Roman"/>
          <w:color w:val="auto"/>
          <w:szCs w:val="24"/>
        </w:rPr>
      </w:pPr>
    </w:p>
    <w:p w14:paraId="59ACEDC2" w14:textId="77777777" w:rsidR="00AB5106" w:rsidRDefault="00AB5106">
      <w:pPr>
        <w:framePr w:wrap="auto" w:yAlign="inline"/>
        <w:rPr>
          <w:rFonts w:ascii="Times New Roman" w:eastAsia="宋体" w:hAnsi="Times New Roman" w:cs="Times New Roman"/>
          <w:color w:val="auto"/>
          <w:szCs w:val="24"/>
        </w:rPr>
      </w:pPr>
    </w:p>
    <w:p w14:paraId="59ACEDC3" w14:textId="77777777" w:rsidR="00AB5106" w:rsidRDefault="00AB5106">
      <w:pPr>
        <w:framePr w:wrap="auto" w:yAlign="inline"/>
        <w:rPr>
          <w:rFonts w:ascii="Times New Roman" w:eastAsia="宋体" w:hAnsi="Times New Roman" w:cs="Times New Roman"/>
          <w:color w:val="auto"/>
          <w:szCs w:val="24"/>
        </w:rPr>
      </w:pPr>
    </w:p>
    <w:p w14:paraId="59ACEDC4" w14:textId="77777777" w:rsidR="00AB5106" w:rsidRDefault="00AB5106">
      <w:pPr>
        <w:framePr w:wrap="auto" w:yAlign="inline"/>
        <w:rPr>
          <w:rFonts w:ascii="Times New Roman" w:eastAsia="宋体" w:hAnsi="Times New Roman" w:cs="Times New Roman"/>
          <w:color w:val="auto"/>
          <w:szCs w:val="24"/>
        </w:rPr>
      </w:pPr>
    </w:p>
    <w:p w14:paraId="59ACEDC5" w14:textId="77777777" w:rsidR="00AB5106" w:rsidRDefault="00AB5106">
      <w:pPr>
        <w:framePr w:wrap="auto" w:yAlign="inline"/>
        <w:rPr>
          <w:rFonts w:ascii="Times New Roman" w:eastAsia="宋体" w:hAnsi="Times New Roman" w:cs="Times New Roman"/>
          <w:color w:val="auto"/>
          <w:szCs w:val="24"/>
        </w:rPr>
      </w:pPr>
    </w:p>
    <w:p w14:paraId="59ACEDC6" w14:textId="77777777" w:rsidR="00AB5106" w:rsidRDefault="00AB5106">
      <w:pPr>
        <w:framePr w:wrap="auto" w:yAlign="inline"/>
        <w:rPr>
          <w:rFonts w:ascii="Times New Roman" w:eastAsia="宋体" w:hAnsi="Times New Roman" w:cs="Times New Roman"/>
          <w:color w:val="auto"/>
          <w:szCs w:val="24"/>
        </w:rPr>
      </w:pPr>
    </w:p>
    <w:p w14:paraId="59ACEDC7" w14:textId="77777777" w:rsidR="00AB5106" w:rsidRDefault="00AB5106">
      <w:pPr>
        <w:framePr w:wrap="auto" w:yAlign="inline"/>
        <w:rPr>
          <w:rFonts w:ascii="Times New Roman" w:eastAsia="宋体" w:hAnsi="Times New Roman" w:cs="Times New Roman"/>
          <w:color w:val="auto"/>
          <w:szCs w:val="24"/>
        </w:rPr>
      </w:pPr>
    </w:p>
    <w:p w14:paraId="59ACEDC8" w14:textId="77777777" w:rsidR="00AB5106" w:rsidRDefault="00AB5106">
      <w:pPr>
        <w:framePr w:wrap="auto" w:yAlign="inline"/>
        <w:rPr>
          <w:rFonts w:ascii="Times New Roman" w:eastAsia="宋体" w:hAnsi="Times New Roman" w:cs="Times New Roman"/>
          <w:color w:val="auto"/>
          <w:szCs w:val="24"/>
        </w:rPr>
      </w:pPr>
    </w:p>
    <w:p w14:paraId="59ACEDC9" w14:textId="77777777" w:rsidR="00AB5106" w:rsidRDefault="00AB5106">
      <w:pPr>
        <w:framePr w:wrap="auto" w:yAlign="inline"/>
        <w:rPr>
          <w:rFonts w:ascii="Times New Roman" w:eastAsia="宋体" w:hAnsi="Times New Roman" w:cs="Times New Roman"/>
          <w:color w:val="auto"/>
          <w:szCs w:val="24"/>
        </w:rPr>
      </w:pPr>
    </w:p>
    <w:p w14:paraId="59ACEDCA" w14:textId="77777777" w:rsidR="00AB5106" w:rsidRDefault="00AB5106">
      <w:pPr>
        <w:framePr w:wrap="auto" w:yAlign="inline"/>
        <w:rPr>
          <w:rFonts w:ascii="Times New Roman" w:eastAsia="宋体" w:hAnsi="Times New Roman" w:cs="Times New Roman"/>
          <w:color w:val="auto"/>
          <w:szCs w:val="24"/>
        </w:rPr>
      </w:pPr>
    </w:p>
    <w:p w14:paraId="59ACEDCB" w14:textId="77777777" w:rsidR="00AB5106" w:rsidRDefault="00AB5106">
      <w:pPr>
        <w:framePr w:wrap="auto" w:yAlign="inline"/>
        <w:rPr>
          <w:rFonts w:ascii="Times New Roman" w:eastAsia="宋体" w:hAnsi="Times New Roman" w:cs="Times New Roman"/>
          <w:color w:val="auto"/>
          <w:szCs w:val="24"/>
        </w:rPr>
      </w:pPr>
    </w:p>
    <w:p w14:paraId="59ACEDCC" w14:textId="77777777" w:rsidR="00AB5106" w:rsidRDefault="00AB5106">
      <w:pPr>
        <w:framePr w:wrap="auto" w:yAlign="inline"/>
        <w:rPr>
          <w:rFonts w:ascii="Times New Roman" w:eastAsia="宋体" w:hAnsi="Times New Roman" w:cs="Times New Roman"/>
          <w:color w:val="auto"/>
          <w:szCs w:val="24"/>
        </w:rPr>
      </w:pPr>
    </w:p>
    <w:p w14:paraId="59ACEDCD" w14:textId="77777777" w:rsidR="00AB5106" w:rsidRDefault="00AB5106">
      <w:pPr>
        <w:framePr w:wrap="auto" w:yAlign="inline"/>
        <w:rPr>
          <w:rFonts w:ascii="Times New Roman" w:eastAsia="宋体" w:hAnsi="Times New Roman" w:cs="Times New Roman"/>
          <w:color w:val="auto"/>
          <w:szCs w:val="24"/>
        </w:rPr>
      </w:pPr>
    </w:p>
    <w:p w14:paraId="59ACEDCE" w14:textId="77777777" w:rsidR="00AB5106" w:rsidRDefault="00AB5106">
      <w:pPr>
        <w:framePr w:wrap="auto" w:yAlign="inline"/>
        <w:rPr>
          <w:rFonts w:ascii="Times New Roman" w:eastAsia="宋体" w:hAnsi="Times New Roman" w:cs="Times New Roman"/>
          <w:color w:val="auto"/>
          <w:szCs w:val="24"/>
        </w:rPr>
      </w:pPr>
    </w:p>
    <w:p w14:paraId="59ACEDCF" w14:textId="77777777" w:rsidR="00AB5106" w:rsidRDefault="00AB5106">
      <w:pPr>
        <w:framePr w:wrap="auto" w:yAlign="inline"/>
        <w:rPr>
          <w:rFonts w:ascii="Times New Roman" w:eastAsia="宋体" w:hAnsi="Times New Roman" w:cs="Times New Roman"/>
          <w:color w:val="auto"/>
          <w:szCs w:val="24"/>
        </w:rPr>
      </w:pPr>
    </w:p>
    <w:p w14:paraId="59ACEDD0" w14:textId="77777777" w:rsidR="00AB5106" w:rsidRDefault="00AB5106">
      <w:pPr>
        <w:framePr w:wrap="auto" w:yAlign="inline"/>
        <w:rPr>
          <w:rFonts w:ascii="Times New Roman" w:eastAsia="宋体" w:hAnsi="Times New Roman" w:cs="Times New Roman"/>
          <w:color w:val="auto"/>
          <w:szCs w:val="24"/>
        </w:rPr>
      </w:pPr>
    </w:p>
    <w:p w14:paraId="59ACEDD1" w14:textId="77777777" w:rsidR="00AB5106" w:rsidRDefault="00AB5106">
      <w:pPr>
        <w:framePr w:wrap="auto" w:yAlign="inline"/>
        <w:rPr>
          <w:rFonts w:ascii="Times New Roman" w:eastAsia="宋体" w:hAnsi="Times New Roman" w:cs="Times New Roman"/>
          <w:color w:val="auto"/>
          <w:szCs w:val="24"/>
        </w:rPr>
      </w:pPr>
    </w:p>
    <w:p w14:paraId="59ACEDD2" w14:textId="77777777" w:rsidR="00AB5106" w:rsidRDefault="00AB5106">
      <w:pPr>
        <w:framePr w:wrap="auto" w:yAlign="inline"/>
        <w:rPr>
          <w:rFonts w:ascii="Times New Roman" w:eastAsia="宋体" w:hAnsi="Times New Roman" w:cs="Times New Roman"/>
          <w:color w:val="auto"/>
          <w:szCs w:val="24"/>
        </w:rPr>
      </w:pPr>
    </w:p>
    <w:p w14:paraId="59ACEDD3" w14:textId="77777777" w:rsidR="00AB5106" w:rsidRDefault="00AB5106">
      <w:pPr>
        <w:framePr w:wrap="auto" w:yAlign="inline"/>
        <w:rPr>
          <w:rFonts w:ascii="Times New Roman" w:eastAsia="宋体" w:hAnsi="Times New Roman" w:cs="Times New Roman"/>
          <w:color w:val="auto"/>
          <w:szCs w:val="24"/>
        </w:rPr>
      </w:pPr>
    </w:p>
    <w:p w14:paraId="59ACEDD5" w14:textId="352B451F" w:rsidR="00AB5106" w:rsidRDefault="00A9240F">
      <w:pPr>
        <w:keepNext/>
        <w:framePr w:wrap="auto" w:yAlign="inline"/>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lastRenderedPageBreak/>
        <w:t>Supplementary Table 5 SUCRA of</w:t>
      </w:r>
      <w:r w:rsidR="009F4D61">
        <w:rPr>
          <w:rFonts w:ascii="Times New Roman" w:eastAsia="黑体" w:hAnsi="Times New Roman" w:cs="Times New Roman"/>
          <w:color w:val="auto"/>
          <w:sz w:val="24"/>
          <w:szCs w:val="24"/>
        </w:rPr>
        <w:t xml:space="preserve"> each treatment for</w:t>
      </w:r>
      <w:r>
        <w:rPr>
          <w:rFonts w:ascii="Times New Roman" w:eastAsia="黑体" w:hAnsi="Times New Roman" w:cs="Times New Roman"/>
          <w:color w:val="auto"/>
          <w:sz w:val="24"/>
          <w:szCs w:val="24"/>
        </w:rPr>
        <w:t xml:space="preserve"> </w:t>
      </w:r>
      <w:r w:rsidR="009F4D61">
        <w:rPr>
          <w:rFonts w:ascii="Times New Roman" w:eastAsia="黑体" w:hAnsi="Times New Roman" w:cs="Times New Roman"/>
          <w:color w:val="auto"/>
          <w:sz w:val="24"/>
          <w:szCs w:val="24"/>
        </w:rPr>
        <w:t xml:space="preserve">total </w:t>
      </w:r>
      <w:r>
        <w:rPr>
          <w:rFonts w:ascii="Times New Roman" w:eastAsia="黑体" w:hAnsi="Times New Roman" w:cs="Times New Roman"/>
          <w:color w:val="auto"/>
          <w:sz w:val="24"/>
          <w:szCs w:val="24"/>
        </w:rPr>
        <w:t>adverse events</w:t>
      </w:r>
    </w:p>
    <w:tbl>
      <w:tblPr>
        <w:tblStyle w:val="41"/>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1040"/>
      </w:tblGrid>
      <w:tr w:rsidR="00AB5106" w14:paraId="59ACEDD8" w14:textId="77777777">
        <w:trPr>
          <w:trHeight w:val="280"/>
        </w:trPr>
        <w:tc>
          <w:tcPr>
            <w:tcW w:w="1469" w:type="dxa"/>
            <w:tcBorders>
              <w:top w:val="single" w:sz="8" w:space="0" w:color="auto"/>
              <w:bottom w:val="single" w:sz="4" w:space="0" w:color="auto"/>
            </w:tcBorders>
            <w:noWrap/>
          </w:tcPr>
          <w:p w14:paraId="59ACEDD6"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Treatment</w:t>
            </w:r>
          </w:p>
        </w:tc>
        <w:tc>
          <w:tcPr>
            <w:tcW w:w="1040" w:type="dxa"/>
            <w:tcBorders>
              <w:top w:val="single" w:sz="8" w:space="0" w:color="auto"/>
              <w:bottom w:val="single" w:sz="4" w:space="0" w:color="auto"/>
            </w:tcBorders>
            <w:noWrap/>
          </w:tcPr>
          <w:p w14:paraId="59ACEDD7"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SUCRA</w:t>
            </w:r>
          </w:p>
        </w:tc>
      </w:tr>
      <w:tr w:rsidR="00AB5106" w14:paraId="59ACEDDB" w14:textId="77777777">
        <w:trPr>
          <w:trHeight w:val="280"/>
        </w:trPr>
        <w:tc>
          <w:tcPr>
            <w:tcW w:w="1469" w:type="dxa"/>
            <w:tcBorders>
              <w:top w:val="single" w:sz="4" w:space="0" w:color="auto"/>
            </w:tcBorders>
            <w:noWrap/>
          </w:tcPr>
          <w:p w14:paraId="59ACEDD9" w14:textId="2E794079"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Cinitapride</w:t>
            </w:r>
          </w:p>
        </w:tc>
        <w:tc>
          <w:tcPr>
            <w:tcW w:w="1040" w:type="dxa"/>
            <w:tcBorders>
              <w:top w:val="single" w:sz="4" w:space="0" w:color="auto"/>
            </w:tcBorders>
            <w:noWrap/>
          </w:tcPr>
          <w:p w14:paraId="59ACEDDA" w14:textId="5802F34A"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w:t>
            </w:r>
            <w:r>
              <w:rPr>
                <w:rFonts w:ascii="Times New Roman" w:eastAsia="等线" w:hAnsi="Times New Roman" w:cs="Times New Roman" w:hint="eastAsia"/>
                <w:color w:val="auto"/>
                <w:sz w:val="24"/>
                <w:szCs w:val="24"/>
              </w:rPr>
              <w:t>93</w:t>
            </w:r>
            <w:r w:rsidR="00E33C14">
              <w:rPr>
                <w:rFonts w:ascii="Times New Roman" w:eastAsia="等线" w:hAnsi="Times New Roman" w:cs="Times New Roman"/>
                <w:color w:val="auto"/>
                <w:sz w:val="24"/>
                <w:szCs w:val="24"/>
              </w:rPr>
              <w:t>5</w:t>
            </w:r>
          </w:p>
        </w:tc>
      </w:tr>
      <w:tr w:rsidR="00AB5106" w14:paraId="59ACEDDE" w14:textId="77777777">
        <w:trPr>
          <w:trHeight w:val="280"/>
        </w:trPr>
        <w:tc>
          <w:tcPr>
            <w:tcW w:w="1469" w:type="dxa"/>
            <w:noWrap/>
          </w:tcPr>
          <w:p w14:paraId="59ACEDDC"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Itopride</w:t>
            </w:r>
          </w:p>
        </w:tc>
        <w:tc>
          <w:tcPr>
            <w:tcW w:w="1040" w:type="dxa"/>
            <w:noWrap/>
          </w:tcPr>
          <w:p w14:paraId="59ACEDDD" w14:textId="193376CA"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w:t>
            </w:r>
            <w:r>
              <w:rPr>
                <w:rFonts w:ascii="Times New Roman" w:eastAsia="等线" w:hAnsi="Times New Roman" w:cs="Times New Roman" w:hint="eastAsia"/>
                <w:color w:val="auto"/>
                <w:sz w:val="24"/>
                <w:szCs w:val="24"/>
              </w:rPr>
              <w:t>34</w:t>
            </w:r>
            <w:r w:rsidR="00E33C14">
              <w:rPr>
                <w:rFonts w:ascii="Times New Roman" w:eastAsia="等线" w:hAnsi="Times New Roman" w:cs="Times New Roman"/>
                <w:color w:val="auto"/>
                <w:sz w:val="24"/>
                <w:szCs w:val="24"/>
              </w:rPr>
              <w:t>1</w:t>
            </w:r>
          </w:p>
        </w:tc>
      </w:tr>
      <w:tr w:rsidR="00AB5106" w14:paraId="59ACEDE1" w14:textId="77777777">
        <w:trPr>
          <w:trHeight w:val="280"/>
        </w:trPr>
        <w:tc>
          <w:tcPr>
            <w:tcW w:w="1469" w:type="dxa"/>
            <w:noWrap/>
          </w:tcPr>
          <w:p w14:paraId="59ACEDDF" w14:textId="7C97775C"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Domperidone</w:t>
            </w:r>
          </w:p>
        </w:tc>
        <w:tc>
          <w:tcPr>
            <w:tcW w:w="1040" w:type="dxa"/>
            <w:noWrap/>
          </w:tcPr>
          <w:p w14:paraId="59ACEDE0" w14:textId="7CBAC186"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w:t>
            </w:r>
            <w:r>
              <w:rPr>
                <w:rFonts w:ascii="Times New Roman" w:eastAsia="等线" w:hAnsi="Times New Roman" w:cs="Times New Roman" w:hint="eastAsia"/>
                <w:color w:val="auto"/>
                <w:sz w:val="24"/>
                <w:szCs w:val="24"/>
              </w:rPr>
              <w:t>22</w:t>
            </w:r>
            <w:r w:rsidR="00E33C14">
              <w:rPr>
                <w:rFonts w:ascii="Times New Roman" w:eastAsia="等线" w:hAnsi="Times New Roman" w:cs="Times New Roman"/>
                <w:color w:val="auto"/>
                <w:sz w:val="24"/>
                <w:szCs w:val="24"/>
              </w:rPr>
              <w:t>5</w:t>
            </w:r>
          </w:p>
        </w:tc>
      </w:tr>
    </w:tbl>
    <w:p w14:paraId="59ACEDE2" w14:textId="77777777" w:rsidR="00AB5106" w:rsidRDefault="00AB5106">
      <w:pPr>
        <w:framePr w:wrap="auto" w:yAlign="inline"/>
        <w:rPr>
          <w:rFonts w:ascii="Times New Roman" w:eastAsia="等线" w:hAnsi="Times New Roman" w:cs="Times New Roman"/>
          <w:color w:val="auto"/>
          <w:sz w:val="24"/>
          <w:szCs w:val="24"/>
        </w:rPr>
      </w:pPr>
    </w:p>
    <w:tbl>
      <w:tblPr>
        <w:tblStyle w:val="41"/>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1040"/>
      </w:tblGrid>
      <w:tr w:rsidR="00AB5106" w14:paraId="59ACEDE5" w14:textId="77777777">
        <w:trPr>
          <w:trHeight w:val="280"/>
        </w:trPr>
        <w:tc>
          <w:tcPr>
            <w:tcW w:w="1469" w:type="dxa"/>
            <w:tcBorders>
              <w:top w:val="single" w:sz="8" w:space="0" w:color="auto"/>
              <w:bottom w:val="single" w:sz="4" w:space="0" w:color="auto"/>
            </w:tcBorders>
            <w:noWrap/>
          </w:tcPr>
          <w:p w14:paraId="59ACEDE3"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Treatment</w:t>
            </w:r>
          </w:p>
        </w:tc>
        <w:tc>
          <w:tcPr>
            <w:tcW w:w="1040" w:type="dxa"/>
            <w:tcBorders>
              <w:top w:val="single" w:sz="8" w:space="0" w:color="auto"/>
              <w:bottom w:val="single" w:sz="4" w:space="0" w:color="auto"/>
            </w:tcBorders>
            <w:noWrap/>
          </w:tcPr>
          <w:p w14:paraId="59ACEDE4"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SUCRA</w:t>
            </w:r>
          </w:p>
        </w:tc>
      </w:tr>
      <w:tr w:rsidR="00AB5106" w14:paraId="59ACEDE8" w14:textId="77777777">
        <w:trPr>
          <w:trHeight w:val="280"/>
        </w:trPr>
        <w:tc>
          <w:tcPr>
            <w:tcW w:w="1469" w:type="dxa"/>
            <w:tcBorders>
              <w:top w:val="single" w:sz="4" w:space="0" w:color="auto"/>
            </w:tcBorders>
            <w:noWrap/>
          </w:tcPr>
          <w:p w14:paraId="59ACEDE6" w14:textId="77777777" w:rsidR="00AB5106" w:rsidRDefault="00A9240F">
            <w:pPr>
              <w:framePr w:wrap="auto" w:yAlign="inline"/>
              <w:jc w:val="left"/>
              <w:rPr>
                <w:rFonts w:ascii="Times New Roman" w:eastAsia="等线" w:hAnsi="Times New Roman" w:cs="Times New Roman"/>
                <w:color w:val="auto"/>
                <w:sz w:val="24"/>
                <w:szCs w:val="24"/>
              </w:rPr>
            </w:pPr>
            <w:r w:rsidRPr="00C358E1">
              <w:rPr>
                <w:rFonts w:ascii="Times New Roman" w:eastAsia="等线" w:hAnsi="Times New Roman" w:cs="Times New Roman"/>
                <w:color w:val="auto"/>
                <w:sz w:val="24"/>
                <w:szCs w:val="24"/>
              </w:rPr>
              <w:t>Placebo</w:t>
            </w:r>
          </w:p>
        </w:tc>
        <w:tc>
          <w:tcPr>
            <w:tcW w:w="1040" w:type="dxa"/>
            <w:tcBorders>
              <w:top w:val="single" w:sz="4" w:space="0" w:color="auto"/>
            </w:tcBorders>
            <w:noWrap/>
          </w:tcPr>
          <w:p w14:paraId="59ACEDE7" w14:textId="5646F15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w:t>
            </w:r>
            <w:r>
              <w:rPr>
                <w:rFonts w:ascii="Times New Roman" w:eastAsia="等线" w:hAnsi="Times New Roman" w:cs="Times New Roman" w:hint="eastAsia"/>
                <w:color w:val="auto"/>
                <w:sz w:val="24"/>
                <w:szCs w:val="24"/>
              </w:rPr>
              <w:t>745</w:t>
            </w:r>
          </w:p>
        </w:tc>
      </w:tr>
      <w:tr w:rsidR="00AB5106" w14:paraId="59ACEDEB" w14:textId="77777777">
        <w:trPr>
          <w:trHeight w:val="280"/>
        </w:trPr>
        <w:tc>
          <w:tcPr>
            <w:tcW w:w="1469" w:type="dxa"/>
            <w:noWrap/>
          </w:tcPr>
          <w:p w14:paraId="59ACEDE9" w14:textId="77777777" w:rsidR="00AB5106" w:rsidRDefault="00A9240F">
            <w:pPr>
              <w:framePr w:wrap="auto" w:yAlign="inline"/>
              <w:jc w:val="left"/>
              <w:rPr>
                <w:rFonts w:ascii="Times New Roman" w:eastAsia="等线" w:hAnsi="Times New Roman" w:cs="Times New Roman"/>
                <w:color w:val="auto"/>
                <w:sz w:val="24"/>
                <w:szCs w:val="24"/>
              </w:rPr>
            </w:pPr>
            <w:r w:rsidRPr="00C358E1">
              <w:rPr>
                <w:rFonts w:ascii="Times New Roman" w:eastAsia="等线" w:hAnsi="Times New Roman" w:cs="Times New Roman"/>
                <w:color w:val="auto"/>
                <w:sz w:val="24"/>
                <w:szCs w:val="24"/>
              </w:rPr>
              <w:t>Mosapride</w:t>
            </w:r>
          </w:p>
        </w:tc>
        <w:tc>
          <w:tcPr>
            <w:tcW w:w="1040" w:type="dxa"/>
            <w:noWrap/>
          </w:tcPr>
          <w:p w14:paraId="59ACEDEA" w14:textId="4E571763"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w:t>
            </w:r>
            <w:r>
              <w:rPr>
                <w:rFonts w:ascii="Times New Roman" w:eastAsia="等线" w:hAnsi="Times New Roman" w:cs="Times New Roman" w:hint="eastAsia"/>
                <w:color w:val="auto"/>
                <w:sz w:val="24"/>
                <w:szCs w:val="24"/>
              </w:rPr>
              <w:t>50</w:t>
            </w:r>
            <w:r w:rsidR="00E33C14">
              <w:rPr>
                <w:rFonts w:ascii="Times New Roman" w:eastAsia="等线" w:hAnsi="Times New Roman" w:cs="Times New Roman"/>
                <w:color w:val="auto"/>
                <w:sz w:val="24"/>
                <w:szCs w:val="24"/>
              </w:rPr>
              <w:t>8</w:t>
            </w:r>
          </w:p>
        </w:tc>
      </w:tr>
      <w:tr w:rsidR="00AB5106" w14:paraId="59ACEDEE" w14:textId="77777777">
        <w:trPr>
          <w:trHeight w:val="280"/>
        </w:trPr>
        <w:tc>
          <w:tcPr>
            <w:tcW w:w="1469" w:type="dxa"/>
            <w:noWrap/>
          </w:tcPr>
          <w:p w14:paraId="59ACEDEC" w14:textId="77777777" w:rsidR="00AB5106" w:rsidRDefault="00A9240F">
            <w:pPr>
              <w:framePr w:wrap="auto" w:yAlign="inline"/>
              <w:jc w:val="left"/>
              <w:rPr>
                <w:rFonts w:ascii="Times New Roman" w:eastAsia="等线" w:hAnsi="Times New Roman" w:cs="Times New Roman"/>
                <w:color w:val="auto"/>
                <w:sz w:val="24"/>
                <w:szCs w:val="24"/>
              </w:rPr>
            </w:pPr>
            <w:r w:rsidRPr="00C358E1">
              <w:rPr>
                <w:rFonts w:ascii="Times New Roman" w:eastAsia="等线" w:hAnsi="Times New Roman" w:cs="Times New Roman"/>
                <w:color w:val="auto"/>
                <w:sz w:val="24"/>
                <w:szCs w:val="24"/>
              </w:rPr>
              <w:t>Acotiamide</w:t>
            </w:r>
          </w:p>
        </w:tc>
        <w:tc>
          <w:tcPr>
            <w:tcW w:w="1040" w:type="dxa"/>
            <w:noWrap/>
          </w:tcPr>
          <w:p w14:paraId="59ACEDED" w14:textId="5E1E87D9"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w:t>
            </w:r>
            <w:r>
              <w:rPr>
                <w:rFonts w:ascii="Times New Roman" w:eastAsia="等线" w:hAnsi="Times New Roman" w:cs="Times New Roman" w:hint="eastAsia"/>
                <w:color w:val="auto"/>
                <w:sz w:val="24"/>
                <w:szCs w:val="24"/>
              </w:rPr>
              <w:t>247</w:t>
            </w:r>
          </w:p>
        </w:tc>
      </w:tr>
    </w:tbl>
    <w:p w14:paraId="59ACEDEF" w14:textId="77777777" w:rsidR="00AB5106" w:rsidRDefault="00AB5106">
      <w:pPr>
        <w:framePr w:wrap="auto" w:yAlign="inline"/>
        <w:rPr>
          <w:rFonts w:ascii="Times New Roman" w:eastAsia="等线" w:hAnsi="Times New Roman" w:cs="Times New Roman"/>
          <w:color w:val="auto"/>
          <w:sz w:val="24"/>
          <w:szCs w:val="24"/>
        </w:rPr>
      </w:pPr>
    </w:p>
    <w:p w14:paraId="76B3B511" w14:textId="77777777" w:rsidR="009F4D61" w:rsidRDefault="00A9240F" w:rsidP="009F4D61">
      <w:pPr>
        <w:framePr w:wrap="auto" w:yAlign="inline"/>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Notes: SUCRA: surface under the cumulative ranking curve.</w:t>
      </w:r>
      <w:r w:rsidR="009F4D61">
        <w:rPr>
          <w:rFonts w:ascii="Times New Roman" w:eastAsia="等线" w:hAnsi="Times New Roman" w:cs="Times New Roman"/>
          <w:color w:val="auto"/>
          <w:sz w:val="24"/>
          <w:szCs w:val="24"/>
        </w:rPr>
        <w:t xml:space="preserve"> Higher value means higher probability of a safer drug. Due to insufficient reporting of this outcome, there were two treatment loops: cinitapride-itropride-domperidone loop and acotiamide-mosapride-placebo loop. Therefore, there were one ranking result within each loop. Higher value means higher probability of a safer drug.</w:t>
      </w:r>
    </w:p>
    <w:p w14:paraId="59ACEDF2" w14:textId="77777777" w:rsidR="00AB5106" w:rsidRDefault="00AB5106">
      <w:pPr>
        <w:framePr w:wrap="auto" w:yAlign="inline"/>
        <w:rPr>
          <w:rFonts w:ascii="Times New Roman" w:eastAsia="宋体" w:hAnsi="Times New Roman" w:cs="Times New Roman"/>
          <w:color w:val="auto"/>
          <w:szCs w:val="24"/>
        </w:rPr>
      </w:pPr>
    </w:p>
    <w:p w14:paraId="59ACEDF3" w14:textId="77777777" w:rsidR="00AB5106" w:rsidRDefault="00AB5106">
      <w:pPr>
        <w:framePr w:wrap="auto" w:yAlign="inline"/>
        <w:rPr>
          <w:rFonts w:ascii="Times New Roman" w:eastAsia="宋体" w:hAnsi="Times New Roman" w:cs="Times New Roman"/>
          <w:color w:val="auto"/>
          <w:szCs w:val="24"/>
        </w:rPr>
      </w:pPr>
    </w:p>
    <w:p w14:paraId="59ACEDF4" w14:textId="77777777" w:rsidR="00AB5106" w:rsidRDefault="00AB5106">
      <w:pPr>
        <w:framePr w:wrap="auto" w:yAlign="inline"/>
        <w:rPr>
          <w:rFonts w:ascii="Times New Roman" w:eastAsia="宋体" w:hAnsi="Times New Roman" w:cs="Times New Roman"/>
          <w:color w:val="auto"/>
          <w:szCs w:val="24"/>
        </w:rPr>
      </w:pPr>
    </w:p>
    <w:p w14:paraId="59ACEDF5" w14:textId="77777777" w:rsidR="00AB5106" w:rsidRDefault="00AB5106">
      <w:pPr>
        <w:framePr w:wrap="auto" w:yAlign="inline"/>
        <w:rPr>
          <w:rFonts w:ascii="Times New Roman" w:eastAsia="宋体" w:hAnsi="Times New Roman" w:cs="Times New Roman"/>
          <w:color w:val="auto"/>
          <w:szCs w:val="24"/>
        </w:rPr>
      </w:pPr>
    </w:p>
    <w:p w14:paraId="59ACEDF6" w14:textId="77777777" w:rsidR="00AB5106" w:rsidRDefault="00AB5106">
      <w:pPr>
        <w:framePr w:wrap="auto" w:yAlign="inline"/>
        <w:rPr>
          <w:rFonts w:ascii="Times New Roman" w:eastAsia="宋体" w:hAnsi="Times New Roman" w:cs="Times New Roman"/>
          <w:color w:val="auto"/>
          <w:szCs w:val="24"/>
        </w:rPr>
      </w:pPr>
    </w:p>
    <w:p w14:paraId="59ACEDF7" w14:textId="77777777" w:rsidR="00AB5106" w:rsidRDefault="00AB5106">
      <w:pPr>
        <w:framePr w:wrap="auto" w:yAlign="inline"/>
        <w:rPr>
          <w:rFonts w:ascii="Times New Roman" w:eastAsia="宋体" w:hAnsi="Times New Roman" w:cs="Times New Roman"/>
          <w:color w:val="auto"/>
          <w:szCs w:val="24"/>
        </w:rPr>
      </w:pPr>
    </w:p>
    <w:p w14:paraId="59ACEDF8" w14:textId="77777777" w:rsidR="00AB5106" w:rsidRDefault="00AB5106">
      <w:pPr>
        <w:framePr w:wrap="auto" w:yAlign="inline"/>
        <w:rPr>
          <w:rFonts w:ascii="Times New Roman" w:eastAsia="宋体" w:hAnsi="Times New Roman" w:cs="Times New Roman"/>
          <w:color w:val="auto"/>
          <w:szCs w:val="24"/>
        </w:rPr>
      </w:pPr>
    </w:p>
    <w:p w14:paraId="59ACEDF9" w14:textId="77777777" w:rsidR="00AB5106" w:rsidRDefault="00AB5106">
      <w:pPr>
        <w:framePr w:wrap="auto" w:yAlign="inline"/>
        <w:rPr>
          <w:rFonts w:ascii="Times New Roman" w:eastAsia="宋体" w:hAnsi="Times New Roman" w:cs="Times New Roman"/>
          <w:color w:val="auto"/>
          <w:szCs w:val="24"/>
        </w:rPr>
      </w:pPr>
    </w:p>
    <w:p w14:paraId="59ACEDFA" w14:textId="77777777" w:rsidR="00AB5106" w:rsidRDefault="00AB5106">
      <w:pPr>
        <w:framePr w:wrap="auto" w:yAlign="inline"/>
        <w:rPr>
          <w:rFonts w:ascii="Times New Roman" w:eastAsia="宋体" w:hAnsi="Times New Roman" w:cs="Times New Roman"/>
          <w:color w:val="auto"/>
          <w:szCs w:val="24"/>
        </w:rPr>
      </w:pPr>
    </w:p>
    <w:p w14:paraId="59ACEDFB" w14:textId="77777777" w:rsidR="00AB5106" w:rsidRDefault="00AB5106">
      <w:pPr>
        <w:framePr w:wrap="auto" w:yAlign="inline"/>
        <w:rPr>
          <w:rFonts w:ascii="Times New Roman" w:eastAsia="宋体" w:hAnsi="Times New Roman" w:cs="Times New Roman"/>
          <w:color w:val="auto"/>
          <w:szCs w:val="24"/>
        </w:rPr>
      </w:pPr>
    </w:p>
    <w:p w14:paraId="59ACEDFC" w14:textId="77777777" w:rsidR="00AB5106" w:rsidRDefault="00AB5106">
      <w:pPr>
        <w:framePr w:wrap="auto" w:yAlign="inline"/>
        <w:rPr>
          <w:rFonts w:ascii="Times New Roman" w:eastAsia="宋体" w:hAnsi="Times New Roman" w:cs="Times New Roman"/>
          <w:color w:val="auto"/>
          <w:szCs w:val="24"/>
        </w:rPr>
      </w:pPr>
    </w:p>
    <w:p w14:paraId="59ACEDFD" w14:textId="77777777" w:rsidR="00AB5106" w:rsidRDefault="00AB5106">
      <w:pPr>
        <w:framePr w:wrap="auto" w:yAlign="inline"/>
        <w:rPr>
          <w:rFonts w:ascii="Times New Roman" w:eastAsia="宋体" w:hAnsi="Times New Roman" w:cs="Times New Roman"/>
          <w:color w:val="auto"/>
          <w:szCs w:val="24"/>
        </w:rPr>
      </w:pPr>
    </w:p>
    <w:p w14:paraId="59ACEDFE" w14:textId="77777777" w:rsidR="00AB5106" w:rsidRDefault="00AB5106">
      <w:pPr>
        <w:framePr w:wrap="auto" w:yAlign="inline"/>
        <w:rPr>
          <w:rFonts w:ascii="Times New Roman" w:eastAsia="宋体" w:hAnsi="Times New Roman" w:cs="Times New Roman"/>
          <w:color w:val="auto"/>
          <w:szCs w:val="24"/>
        </w:rPr>
      </w:pPr>
    </w:p>
    <w:p w14:paraId="59ACEDFF" w14:textId="77777777" w:rsidR="00AB5106" w:rsidRDefault="00AB5106">
      <w:pPr>
        <w:framePr w:wrap="auto" w:yAlign="inline"/>
        <w:rPr>
          <w:rFonts w:ascii="Times New Roman" w:eastAsia="宋体" w:hAnsi="Times New Roman" w:cs="Times New Roman"/>
          <w:color w:val="auto"/>
          <w:szCs w:val="24"/>
        </w:rPr>
      </w:pPr>
    </w:p>
    <w:p w14:paraId="59ACEE00" w14:textId="77777777" w:rsidR="00AB5106" w:rsidRDefault="00AB5106">
      <w:pPr>
        <w:framePr w:wrap="auto" w:yAlign="inline"/>
        <w:rPr>
          <w:rFonts w:ascii="Times New Roman" w:eastAsia="宋体" w:hAnsi="Times New Roman" w:cs="Times New Roman"/>
          <w:color w:val="auto"/>
          <w:szCs w:val="24"/>
        </w:rPr>
      </w:pPr>
    </w:p>
    <w:p w14:paraId="59ACEE01" w14:textId="77777777" w:rsidR="00AB5106" w:rsidRDefault="00AB5106">
      <w:pPr>
        <w:framePr w:wrap="auto" w:yAlign="inline"/>
        <w:rPr>
          <w:rFonts w:ascii="Times New Roman" w:eastAsia="宋体" w:hAnsi="Times New Roman" w:cs="Times New Roman"/>
          <w:color w:val="auto"/>
          <w:szCs w:val="24"/>
        </w:rPr>
      </w:pPr>
    </w:p>
    <w:p w14:paraId="59ACEE02" w14:textId="77777777" w:rsidR="00AB5106" w:rsidRDefault="00AB5106">
      <w:pPr>
        <w:framePr w:wrap="auto" w:yAlign="inline"/>
        <w:rPr>
          <w:rFonts w:ascii="Times New Roman" w:eastAsia="宋体" w:hAnsi="Times New Roman" w:cs="Times New Roman"/>
          <w:color w:val="auto"/>
          <w:szCs w:val="24"/>
        </w:rPr>
      </w:pPr>
    </w:p>
    <w:p w14:paraId="59ACEE0B" w14:textId="1314656A" w:rsidR="00AB5106" w:rsidRDefault="00A9240F">
      <w:pPr>
        <w:keepNext/>
        <w:framePr w:wrap="auto" w:yAlign="inline"/>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lastRenderedPageBreak/>
        <w:t xml:space="preserve">Supplementary Table 6 SUCRA of </w:t>
      </w:r>
      <w:r w:rsidR="009F4D61">
        <w:rPr>
          <w:rFonts w:ascii="Times New Roman" w:eastAsia="黑体" w:hAnsi="Times New Roman" w:cs="Times New Roman"/>
          <w:color w:val="auto"/>
          <w:sz w:val="24"/>
          <w:szCs w:val="24"/>
        </w:rPr>
        <w:t xml:space="preserve">each treatment for </w:t>
      </w:r>
      <w:r>
        <w:rPr>
          <w:rFonts w:ascii="Times New Roman" w:eastAsia="黑体" w:hAnsi="Times New Roman" w:cs="Times New Roman"/>
          <w:color w:val="auto"/>
          <w:sz w:val="24"/>
          <w:szCs w:val="24"/>
        </w:rPr>
        <w:t>drug-related adverse events related to prokinetics</w:t>
      </w:r>
    </w:p>
    <w:tbl>
      <w:tblPr>
        <w:tblStyle w:val="61"/>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1040"/>
      </w:tblGrid>
      <w:tr w:rsidR="00AB5106" w14:paraId="59ACEE0E" w14:textId="77777777">
        <w:trPr>
          <w:trHeight w:val="280"/>
        </w:trPr>
        <w:tc>
          <w:tcPr>
            <w:tcW w:w="1536" w:type="dxa"/>
            <w:tcBorders>
              <w:top w:val="single" w:sz="8" w:space="0" w:color="auto"/>
              <w:bottom w:val="single" w:sz="4" w:space="0" w:color="auto"/>
            </w:tcBorders>
            <w:noWrap/>
          </w:tcPr>
          <w:p w14:paraId="59ACEE0C"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Treatment</w:t>
            </w:r>
          </w:p>
        </w:tc>
        <w:tc>
          <w:tcPr>
            <w:tcW w:w="1040" w:type="dxa"/>
            <w:tcBorders>
              <w:top w:val="single" w:sz="8" w:space="0" w:color="auto"/>
              <w:bottom w:val="single" w:sz="4" w:space="0" w:color="auto"/>
            </w:tcBorders>
            <w:noWrap/>
          </w:tcPr>
          <w:p w14:paraId="59ACEE0D"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SUCRA</w:t>
            </w:r>
          </w:p>
        </w:tc>
      </w:tr>
      <w:tr w:rsidR="00AB5106" w14:paraId="59ACEE11" w14:textId="77777777">
        <w:trPr>
          <w:trHeight w:val="280"/>
        </w:trPr>
        <w:tc>
          <w:tcPr>
            <w:tcW w:w="1536" w:type="dxa"/>
            <w:tcBorders>
              <w:top w:val="single" w:sz="4" w:space="0" w:color="auto"/>
            </w:tcBorders>
            <w:noWrap/>
          </w:tcPr>
          <w:p w14:paraId="59ACEE0F"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Domperidone</w:t>
            </w:r>
          </w:p>
        </w:tc>
        <w:tc>
          <w:tcPr>
            <w:tcW w:w="1040" w:type="dxa"/>
            <w:tcBorders>
              <w:top w:val="single" w:sz="4" w:space="0" w:color="auto"/>
            </w:tcBorders>
            <w:noWrap/>
          </w:tcPr>
          <w:p w14:paraId="59ACEE10" w14:textId="24FB33E4"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0.691</w:t>
            </w:r>
          </w:p>
        </w:tc>
      </w:tr>
      <w:tr w:rsidR="00AB5106" w14:paraId="59ACEE14" w14:textId="77777777">
        <w:trPr>
          <w:trHeight w:val="280"/>
        </w:trPr>
        <w:tc>
          <w:tcPr>
            <w:tcW w:w="1536" w:type="dxa"/>
            <w:noWrap/>
          </w:tcPr>
          <w:p w14:paraId="59ACEE12"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Cinitapride</w:t>
            </w:r>
          </w:p>
        </w:tc>
        <w:tc>
          <w:tcPr>
            <w:tcW w:w="1040" w:type="dxa"/>
            <w:noWrap/>
          </w:tcPr>
          <w:p w14:paraId="59ACEE13"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0.687</w:t>
            </w:r>
          </w:p>
        </w:tc>
      </w:tr>
      <w:tr w:rsidR="00AB5106" w14:paraId="59ACEE17" w14:textId="77777777">
        <w:trPr>
          <w:trHeight w:val="280"/>
        </w:trPr>
        <w:tc>
          <w:tcPr>
            <w:tcW w:w="1536" w:type="dxa"/>
            <w:noWrap/>
          </w:tcPr>
          <w:p w14:paraId="59ACEE15"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Placebo</w:t>
            </w:r>
          </w:p>
        </w:tc>
        <w:tc>
          <w:tcPr>
            <w:tcW w:w="1040" w:type="dxa"/>
            <w:noWrap/>
          </w:tcPr>
          <w:p w14:paraId="59ACEE16" w14:textId="4B96031C"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0.51</w:t>
            </w:r>
            <w:r w:rsidR="00E33C14">
              <w:rPr>
                <w:rFonts w:ascii="Times New Roman" w:eastAsia="等线" w:hAnsi="Times New Roman" w:cs="Times New Roman"/>
                <w:color w:val="auto"/>
                <w:sz w:val="24"/>
                <w:szCs w:val="24"/>
              </w:rPr>
              <w:t>2</w:t>
            </w:r>
          </w:p>
        </w:tc>
      </w:tr>
      <w:tr w:rsidR="00AB5106" w14:paraId="59ACEE1A" w14:textId="77777777">
        <w:trPr>
          <w:trHeight w:val="280"/>
        </w:trPr>
        <w:tc>
          <w:tcPr>
            <w:tcW w:w="1536" w:type="dxa"/>
            <w:noWrap/>
          </w:tcPr>
          <w:p w14:paraId="59ACEE18"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Itopride</w:t>
            </w:r>
          </w:p>
        </w:tc>
        <w:tc>
          <w:tcPr>
            <w:tcW w:w="1040" w:type="dxa"/>
            <w:noWrap/>
          </w:tcPr>
          <w:p w14:paraId="59ACEE19" w14:textId="11B98AD6"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0.328</w:t>
            </w:r>
          </w:p>
        </w:tc>
      </w:tr>
      <w:tr w:rsidR="00AB5106" w14:paraId="59ACEE1D" w14:textId="77777777">
        <w:trPr>
          <w:trHeight w:val="280"/>
        </w:trPr>
        <w:tc>
          <w:tcPr>
            <w:tcW w:w="1536" w:type="dxa"/>
            <w:noWrap/>
          </w:tcPr>
          <w:p w14:paraId="59ACEE1B" w14:textId="77777777"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Acotiamide</w:t>
            </w:r>
          </w:p>
        </w:tc>
        <w:tc>
          <w:tcPr>
            <w:tcW w:w="1040" w:type="dxa"/>
            <w:noWrap/>
          </w:tcPr>
          <w:p w14:paraId="59ACEE1C" w14:textId="1F7260BA" w:rsidR="00AB5106" w:rsidRDefault="00A9240F">
            <w:pPr>
              <w:framePr w:wrap="auto" w:yAlign="inline"/>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0.282</w:t>
            </w:r>
          </w:p>
        </w:tc>
      </w:tr>
    </w:tbl>
    <w:p w14:paraId="59ACEE1E" w14:textId="686A4872" w:rsidR="00AB5106" w:rsidRDefault="00A9240F">
      <w:pPr>
        <w:framePr w:wrap="auto" w:yAlign="inline"/>
        <w:rPr>
          <w:rFonts w:ascii="Times New Roman" w:eastAsiaTheme="minorEastAsia" w:hAnsi="Times New Roman" w:cs="Times New Roman"/>
        </w:rPr>
      </w:pPr>
      <w:r>
        <w:rPr>
          <w:rFonts w:ascii="Times New Roman" w:eastAsia="等线" w:hAnsi="Times New Roman" w:cs="Times New Roman"/>
          <w:color w:val="auto"/>
          <w:sz w:val="24"/>
          <w:szCs w:val="24"/>
        </w:rPr>
        <w:t>`Notes: SUCRA: surface under the cumulative ranking curv</w:t>
      </w:r>
      <w:r>
        <w:rPr>
          <w:rFonts w:ascii="Times New Roman" w:eastAsia="等线" w:hAnsi="Times New Roman" w:cs="Times New Roman" w:hint="eastAsia"/>
          <w:color w:val="auto"/>
          <w:sz w:val="24"/>
          <w:szCs w:val="24"/>
        </w:rPr>
        <w:t>e</w:t>
      </w:r>
      <w:r>
        <w:rPr>
          <w:rFonts w:ascii="Times New Roman" w:eastAsia="等线" w:hAnsi="Times New Roman" w:cs="Times New Roman"/>
          <w:color w:val="auto"/>
          <w:sz w:val="24"/>
          <w:szCs w:val="24"/>
        </w:rPr>
        <w:t>.</w:t>
      </w:r>
      <w:r w:rsidR="009F4D61">
        <w:rPr>
          <w:rFonts w:ascii="Times New Roman" w:eastAsia="等线" w:hAnsi="Times New Roman" w:cs="Times New Roman"/>
          <w:color w:val="auto"/>
          <w:sz w:val="24"/>
          <w:szCs w:val="24"/>
        </w:rPr>
        <w:t xml:space="preserve"> Higher value means higher probability of a safer drug. </w:t>
      </w:r>
    </w:p>
    <w:sectPr w:rsidR="00AB5106">
      <w:headerReference w:type="default" r:id="rId7"/>
      <w:footerReference w:type="default" r:id="rId8"/>
      <w:pgSz w:w="16840" w:h="11900" w:orient="landscape"/>
      <w:pgMar w:top="1797" w:right="1440" w:bottom="1797" w:left="1440"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CEE25" w14:textId="77777777" w:rsidR="00223172" w:rsidRDefault="00A9240F">
      <w:pPr>
        <w:framePr w:wrap="around"/>
      </w:pPr>
      <w:r>
        <w:separator/>
      </w:r>
    </w:p>
  </w:endnote>
  <w:endnote w:type="continuationSeparator" w:id="0">
    <w:p w14:paraId="59ACEE27" w14:textId="77777777" w:rsidR="00223172" w:rsidRDefault="00A9240F">
      <w:pPr>
        <w:framePr w:wrap="around"/>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PygvwrAdvTTe45e47d2">
    <w:altName w:val="Cambria"/>
    <w:charset w:val="00"/>
    <w:family w:val="roman"/>
    <w:pitch w:val="default"/>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CEE20" w14:textId="77777777" w:rsidR="00AB5106" w:rsidRDefault="00AB5106">
    <w:pPr>
      <w:pStyle w:val="af2"/>
      <w:framePr w:wrap="auto" w:yAlign="inli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CEE21" w14:textId="77777777" w:rsidR="00223172" w:rsidRDefault="00A9240F">
      <w:pPr>
        <w:framePr w:wrap="around"/>
      </w:pPr>
      <w:r>
        <w:separator/>
      </w:r>
    </w:p>
  </w:footnote>
  <w:footnote w:type="continuationSeparator" w:id="0">
    <w:p w14:paraId="59ACEE23" w14:textId="77777777" w:rsidR="00223172" w:rsidRDefault="00A9240F">
      <w:pPr>
        <w:framePr w:wrap="around"/>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CEE1F" w14:textId="77777777" w:rsidR="00AB5106" w:rsidRDefault="00AB5106">
    <w:pPr>
      <w:pStyle w:val="af2"/>
      <w:framePr w:wrap="auto" w:yAlign="inli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0"/>
  <w:characterSpacingControl w:val="doNotCompress"/>
  <w:noLineBreaksAfter w:lang="zh-CN" w:val="([{«‘“⦅〈《「『【〔〖〘〝︵︷︹︻︽︿﹁﹃﹇﹙﹛﹝｢"/>
  <w:noLineBreaksBefore w:lang="zh-CN" w:va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Y4ZmVjNTFlZmM3NzRlYjc2ZDBjZjNhOGVkNjNhZDgifQ=="/>
    <w:docVar w:name="EN.InstantFormat" w:val="&lt;ENInstantFormat&gt;&lt;Enabled&gt;0&lt;/Enabled&gt;&lt;ScanUnformatted&gt;1&lt;/ScanUnformatted&gt;&lt;ScanChanges&gt;1&lt;/ScanChanges&gt;&lt;Suspended&gt;1&lt;/Suspended&gt;&lt;/ENInstantFormat&gt;"/>
    <w:docVar w:name="EN.Layout" w:val="&lt;ENLayout&gt;&lt;Style&gt;BMC Gastroenter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ffrex0lrfrsmep9xsv2wz29t0z9vpdtxet&quot;&gt;我的EndNote库&lt;record-ids&gt;&lt;item&gt;246&lt;/item&gt;&lt;item&gt;248&lt;/item&gt;&lt;item&gt;249&lt;/item&gt;&lt;item&gt;250&lt;/item&gt;&lt;item&gt;251&lt;/item&gt;&lt;item&gt;253&lt;/item&gt;&lt;item&gt;254&lt;/item&gt;&lt;item&gt;255&lt;/item&gt;&lt;item&gt;256&lt;/item&gt;&lt;item&gt;257&lt;/item&gt;&lt;item&gt;258&lt;/item&gt;&lt;item&gt;259&lt;/item&gt;&lt;item&gt;260&lt;/item&gt;&lt;item&gt;262&lt;/item&gt;&lt;item&gt;264&lt;/item&gt;&lt;item&gt;267&lt;/item&gt;&lt;item&gt;268&lt;/item&gt;&lt;item&gt;270&lt;/item&gt;&lt;item&gt;271&lt;/item&gt;&lt;item&gt;272&lt;/item&gt;&lt;item&gt;273&lt;/item&gt;&lt;item&gt;274&lt;/item&gt;&lt;item&gt;275&lt;/item&gt;&lt;item&gt;276&lt;/item&gt;&lt;item&gt;277&lt;/item&gt;&lt;item&gt;311&lt;/item&gt;&lt;item&gt;312&lt;/item&gt;&lt;item&gt;313&lt;/item&gt;&lt;item&gt;314&lt;/item&gt;&lt;item&gt;315&lt;/item&gt;&lt;item&gt;316&lt;/item&gt;&lt;item&gt;317&lt;/item&gt;&lt;/record-ids&gt;&lt;/item&gt;&lt;/Libraries&gt;"/>
  </w:docVars>
  <w:rsids>
    <w:rsidRoot w:val="00602955"/>
    <w:rsid w:val="CBF76D9D"/>
    <w:rsid w:val="D3D97340"/>
    <w:rsid w:val="DFF9474C"/>
    <w:rsid w:val="EDEE500A"/>
    <w:rsid w:val="FEFE00C2"/>
    <w:rsid w:val="FF7CDF4B"/>
    <w:rsid w:val="000021B8"/>
    <w:rsid w:val="000043A5"/>
    <w:rsid w:val="00005A48"/>
    <w:rsid w:val="00010E8A"/>
    <w:rsid w:val="000119DD"/>
    <w:rsid w:val="00012F64"/>
    <w:rsid w:val="00014415"/>
    <w:rsid w:val="00014AEF"/>
    <w:rsid w:val="00016F7E"/>
    <w:rsid w:val="00021198"/>
    <w:rsid w:val="00026421"/>
    <w:rsid w:val="00026851"/>
    <w:rsid w:val="00026B68"/>
    <w:rsid w:val="00032DEB"/>
    <w:rsid w:val="00032F64"/>
    <w:rsid w:val="00036305"/>
    <w:rsid w:val="00036823"/>
    <w:rsid w:val="000407A7"/>
    <w:rsid w:val="00042E7B"/>
    <w:rsid w:val="00042E90"/>
    <w:rsid w:val="0004389B"/>
    <w:rsid w:val="00045143"/>
    <w:rsid w:val="000458DB"/>
    <w:rsid w:val="00047319"/>
    <w:rsid w:val="00052509"/>
    <w:rsid w:val="00053211"/>
    <w:rsid w:val="000538C2"/>
    <w:rsid w:val="000549F0"/>
    <w:rsid w:val="0005631D"/>
    <w:rsid w:val="000575CE"/>
    <w:rsid w:val="00061CFA"/>
    <w:rsid w:val="000620F0"/>
    <w:rsid w:val="000625F3"/>
    <w:rsid w:val="000747E9"/>
    <w:rsid w:val="0008115D"/>
    <w:rsid w:val="00083051"/>
    <w:rsid w:val="000851DD"/>
    <w:rsid w:val="000866CD"/>
    <w:rsid w:val="000870E1"/>
    <w:rsid w:val="00097798"/>
    <w:rsid w:val="000A1208"/>
    <w:rsid w:val="000A20B9"/>
    <w:rsid w:val="000A356E"/>
    <w:rsid w:val="000A620C"/>
    <w:rsid w:val="000A662F"/>
    <w:rsid w:val="000A798F"/>
    <w:rsid w:val="000B4A41"/>
    <w:rsid w:val="000B503A"/>
    <w:rsid w:val="000B5D6C"/>
    <w:rsid w:val="000B698B"/>
    <w:rsid w:val="000B79DB"/>
    <w:rsid w:val="000C0EC4"/>
    <w:rsid w:val="000C2C5A"/>
    <w:rsid w:val="000C59AE"/>
    <w:rsid w:val="000C5FDA"/>
    <w:rsid w:val="000D33F7"/>
    <w:rsid w:val="000D436C"/>
    <w:rsid w:val="000D43A8"/>
    <w:rsid w:val="000D6D9A"/>
    <w:rsid w:val="000E102A"/>
    <w:rsid w:val="000E2AF0"/>
    <w:rsid w:val="000E4848"/>
    <w:rsid w:val="000F2E03"/>
    <w:rsid w:val="000F3E09"/>
    <w:rsid w:val="000F40C0"/>
    <w:rsid w:val="000F58F1"/>
    <w:rsid w:val="000F6045"/>
    <w:rsid w:val="000F7C00"/>
    <w:rsid w:val="000F7E75"/>
    <w:rsid w:val="001050A2"/>
    <w:rsid w:val="00106F5C"/>
    <w:rsid w:val="00110FF6"/>
    <w:rsid w:val="00111BBE"/>
    <w:rsid w:val="00112768"/>
    <w:rsid w:val="00114454"/>
    <w:rsid w:val="001178F4"/>
    <w:rsid w:val="00120B54"/>
    <w:rsid w:val="001259CA"/>
    <w:rsid w:val="00125E87"/>
    <w:rsid w:val="001279DD"/>
    <w:rsid w:val="00130AF9"/>
    <w:rsid w:val="00136656"/>
    <w:rsid w:val="001403DD"/>
    <w:rsid w:val="00140A39"/>
    <w:rsid w:val="00142547"/>
    <w:rsid w:val="00143CA2"/>
    <w:rsid w:val="00144757"/>
    <w:rsid w:val="00144A0A"/>
    <w:rsid w:val="00145FA7"/>
    <w:rsid w:val="001515C8"/>
    <w:rsid w:val="001546CC"/>
    <w:rsid w:val="00155BED"/>
    <w:rsid w:val="0015713B"/>
    <w:rsid w:val="00157867"/>
    <w:rsid w:val="00157DEF"/>
    <w:rsid w:val="00161E87"/>
    <w:rsid w:val="00163E21"/>
    <w:rsid w:val="001675B2"/>
    <w:rsid w:val="00167881"/>
    <w:rsid w:val="0017141A"/>
    <w:rsid w:val="00172E0A"/>
    <w:rsid w:val="00176170"/>
    <w:rsid w:val="00176374"/>
    <w:rsid w:val="00176C17"/>
    <w:rsid w:val="00176CD4"/>
    <w:rsid w:val="001806A9"/>
    <w:rsid w:val="001834EC"/>
    <w:rsid w:val="00183649"/>
    <w:rsid w:val="00183CC5"/>
    <w:rsid w:val="00185B7C"/>
    <w:rsid w:val="001861BD"/>
    <w:rsid w:val="00186732"/>
    <w:rsid w:val="00187E0F"/>
    <w:rsid w:val="001917A2"/>
    <w:rsid w:val="001936BF"/>
    <w:rsid w:val="001944FA"/>
    <w:rsid w:val="00195137"/>
    <w:rsid w:val="0019707B"/>
    <w:rsid w:val="001A045A"/>
    <w:rsid w:val="001A0EEA"/>
    <w:rsid w:val="001A47AA"/>
    <w:rsid w:val="001A49F5"/>
    <w:rsid w:val="001A676B"/>
    <w:rsid w:val="001A7170"/>
    <w:rsid w:val="001A788C"/>
    <w:rsid w:val="001A7A0C"/>
    <w:rsid w:val="001A7E47"/>
    <w:rsid w:val="001C182A"/>
    <w:rsid w:val="001C1EC7"/>
    <w:rsid w:val="001C3300"/>
    <w:rsid w:val="001C3452"/>
    <w:rsid w:val="001C35E0"/>
    <w:rsid w:val="001C4160"/>
    <w:rsid w:val="001C5DD0"/>
    <w:rsid w:val="001C6254"/>
    <w:rsid w:val="001D58C4"/>
    <w:rsid w:val="001D676E"/>
    <w:rsid w:val="001D6AE0"/>
    <w:rsid w:val="001D74F0"/>
    <w:rsid w:val="001E24B9"/>
    <w:rsid w:val="001E3DA1"/>
    <w:rsid w:val="001E6573"/>
    <w:rsid w:val="001E7DAA"/>
    <w:rsid w:val="001F104D"/>
    <w:rsid w:val="001F1D82"/>
    <w:rsid w:val="001F2065"/>
    <w:rsid w:val="001F2791"/>
    <w:rsid w:val="001F30A7"/>
    <w:rsid w:val="001F384C"/>
    <w:rsid w:val="001F3911"/>
    <w:rsid w:val="001F420D"/>
    <w:rsid w:val="001F4AB2"/>
    <w:rsid w:val="001F4C2F"/>
    <w:rsid w:val="00200053"/>
    <w:rsid w:val="00200258"/>
    <w:rsid w:val="0020069C"/>
    <w:rsid w:val="002037FD"/>
    <w:rsid w:val="002039C2"/>
    <w:rsid w:val="0020507B"/>
    <w:rsid w:val="00207A6F"/>
    <w:rsid w:val="00210416"/>
    <w:rsid w:val="00210B7C"/>
    <w:rsid w:val="002118EF"/>
    <w:rsid w:val="00212F30"/>
    <w:rsid w:val="00214DC0"/>
    <w:rsid w:val="002203F1"/>
    <w:rsid w:val="002220D8"/>
    <w:rsid w:val="00223172"/>
    <w:rsid w:val="0022459A"/>
    <w:rsid w:val="00224B6D"/>
    <w:rsid w:val="00224D0C"/>
    <w:rsid w:val="0022748C"/>
    <w:rsid w:val="00227E9C"/>
    <w:rsid w:val="00230316"/>
    <w:rsid w:val="00230D9C"/>
    <w:rsid w:val="00231D2D"/>
    <w:rsid w:val="002327FC"/>
    <w:rsid w:val="00232C4C"/>
    <w:rsid w:val="00233B8B"/>
    <w:rsid w:val="0023411A"/>
    <w:rsid w:val="00234497"/>
    <w:rsid w:val="00234E4F"/>
    <w:rsid w:val="00234FA4"/>
    <w:rsid w:val="00235852"/>
    <w:rsid w:val="002430DC"/>
    <w:rsid w:val="002433BC"/>
    <w:rsid w:val="00243733"/>
    <w:rsid w:val="00246082"/>
    <w:rsid w:val="002469D2"/>
    <w:rsid w:val="00246E26"/>
    <w:rsid w:val="002519FB"/>
    <w:rsid w:val="00254844"/>
    <w:rsid w:val="002559C9"/>
    <w:rsid w:val="00262350"/>
    <w:rsid w:val="0026587E"/>
    <w:rsid w:val="00265A5D"/>
    <w:rsid w:val="00265E6C"/>
    <w:rsid w:val="00265F61"/>
    <w:rsid w:val="002703E6"/>
    <w:rsid w:val="00272408"/>
    <w:rsid w:val="002724D2"/>
    <w:rsid w:val="00275A4C"/>
    <w:rsid w:val="002772E6"/>
    <w:rsid w:val="00277B2A"/>
    <w:rsid w:val="00282852"/>
    <w:rsid w:val="0028462A"/>
    <w:rsid w:val="00287186"/>
    <w:rsid w:val="00287FBA"/>
    <w:rsid w:val="00290642"/>
    <w:rsid w:val="00297A0F"/>
    <w:rsid w:val="002A109D"/>
    <w:rsid w:val="002A1FD7"/>
    <w:rsid w:val="002A370C"/>
    <w:rsid w:val="002A63C1"/>
    <w:rsid w:val="002A6890"/>
    <w:rsid w:val="002B0C2C"/>
    <w:rsid w:val="002B2330"/>
    <w:rsid w:val="002B319F"/>
    <w:rsid w:val="002C052F"/>
    <w:rsid w:val="002C0731"/>
    <w:rsid w:val="002C220C"/>
    <w:rsid w:val="002C3A2A"/>
    <w:rsid w:val="002C6E1E"/>
    <w:rsid w:val="002C704C"/>
    <w:rsid w:val="002D1198"/>
    <w:rsid w:val="002D11D5"/>
    <w:rsid w:val="002D18DF"/>
    <w:rsid w:val="002D1E85"/>
    <w:rsid w:val="002D26DE"/>
    <w:rsid w:val="002D2F91"/>
    <w:rsid w:val="002D33E6"/>
    <w:rsid w:val="002D392D"/>
    <w:rsid w:val="002D746B"/>
    <w:rsid w:val="002E3030"/>
    <w:rsid w:val="002E30F8"/>
    <w:rsid w:val="002E5F9C"/>
    <w:rsid w:val="002E676F"/>
    <w:rsid w:val="002E73FB"/>
    <w:rsid w:val="002F0475"/>
    <w:rsid w:val="002F15D0"/>
    <w:rsid w:val="002F16C6"/>
    <w:rsid w:val="002F16E6"/>
    <w:rsid w:val="002F2E2B"/>
    <w:rsid w:val="002F2F3B"/>
    <w:rsid w:val="002F4643"/>
    <w:rsid w:val="002F77C9"/>
    <w:rsid w:val="00300166"/>
    <w:rsid w:val="00305A9D"/>
    <w:rsid w:val="00305D80"/>
    <w:rsid w:val="003065D8"/>
    <w:rsid w:val="00307000"/>
    <w:rsid w:val="0031173A"/>
    <w:rsid w:val="00311DBD"/>
    <w:rsid w:val="00314404"/>
    <w:rsid w:val="00315870"/>
    <w:rsid w:val="0031617A"/>
    <w:rsid w:val="00316D31"/>
    <w:rsid w:val="003232BC"/>
    <w:rsid w:val="003266FC"/>
    <w:rsid w:val="00330FC4"/>
    <w:rsid w:val="003314A7"/>
    <w:rsid w:val="00335D72"/>
    <w:rsid w:val="003375DE"/>
    <w:rsid w:val="00337C92"/>
    <w:rsid w:val="00340734"/>
    <w:rsid w:val="00342472"/>
    <w:rsid w:val="003428F5"/>
    <w:rsid w:val="0034338A"/>
    <w:rsid w:val="00344FA3"/>
    <w:rsid w:val="003453CA"/>
    <w:rsid w:val="00347652"/>
    <w:rsid w:val="00350807"/>
    <w:rsid w:val="003514C2"/>
    <w:rsid w:val="003564A0"/>
    <w:rsid w:val="00357272"/>
    <w:rsid w:val="00357EA8"/>
    <w:rsid w:val="00360B0D"/>
    <w:rsid w:val="00360EC3"/>
    <w:rsid w:val="00361FBC"/>
    <w:rsid w:val="003642E1"/>
    <w:rsid w:val="003646E9"/>
    <w:rsid w:val="00366C62"/>
    <w:rsid w:val="0037480C"/>
    <w:rsid w:val="0037708B"/>
    <w:rsid w:val="00377D32"/>
    <w:rsid w:val="00380415"/>
    <w:rsid w:val="0038109D"/>
    <w:rsid w:val="0038407D"/>
    <w:rsid w:val="00384242"/>
    <w:rsid w:val="003852C8"/>
    <w:rsid w:val="003856AA"/>
    <w:rsid w:val="00385D5D"/>
    <w:rsid w:val="00386C4A"/>
    <w:rsid w:val="003872EB"/>
    <w:rsid w:val="00387304"/>
    <w:rsid w:val="00391A4F"/>
    <w:rsid w:val="00393FC0"/>
    <w:rsid w:val="003956BF"/>
    <w:rsid w:val="003968B9"/>
    <w:rsid w:val="00397A07"/>
    <w:rsid w:val="003A10F4"/>
    <w:rsid w:val="003A1105"/>
    <w:rsid w:val="003A1A50"/>
    <w:rsid w:val="003A2D3C"/>
    <w:rsid w:val="003A510C"/>
    <w:rsid w:val="003A6F86"/>
    <w:rsid w:val="003A79EC"/>
    <w:rsid w:val="003B0A28"/>
    <w:rsid w:val="003B1100"/>
    <w:rsid w:val="003B2B95"/>
    <w:rsid w:val="003B30A4"/>
    <w:rsid w:val="003B63F7"/>
    <w:rsid w:val="003B6B12"/>
    <w:rsid w:val="003B77B0"/>
    <w:rsid w:val="003C38F3"/>
    <w:rsid w:val="003C49BC"/>
    <w:rsid w:val="003C755A"/>
    <w:rsid w:val="003C7B52"/>
    <w:rsid w:val="003D077D"/>
    <w:rsid w:val="003D119D"/>
    <w:rsid w:val="003D32CF"/>
    <w:rsid w:val="003D33AF"/>
    <w:rsid w:val="003D57E8"/>
    <w:rsid w:val="003D57F4"/>
    <w:rsid w:val="003D6520"/>
    <w:rsid w:val="003E027A"/>
    <w:rsid w:val="003E1430"/>
    <w:rsid w:val="003E3327"/>
    <w:rsid w:val="003E4762"/>
    <w:rsid w:val="003E4DF5"/>
    <w:rsid w:val="003E53E4"/>
    <w:rsid w:val="003E76C5"/>
    <w:rsid w:val="003F14EC"/>
    <w:rsid w:val="003F2CAA"/>
    <w:rsid w:val="003F3F2E"/>
    <w:rsid w:val="003F42A9"/>
    <w:rsid w:val="003F43E6"/>
    <w:rsid w:val="003F49E1"/>
    <w:rsid w:val="003F555C"/>
    <w:rsid w:val="003F5FC3"/>
    <w:rsid w:val="003F690E"/>
    <w:rsid w:val="003F74BA"/>
    <w:rsid w:val="003F7A63"/>
    <w:rsid w:val="00400601"/>
    <w:rsid w:val="00400D1C"/>
    <w:rsid w:val="004045FA"/>
    <w:rsid w:val="004050FC"/>
    <w:rsid w:val="004060ED"/>
    <w:rsid w:val="004075D8"/>
    <w:rsid w:val="00410035"/>
    <w:rsid w:val="004117DD"/>
    <w:rsid w:val="00411F50"/>
    <w:rsid w:val="00412742"/>
    <w:rsid w:val="00415618"/>
    <w:rsid w:val="004158CB"/>
    <w:rsid w:val="00416339"/>
    <w:rsid w:val="00420F03"/>
    <w:rsid w:val="004221C1"/>
    <w:rsid w:val="0042242B"/>
    <w:rsid w:val="00422F4D"/>
    <w:rsid w:val="004231B5"/>
    <w:rsid w:val="00424F07"/>
    <w:rsid w:val="00425B62"/>
    <w:rsid w:val="00425EA6"/>
    <w:rsid w:val="00426627"/>
    <w:rsid w:val="0042671C"/>
    <w:rsid w:val="00430141"/>
    <w:rsid w:val="00431993"/>
    <w:rsid w:val="00431E54"/>
    <w:rsid w:val="0043345C"/>
    <w:rsid w:val="00434DE5"/>
    <w:rsid w:val="0043542F"/>
    <w:rsid w:val="004401CA"/>
    <w:rsid w:val="0044074D"/>
    <w:rsid w:val="00442774"/>
    <w:rsid w:val="0044313A"/>
    <w:rsid w:val="00446466"/>
    <w:rsid w:val="00451490"/>
    <w:rsid w:val="00455D08"/>
    <w:rsid w:val="00455FC5"/>
    <w:rsid w:val="00456564"/>
    <w:rsid w:val="00456720"/>
    <w:rsid w:val="0045692B"/>
    <w:rsid w:val="00460B64"/>
    <w:rsid w:val="00464C72"/>
    <w:rsid w:val="00466109"/>
    <w:rsid w:val="00470315"/>
    <w:rsid w:val="004711C1"/>
    <w:rsid w:val="00472EA2"/>
    <w:rsid w:val="00474A8D"/>
    <w:rsid w:val="0048060A"/>
    <w:rsid w:val="00480810"/>
    <w:rsid w:val="00481782"/>
    <w:rsid w:val="00482388"/>
    <w:rsid w:val="00482F35"/>
    <w:rsid w:val="0048688A"/>
    <w:rsid w:val="00487CBD"/>
    <w:rsid w:val="00491102"/>
    <w:rsid w:val="00492784"/>
    <w:rsid w:val="00493EC6"/>
    <w:rsid w:val="0049411F"/>
    <w:rsid w:val="004970DE"/>
    <w:rsid w:val="00497BEF"/>
    <w:rsid w:val="00497FD2"/>
    <w:rsid w:val="004A272A"/>
    <w:rsid w:val="004A4B96"/>
    <w:rsid w:val="004A66FE"/>
    <w:rsid w:val="004A7A57"/>
    <w:rsid w:val="004A7BA1"/>
    <w:rsid w:val="004B1787"/>
    <w:rsid w:val="004B2393"/>
    <w:rsid w:val="004B2B13"/>
    <w:rsid w:val="004B4199"/>
    <w:rsid w:val="004B6539"/>
    <w:rsid w:val="004C05F8"/>
    <w:rsid w:val="004C11F5"/>
    <w:rsid w:val="004C1DC2"/>
    <w:rsid w:val="004C41E8"/>
    <w:rsid w:val="004C495A"/>
    <w:rsid w:val="004C4C6F"/>
    <w:rsid w:val="004C7A8D"/>
    <w:rsid w:val="004E10E3"/>
    <w:rsid w:val="004E1502"/>
    <w:rsid w:val="004E17CE"/>
    <w:rsid w:val="004E1AD8"/>
    <w:rsid w:val="004E1E24"/>
    <w:rsid w:val="004E5FF1"/>
    <w:rsid w:val="004E6593"/>
    <w:rsid w:val="004E6ABB"/>
    <w:rsid w:val="004E6FA8"/>
    <w:rsid w:val="004E7EE0"/>
    <w:rsid w:val="004F2074"/>
    <w:rsid w:val="004F2C3D"/>
    <w:rsid w:val="004F2C8C"/>
    <w:rsid w:val="004F4E6C"/>
    <w:rsid w:val="00500B25"/>
    <w:rsid w:val="00502121"/>
    <w:rsid w:val="0050301F"/>
    <w:rsid w:val="0050328E"/>
    <w:rsid w:val="00503CC6"/>
    <w:rsid w:val="00505027"/>
    <w:rsid w:val="005055BC"/>
    <w:rsid w:val="00506168"/>
    <w:rsid w:val="00507022"/>
    <w:rsid w:val="00510E7B"/>
    <w:rsid w:val="0051148E"/>
    <w:rsid w:val="0051224C"/>
    <w:rsid w:val="00520F78"/>
    <w:rsid w:val="00521B9E"/>
    <w:rsid w:val="0052281C"/>
    <w:rsid w:val="005302B8"/>
    <w:rsid w:val="005357FA"/>
    <w:rsid w:val="005361FE"/>
    <w:rsid w:val="00536DF3"/>
    <w:rsid w:val="00540CF5"/>
    <w:rsid w:val="00541257"/>
    <w:rsid w:val="00542A63"/>
    <w:rsid w:val="00543D88"/>
    <w:rsid w:val="005449BA"/>
    <w:rsid w:val="00546EE1"/>
    <w:rsid w:val="0054798F"/>
    <w:rsid w:val="00552A15"/>
    <w:rsid w:val="0055371E"/>
    <w:rsid w:val="00561358"/>
    <w:rsid w:val="00564E5F"/>
    <w:rsid w:val="00565436"/>
    <w:rsid w:val="005670AA"/>
    <w:rsid w:val="00567F1A"/>
    <w:rsid w:val="005763BD"/>
    <w:rsid w:val="00577397"/>
    <w:rsid w:val="00580297"/>
    <w:rsid w:val="00582B0B"/>
    <w:rsid w:val="00586A64"/>
    <w:rsid w:val="00595250"/>
    <w:rsid w:val="00595577"/>
    <w:rsid w:val="00596443"/>
    <w:rsid w:val="005964DA"/>
    <w:rsid w:val="00597617"/>
    <w:rsid w:val="005A5C1F"/>
    <w:rsid w:val="005B4C11"/>
    <w:rsid w:val="005B4D82"/>
    <w:rsid w:val="005B5B73"/>
    <w:rsid w:val="005C0702"/>
    <w:rsid w:val="005C0DAE"/>
    <w:rsid w:val="005C13DA"/>
    <w:rsid w:val="005C165B"/>
    <w:rsid w:val="005C2271"/>
    <w:rsid w:val="005C2C89"/>
    <w:rsid w:val="005D1952"/>
    <w:rsid w:val="005D4552"/>
    <w:rsid w:val="005D49B3"/>
    <w:rsid w:val="005D7162"/>
    <w:rsid w:val="005E1C10"/>
    <w:rsid w:val="005E25D4"/>
    <w:rsid w:val="005E3BC4"/>
    <w:rsid w:val="005E51B0"/>
    <w:rsid w:val="005E68F0"/>
    <w:rsid w:val="005E691F"/>
    <w:rsid w:val="005E6EA1"/>
    <w:rsid w:val="005F1615"/>
    <w:rsid w:val="005F4E67"/>
    <w:rsid w:val="005F6526"/>
    <w:rsid w:val="005F658C"/>
    <w:rsid w:val="005F73D9"/>
    <w:rsid w:val="00600134"/>
    <w:rsid w:val="00600191"/>
    <w:rsid w:val="006004B0"/>
    <w:rsid w:val="00602094"/>
    <w:rsid w:val="00602955"/>
    <w:rsid w:val="00602C3F"/>
    <w:rsid w:val="00603F4F"/>
    <w:rsid w:val="00607D43"/>
    <w:rsid w:val="0061035D"/>
    <w:rsid w:val="0061286D"/>
    <w:rsid w:val="0061598C"/>
    <w:rsid w:val="006206A5"/>
    <w:rsid w:val="00620FC0"/>
    <w:rsid w:val="00621570"/>
    <w:rsid w:val="00631F36"/>
    <w:rsid w:val="00633A8C"/>
    <w:rsid w:val="006358CC"/>
    <w:rsid w:val="00635D0E"/>
    <w:rsid w:val="00636AD1"/>
    <w:rsid w:val="00637746"/>
    <w:rsid w:val="00637FF7"/>
    <w:rsid w:val="00642637"/>
    <w:rsid w:val="006437AB"/>
    <w:rsid w:val="006447AF"/>
    <w:rsid w:val="00645549"/>
    <w:rsid w:val="00645E1A"/>
    <w:rsid w:val="00655134"/>
    <w:rsid w:val="00655E0A"/>
    <w:rsid w:val="00656F4C"/>
    <w:rsid w:val="006572F3"/>
    <w:rsid w:val="00657303"/>
    <w:rsid w:val="00657D84"/>
    <w:rsid w:val="0066091C"/>
    <w:rsid w:val="0066501A"/>
    <w:rsid w:val="006652EC"/>
    <w:rsid w:val="0066567D"/>
    <w:rsid w:val="00665BB6"/>
    <w:rsid w:val="00666BB7"/>
    <w:rsid w:val="00670142"/>
    <w:rsid w:val="00670564"/>
    <w:rsid w:val="00670AA8"/>
    <w:rsid w:val="0067337A"/>
    <w:rsid w:val="006761E5"/>
    <w:rsid w:val="00676B77"/>
    <w:rsid w:val="00676EA8"/>
    <w:rsid w:val="00680F3C"/>
    <w:rsid w:val="00684712"/>
    <w:rsid w:val="00684FA7"/>
    <w:rsid w:val="006862A3"/>
    <w:rsid w:val="00687C16"/>
    <w:rsid w:val="00693458"/>
    <w:rsid w:val="00695751"/>
    <w:rsid w:val="00695AEF"/>
    <w:rsid w:val="00696087"/>
    <w:rsid w:val="006A0D88"/>
    <w:rsid w:val="006A230B"/>
    <w:rsid w:val="006A428E"/>
    <w:rsid w:val="006A660F"/>
    <w:rsid w:val="006A7BC0"/>
    <w:rsid w:val="006B1A4B"/>
    <w:rsid w:val="006B3D20"/>
    <w:rsid w:val="006B5DD4"/>
    <w:rsid w:val="006B7230"/>
    <w:rsid w:val="006B78E1"/>
    <w:rsid w:val="006C2366"/>
    <w:rsid w:val="006C31B5"/>
    <w:rsid w:val="006C41B8"/>
    <w:rsid w:val="006C6301"/>
    <w:rsid w:val="006C757C"/>
    <w:rsid w:val="006D0DFD"/>
    <w:rsid w:val="006D2EB0"/>
    <w:rsid w:val="006E4053"/>
    <w:rsid w:val="006E5B8E"/>
    <w:rsid w:val="006F1D61"/>
    <w:rsid w:val="006F311A"/>
    <w:rsid w:val="006F3DAB"/>
    <w:rsid w:val="006F491E"/>
    <w:rsid w:val="006F5917"/>
    <w:rsid w:val="00701AF6"/>
    <w:rsid w:val="007022FA"/>
    <w:rsid w:val="00703425"/>
    <w:rsid w:val="00713899"/>
    <w:rsid w:val="00715BED"/>
    <w:rsid w:val="00716D84"/>
    <w:rsid w:val="0072006A"/>
    <w:rsid w:val="0072050E"/>
    <w:rsid w:val="007218B2"/>
    <w:rsid w:val="007244DE"/>
    <w:rsid w:val="00726142"/>
    <w:rsid w:val="00726F51"/>
    <w:rsid w:val="0073122A"/>
    <w:rsid w:val="00733252"/>
    <w:rsid w:val="00734CD3"/>
    <w:rsid w:val="0073644A"/>
    <w:rsid w:val="0073737E"/>
    <w:rsid w:val="007373B0"/>
    <w:rsid w:val="00741913"/>
    <w:rsid w:val="00742619"/>
    <w:rsid w:val="0074423F"/>
    <w:rsid w:val="0074485C"/>
    <w:rsid w:val="007454F4"/>
    <w:rsid w:val="00750BB4"/>
    <w:rsid w:val="0075311C"/>
    <w:rsid w:val="00753793"/>
    <w:rsid w:val="007601EF"/>
    <w:rsid w:val="00760C86"/>
    <w:rsid w:val="007625E6"/>
    <w:rsid w:val="00765FC9"/>
    <w:rsid w:val="0076602A"/>
    <w:rsid w:val="00772C29"/>
    <w:rsid w:val="0077445D"/>
    <w:rsid w:val="00774766"/>
    <w:rsid w:val="007748E6"/>
    <w:rsid w:val="00775063"/>
    <w:rsid w:val="00775CB9"/>
    <w:rsid w:val="00777622"/>
    <w:rsid w:val="00780183"/>
    <w:rsid w:val="007805FA"/>
    <w:rsid w:val="00780E4D"/>
    <w:rsid w:val="00781C15"/>
    <w:rsid w:val="0078225C"/>
    <w:rsid w:val="00782997"/>
    <w:rsid w:val="007842EF"/>
    <w:rsid w:val="007860CC"/>
    <w:rsid w:val="0078665F"/>
    <w:rsid w:val="00786A4B"/>
    <w:rsid w:val="007877AE"/>
    <w:rsid w:val="00787D0E"/>
    <w:rsid w:val="00790BEE"/>
    <w:rsid w:val="007914B8"/>
    <w:rsid w:val="0079170F"/>
    <w:rsid w:val="00793B36"/>
    <w:rsid w:val="00794440"/>
    <w:rsid w:val="007944C4"/>
    <w:rsid w:val="00794F5F"/>
    <w:rsid w:val="00795B94"/>
    <w:rsid w:val="00795C6C"/>
    <w:rsid w:val="00796CC5"/>
    <w:rsid w:val="007A0636"/>
    <w:rsid w:val="007A097F"/>
    <w:rsid w:val="007A137D"/>
    <w:rsid w:val="007A217E"/>
    <w:rsid w:val="007A2735"/>
    <w:rsid w:val="007A38F4"/>
    <w:rsid w:val="007A669B"/>
    <w:rsid w:val="007B0027"/>
    <w:rsid w:val="007B0CC2"/>
    <w:rsid w:val="007B1A24"/>
    <w:rsid w:val="007B25B5"/>
    <w:rsid w:val="007B3820"/>
    <w:rsid w:val="007B51E2"/>
    <w:rsid w:val="007B52AF"/>
    <w:rsid w:val="007C0CCB"/>
    <w:rsid w:val="007C2379"/>
    <w:rsid w:val="007C2BE7"/>
    <w:rsid w:val="007C4CC8"/>
    <w:rsid w:val="007C5F9C"/>
    <w:rsid w:val="007C631A"/>
    <w:rsid w:val="007C6620"/>
    <w:rsid w:val="007C66A9"/>
    <w:rsid w:val="007C74E2"/>
    <w:rsid w:val="007D0570"/>
    <w:rsid w:val="007D1286"/>
    <w:rsid w:val="007D1446"/>
    <w:rsid w:val="007D1807"/>
    <w:rsid w:val="007D1987"/>
    <w:rsid w:val="007D2D4E"/>
    <w:rsid w:val="007D2FB2"/>
    <w:rsid w:val="007D550C"/>
    <w:rsid w:val="007D76B3"/>
    <w:rsid w:val="007E0F91"/>
    <w:rsid w:val="007E2566"/>
    <w:rsid w:val="007E37ED"/>
    <w:rsid w:val="007E56F3"/>
    <w:rsid w:val="007E5F47"/>
    <w:rsid w:val="007E744C"/>
    <w:rsid w:val="007F1E8D"/>
    <w:rsid w:val="007F3A3E"/>
    <w:rsid w:val="007F463A"/>
    <w:rsid w:val="007F6169"/>
    <w:rsid w:val="00800350"/>
    <w:rsid w:val="008024D1"/>
    <w:rsid w:val="008036BD"/>
    <w:rsid w:val="00805C66"/>
    <w:rsid w:val="008077EC"/>
    <w:rsid w:val="00810C0A"/>
    <w:rsid w:val="00812D80"/>
    <w:rsid w:val="00814E23"/>
    <w:rsid w:val="00815C4D"/>
    <w:rsid w:val="00815C81"/>
    <w:rsid w:val="0082073E"/>
    <w:rsid w:val="00820855"/>
    <w:rsid w:val="00821425"/>
    <w:rsid w:val="00821629"/>
    <w:rsid w:val="00822722"/>
    <w:rsid w:val="00823C8C"/>
    <w:rsid w:val="00826B9D"/>
    <w:rsid w:val="00830E85"/>
    <w:rsid w:val="0083216D"/>
    <w:rsid w:val="00833F74"/>
    <w:rsid w:val="00834888"/>
    <w:rsid w:val="00834938"/>
    <w:rsid w:val="00835086"/>
    <w:rsid w:val="0084224B"/>
    <w:rsid w:val="00842AB4"/>
    <w:rsid w:val="00842F1F"/>
    <w:rsid w:val="0084487D"/>
    <w:rsid w:val="00845E4B"/>
    <w:rsid w:val="0084630F"/>
    <w:rsid w:val="00847144"/>
    <w:rsid w:val="00852F60"/>
    <w:rsid w:val="00857398"/>
    <w:rsid w:val="008577E1"/>
    <w:rsid w:val="00860F86"/>
    <w:rsid w:val="00866045"/>
    <w:rsid w:val="00867978"/>
    <w:rsid w:val="00867AE9"/>
    <w:rsid w:val="00872502"/>
    <w:rsid w:val="008734B8"/>
    <w:rsid w:val="00876C28"/>
    <w:rsid w:val="00881CA1"/>
    <w:rsid w:val="00882AC0"/>
    <w:rsid w:val="008856AA"/>
    <w:rsid w:val="008868E0"/>
    <w:rsid w:val="00892700"/>
    <w:rsid w:val="008932B5"/>
    <w:rsid w:val="008958D6"/>
    <w:rsid w:val="00896863"/>
    <w:rsid w:val="00897E71"/>
    <w:rsid w:val="008A007E"/>
    <w:rsid w:val="008A1FAF"/>
    <w:rsid w:val="008A240D"/>
    <w:rsid w:val="008A3065"/>
    <w:rsid w:val="008A33FA"/>
    <w:rsid w:val="008A461E"/>
    <w:rsid w:val="008A4D25"/>
    <w:rsid w:val="008A57A8"/>
    <w:rsid w:val="008A5FE3"/>
    <w:rsid w:val="008A7168"/>
    <w:rsid w:val="008B0D68"/>
    <w:rsid w:val="008B1B48"/>
    <w:rsid w:val="008B4052"/>
    <w:rsid w:val="008B55F5"/>
    <w:rsid w:val="008B60E5"/>
    <w:rsid w:val="008B6A35"/>
    <w:rsid w:val="008B769C"/>
    <w:rsid w:val="008C0D92"/>
    <w:rsid w:val="008C16EA"/>
    <w:rsid w:val="008D08B3"/>
    <w:rsid w:val="008D1771"/>
    <w:rsid w:val="008D24A2"/>
    <w:rsid w:val="008D268D"/>
    <w:rsid w:val="008D3F08"/>
    <w:rsid w:val="008D637F"/>
    <w:rsid w:val="008E059C"/>
    <w:rsid w:val="008E1A9D"/>
    <w:rsid w:val="008E4F95"/>
    <w:rsid w:val="008E5F54"/>
    <w:rsid w:val="008E6263"/>
    <w:rsid w:val="008E7CB3"/>
    <w:rsid w:val="008E7DB0"/>
    <w:rsid w:val="008F2DF4"/>
    <w:rsid w:val="00902F74"/>
    <w:rsid w:val="00903F85"/>
    <w:rsid w:val="00904451"/>
    <w:rsid w:val="009046D7"/>
    <w:rsid w:val="009057A6"/>
    <w:rsid w:val="00913014"/>
    <w:rsid w:val="00913F3E"/>
    <w:rsid w:val="00915318"/>
    <w:rsid w:val="00920026"/>
    <w:rsid w:val="00920FC8"/>
    <w:rsid w:val="00922CFD"/>
    <w:rsid w:val="0092608B"/>
    <w:rsid w:val="009261C6"/>
    <w:rsid w:val="009262EA"/>
    <w:rsid w:val="00927596"/>
    <w:rsid w:val="00933A44"/>
    <w:rsid w:val="00933DA6"/>
    <w:rsid w:val="00940EEF"/>
    <w:rsid w:val="009426BB"/>
    <w:rsid w:val="009428FB"/>
    <w:rsid w:val="009434B5"/>
    <w:rsid w:val="00944210"/>
    <w:rsid w:val="00945957"/>
    <w:rsid w:val="009467BB"/>
    <w:rsid w:val="00947212"/>
    <w:rsid w:val="009477B3"/>
    <w:rsid w:val="00947C05"/>
    <w:rsid w:val="00950645"/>
    <w:rsid w:val="009509CB"/>
    <w:rsid w:val="00952F67"/>
    <w:rsid w:val="009531DB"/>
    <w:rsid w:val="00955C0D"/>
    <w:rsid w:val="00962AB7"/>
    <w:rsid w:val="00964EDB"/>
    <w:rsid w:val="00965684"/>
    <w:rsid w:val="00965914"/>
    <w:rsid w:val="00967185"/>
    <w:rsid w:val="00971F63"/>
    <w:rsid w:val="00975FD7"/>
    <w:rsid w:val="00980766"/>
    <w:rsid w:val="00980E9A"/>
    <w:rsid w:val="009814C3"/>
    <w:rsid w:val="009815C4"/>
    <w:rsid w:val="00982051"/>
    <w:rsid w:val="00983042"/>
    <w:rsid w:val="00983FBA"/>
    <w:rsid w:val="0098445B"/>
    <w:rsid w:val="00984D4E"/>
    <w:rsid w:val="00985688"/>
    <w:rsid w:val="00986519"/>
    <w:rsid w:val="00986F18"/>
    <w:rsid w:val="0098771D"/>
    <w:rsid w:val="009910C8"/>
    <w:rsid w:val="00991DA9"/>
    <w:rsid w:val="009938D2"/>
    <w:rsid w:val="009962F8"/>
    <w:rsid w:val="00996A38"/>
    <w:rsid w:val="009970D9"/>
    <w:rsid w:val="009976F2"/>
    <w:rsid w:val="009A224B"/>
    <w:rsid w:val="009A2EFC"/>
    <w:rsid w:val="009A33FC"/>
    <w:rsid w:val="009A4455"/>
    <w:rsid w:val="009A7C62"/>
    <w:rsid w:val="009B041C"/>
    <w:rsid w:val="009B1D5F"/>
    <w:rsid w:val="009B4CAA"/>
    <w:rsid w:val="009B6FAD"/>
    <w:rsid w:val="009C0830"/>
    <w:rsid w:val="009C1CF3"/>
    <w:rsid w:val="009C1D06"/>
    <w:rsid w:val="009C4954"/>
    <w:rsid w:val="009D2F50"/>
    <w:rsid w:val="009E1EB8"/>
    <w:rsid w:val="009E263E"/>
    <w:rsid w:val="009E2E40"/>
    <w:rsid w:val="009E30B0"/>
    <w:rsid w:val="009E32F5"/>
    <w:rsid w:val="009E3F9F"/>
    <w:rsid w:val="009E551F"/>
    <w:rsid w:val="009E7EE6"/>
    <w:rsid w:val="009F0378"/>
    <w:rsid w:val="009F0C7C"/>
    <w:rsid w:val="009F1041"/>
    <w:rsid w:val="009F28EF"/>
    <w:rsid w:val="009F4D61"/>
    <w:rsid w:val="009F5105"/>
    <w:rsid w:val="009F564E"/>
    <w:rsid w:val="009F7935"/>
    <w:rsid w:val="00A03127"/>
    <w:rsid w:val="00A0353E"/>
    <w:rsid w:val="00A041AE"/>
    <w:rsid w:val="00A04CEC"/>
    <w:rsid w:val="00A112B6"/>
    <w:rsid w:val="00A114D4"/>
    <w:rsid w:val="00A12E3C"/>
    <w:rsid w:val="00A13069"/>
    <w:rsid w:val="00A135DA"/>
    <w:rsid w:val="00A1518A"/>
    <w:rsid w:val="00A201D4"/>
    <w:rsid w:val="00A21E25"/>
    <w:rsid w:val="00A24ECA"/>
    <w:rsid w:val="00A314D8"/>
    <w:rsid w:val="00A33652"/>
    <w:rsid w:val="00A340A4"/>
    <w:rsid w:val="00A41C10"/>
    <w:rsid w:val="00A41DF2"/>
    <w:rsid w:val="00A46833"/>
    <w:rsid w:val="00A46933"/>
    <w:rsid w:val="00A47E9F"/>
    <w:rsid w:val="00A5032F"/>
    <w:rsid w:val="00A51FEA"/>
    <w:rsid w:val="00A53B24"/>
    <w:rsid w:val="00A5594E"/>
    <w:rsid w:val="00A5691B"/>
    <w:rsid w:val="00A57070"/>
    <w:rsid w:val="00A57885"/>
    <w:rsid w:val="00A600A9"/>
    <w:rsid w:val="00A6159F"/>
    <w:rsid w:val="00A61EC5"/>
    <w:rsid w:val="00A62366"/>
    <w:rsid w:val="00A63660"/>
    <w:rsid w:val="00A703C2"/>
    <w:rsid w:val="00A722FB"/>
    <w:rsid w:val="00A724F7"/>
    <w:rsid w:val="00A744EE"/>
    <w:rsid w:val="00A76EF6"/>
    <w:rsid w:val="00A80D33"/>
    <w:rsid w:val="00A82D5E"/>
    <w:rsid w:val="00A837F8"/>
    <w:rsid w:val="00A9240F"/>
    <w:rsid w:val="00A96954"/>
    <w:rsid w:val="00A9698B"/>
    <w:rsid w:val="00A97AA4"/>
    <w:rsid w:val="00AA23F7"/>
    <w:rsid w:val="00AA23FE"/>
    <w:rsid w:val="00AA2E6B"/>
    <w:rsid w:val="00AA5F4B"/>
    <w:rsid w:val="00AA6185"/>
    <w:rsid w:val="00AA696D"/>
    <w:rsid w:val="00AA7E8C"/>
    <w:rsid w:val="00AB1674"/>
    <w:rsid w:val="00AB2F80"/>
    <w:rsid w:val="00AB3CCB"/>
    <w:rsid w:val="00AB5106"/>
    <w:rsid w:val="00AB5378"/>
    <w:rsid w:val="00AB69C5"/>
    <w:rsid w:val="00AC3EAD"/>
    <w:rsid w:val="00AC476A"/>
    <w:rsid w:val="00AD2736"/>
    <w:rsid w:val="00AD32F8"/>
    <w:rsid w:val="00AD671C"/>
    <w:rsid w:val="00AD67FD"/>
    <w:rsid w:val="00AD7B1D"/>
    <w:rsid w:val="00AE42D1"/>
    <w:rsid w:val="00AE59A0"/>
    <w:rsid w:val="00AF347A"/>
    <w:rsid w:val="00AF380E"/>
    <w:rsid w:val="00AF417D"/>
    <w:rsid w:val="00AF43E0"/>
    <w:rsid w:val="00B016C3"/>
    <w:rsid w:val="00B032D3"/>
    <w:rsid w:val="00B043CD"/>
    <w:rsid w:val="00B04CCC"/>
    <w:rsid w:val="00B05B46"/>
    <w:rsid w:val="00B06102"/>
    <w:rsid w:val="00B07019"/>
    <w:rsid w:val="00B11DBF"/>
    <w:rsid w:val="00B1314E"/>
    <w:rsid w:val="00B13768"/>
    <w:rsid w:val="00B14EF7"/>
    <w:rsid w:val="00B15EF5"/>
    <w:rsid w:val="00B1608F"/>
    <w:rsid w:val="00B17B05"/>
    <w:rsid w:val="00B22451"/>
    <w:rsid w:val="00B22A6E"/>
    <w:rsid w:val="00B23FDA"/>
    <w:rsid w:val="00B25694"/>
    <w:rsid w:val="00B30A76"/>
    <w:rsid w:val="00B37932"/>
    <w:rsid w:val="00B40AF1"/>
    <w:rsid w:val="00B40F7D"/>
    <w:rsid w:val="00B41F93"/>
    <w:rsid w:val="00B4445A"/>
    <w:rsid w:val="00B45244"/>
    <w:rsid w:val="00B45F76"/>
    <w:rsid w:val="00B474E4"/>
    <w:rsid w:val="00B505EE"/>
    <w:rsid w:val="00B514A9"/>
    <w:rsid w:val="00B51CF3"/>
    <w:rsid w:val="00B54942"/>
    <w:rsid w:val="00B5555E"/>
    <w:rsid w:val="00B57F0D"/>
    <w:rsid w:val="00B61090"/>
    <w:rsid w:val="00B640E5"/>
    <w:rsid w:val="00B65D2E"/>
    <w:rsid w:val="00B66B5A"/>
    <w:rsid w:val="00B67F6A"/>
    <w:rsid w:val="00B70656"/>
    <w:rsid w:val="00B710D3"/>
    <w:rsid w:val="00B7211E"/>
    <w:rsid w:val="00B7245C"/>
    <w:rsid w:val="00B72FE5"/>
    <w:rsid w:val="00B73675"/>
    <w:rsid w:val="00B77182"/>
    <w:rsid w:val="00B8018C"/>
    <w:rsid w:val="00B80933"/>
    <w:rsid w:val="00B809E6"/>
    <w:rsid w:val="00B81409"/>
    <w:rsid w:val="00B826A4"/>
    <w:rsid w:val="00B84218"/>
    <w:rsid w:val="00B87737"/>
    <w:rsid w:val="00B90C7F"/>
    <w:rsid w:val="00B92E1A"/>
    <w:rsid w:val="00B94457"/>
    <w:rsid w:val="00B94A62"/>
    <w:rsid w:val="00B9675A"/>
    <w:rsid w:val="00B97BEF"/>
    <w:rsid w:val="00BA04EB"/>
    <w:rsid w:val="00BA0C0F"/>
    <w:rsid w:val="00BA0C71"/>
    <w:rsid w:val="00BA356B"/>
    <w:rsid w:val="00BA3F46"/>
    <w:rsid w:val="00BA747B"/>
    <w:rsid w:val="00BA7824"/>
    <w:rsid w:val="00BB2242"/>
    <w:rsid w:val="00BB299D"/>
    <w:rsid w:val="00BB339C"/>
    <w:rsid w:val="00BC180A"/>
    <w:rsid w:val="00BC208E"/>
    <w:rsid w:val="00BC289B"/>
    <w:rsid w:val="00BC6475"/>
    <w:rsid w:val="00BD0363"/>
    <w:rsid w:val="00BD57CF"/>
    <w:rsid w:val="00BD5AC3"/>
    <w:rsid w:val="00BD5C48"/>
    <w:rsid w:val="00BD65CD"/>
    <w:rsid w:val="00BD6F53"/>
    <w:rsid w:val="00BD7A06"/>
    <w:rsid w:val="00BE1722"/>
    <w:rsid w:val="00BE35E5"/>
    <w:rsid w:val="00BE4B73"/>
    <w:rsid w:val="00BE51C0"/>
    <w:rsid w:val="00BE6AB8"/>
    <w:rsid w:val="00BF05C8"/>
    <w:rsid w:val="00BF1383"/>
    <w:rsid w:val="00BF24B4"/>
    <w:rsid w:val="00BF2999"/>
    <w:rsid w:val="00BF2A00"/>
    <w:rsid w:val="00BF2A04"/>
    <w:rsid w:val="00BF3689"/>
    <w:rsid w:val="00BF40BA"/>
    <w:rsid w:val="00BF5369"/>
    <w:rsid w:val="00BF5BA7"/>
    <w:rsid w:val="00BF5BB1"/>
    <w:rsid w:val="00BF6E4C"/>
    <w:rsid w:val="00C01B3B"/>
    <w:rsid w:val="00C0287D"/>
    <w:rsid w:val="00C02DB3"/>
    <w:rsid w:val="00C051E7"/>
    <w:rsid w:val="00C0717B"/>
    <w:rsid w:val="00C101F9"/>
    <w:rsid w:val="00C10815"/>
    <w:rsid w:val="00C114DB"/>
    <w:rsid w:val="00C1365E"/>
    <w:rsid w:val="00C17502"/>
    <w:rsid w:val="00C17D5B"/>
    <w:rsid w:val="00C20331"/>
    <w:rsid w:val="00C210D0"/>
    <w:rsid w:val="00C2372A"/>
    <w:rsid w:val="00C24A47"/>
    <w:rsid w:val="00C268E4"/>
    <w:rsid w:val="00C30C32"/>
    <w:rsid w:val="00C317C6"/>
    <w:rsid w:val="00C34A28"/>
    <w:rsid w:val="00C358E1"/>
    <w:rsid w:val="00C36899"/>
    <w:rsid w:val="00C37EEA"/>
    <w:rsid w:val="00C42AFD"/>
    <w:rsid w:val="00C42FFF"/>
    <w:rsid w:val="00C45361"/>
    <w:rsid w:val="00C4567D"/>
    <w:rsid w:val="00C4680F"/>
    <w:rsid w:val="00C46857"/>
    <w:rsid w:val="00C475B4"/>
    <w:rsid w:val="00C515E6"/>
    <w:rsid w:val="00C517B2"/>
    <w:rsid w:val="00C53270"/>
    <w:rsid w:val="00C532EF"/>
    <w:rsid w:val="00C54C2A"/>
    <w:rsid w:val="00C54DA1"/>
    <w:rsid w:val="00C55314"/>
    <w:rsid w:val="00C6002C"/>
    <w:rsid w:val="00C62B96"/>
    <w:rsid w:val="00C635CA"/>
    <w:rsid w:val="00C636F3"/>
    <w:rsid w:val="00C64FE4"/>
    <w:rsid w:val="00C653C3"/>
    <w:rsid w:val="00C654D6"/>
    <w:rsid w:val="00C65EE6"/>
    <w:rsid w:val="00C67DF4"/>
    <w:rsid w:val="00C70A8B"/>
    <w:rsid w:val="00C737A1"/>
    <w:rsid w:val="00C81483"/>
    <w:rsid w:val="00C815E8"/>
    <w:rsid w:val="00C82B62"/>
    <w:rsid w:val="00C83BB9"/>
    <w:rsid w:val="00C8508D"/>
    <w:rsid w:val="00C93CC0"/>
    <w:rsid w:val="00C949DF"/>
    <w:rsid w:val="00C96CEE"/>
    <w:rsid w:val="00C9710C"/>
    <w:rsid w:val="00CA083E"/>
    <w:rsid w:val="00CA17BC"/>
    <w:rsid w:val="00CA24C3"/>
    <w:rsid w:val="00CA484A"/>
    <w:rsid w:val="00CA5BED"/>
    <w:rsid w:val="00CA5F1F"/>
    <w:rsid w:val="00CA6D19"/>
    <w:rsid w:val="00CB17CC"/>
    <w:rsid w:val="00CB2984"/>
    <w:rsid w:val="00CB4945"/>
    <w:rsid w:val="00CB701F"/>
    <w:rsid w:val="00CB7C37"/>
    <w:rsid w:val="00CC0B03"/>
    <w:rsid w:val="00CC177A"/>
    <w:rsid w:val="00CC1DE8"/>
    <w:rsid w:val="00CC2469"/>
    <w:rsid w:val="00CC5BA0"/>
    <w:rsid w:val="00CC6841"/>
    <w:rsid w:val="00CD53C2"/>
    <w:rsid w:val="00CD5E6D"/>
    <w:rsid w:val="00CD68D2"/>
    <w:rsid w:val="00CE04CE"/>
    <w:rsid w:val="00CE2C1A"/>
    <w:rsid w:val="00CE4DB6"/>
    <w:rsid w:val="00CF19BB"/>
    <w:rsid w:val="00CF1F97"/>
    <w:rsid w:val="00CF2B00"/>
    <w:rsid w:val="00CF4667"/>
    <w:rsid w:val="00CF491A"/>
    <w:rsid w:val="00D06D48"/>
    <w:rsid w:val="00D10849"/>
    <w:rsid w:val="00D11366"/>
    <w:rsid w:val="00D11D0B"/>
    <w:rsid w:val="00D1296E"/>
    <w:rsid w:val="00D13FAB"/>
    <w:rsid w:val="00D17503"/>
    <w:rsid w:val="00D176B9"/>
    <w:rsid w:val="00D17CDE"/>
    <w:rsid w:val="00D251FE"/>
    <w:rsid w:val="00D25D99"/>
    <w:rsid w:val="00D260EB"/>
    <w:rsid w:val="00D272D7"/>
    <w:rsid w:val="00D27ECF"/>
    <w:rsid w:val="00D320E8"/>
    <w:rsid w:val="00D35162"/>
    <w:rsid w:val="00D3563D"/>
    <w:rsid w:val="00D36811"/>
    <w:rsid w:val="00D36908"/>
    <w:rsid w:val="00D4175C"/>
    <w:rsid w:val="00D42965"/>
    <w:rsid w:val="00D43C02"/>
    <w:rsid w:val="00D44D78"/>
    <w:rsid w:val="00D45DFC"/>
    <w:rsid w:val="00D46396"/>
    <w:rsid w:val="00D50350"/>
    <w:rsid w:val="00D51638"/>
    <w:rsid w:val="00D537E2"/>
    <w:rsid w:val="00D54BFA"/>
    <w:rsid w:val="00D55730"/>
    <w:rsid w:val="00D5697E"/>
    <w:rsid w:val="00D57057"/>
    <w:rsid w:val="00D5727B"/>
    <w:rsid w:val="00D574E4"/>
    <w:rsid w:val="00D61FB6"/>
    <w:rsid w:val="00D63A26"/>
    <w:rsid w:val="00D64B56"/>
    <w:rsid w:val="00D673C1"/>
    <w:rsid w:val="00D7098D"/>
    <w:rsid w:val="00D748C8"/>
    <w:rsid w:val="00D74F51"/>
    <w:rsid w:val="00D76A52"/>
    <w:rsid w:val="00D771E0"/>
    <w:rsid w:val="00D8287E"/>
    <w:rsid w:val="00D83CA6"/>
    <w:rsid w:val="00D8683E"/>
    <w:rsid w:val="00D87E3F"/>
    <w:rsid w:val="00D9059D"/>
    <w:rsid w:val="00D90B63"/>
    <w:rsid w:val="00D916A1"/>
    <w:rsid w:val="00D97F6B"/>
    <w:rsid w:val="00DA0685"/>
    <w:rsid w:val="00DA1945"/>
    <w:rsid w:val="00DA1C1C"/>
    <w:rsid w:val="00DA24A4"/>
    <w:rsid w:val="00DA5E6B"/>
    <w:rsid w:val="00DB3DD0"/>
    <w:rsid w:val="00DB48F5"/>
    <w:rsid w:val="00DB4F4A"/>
    <w:rsid w:val="00DB5620"/>
    <w:rsid w:val="00DB7698"/>
    <w:rsid w:val="00DC0422"/>
    <w:rsid w:val="00DC065C"/>
    <w:rsid w:val="00DC0706"/>
    <w:rsid w:val="00DC23CF"/>
    <w:rsid w:val="00DC5789"/>
    <w:rsid w:val="00DC72DE"/>
    <w:rsid w:val="00DD1127"/>
    <w:rsid w:val="00DD2EFE"/>
    <w:rsid w:val="00DD54E0"/>
    <w:rsid w:val="00DD5F7D"/>
    <w:rsid w:val="00DE2897"/>
    <w:rsid w:val="00DE336A"/>
    <w:rsid w:val="00DE50D2"/>
    <w:rsid w:val="00DE58C9"/>
    <w:rsid w:val="00DF0834"/>
    <w:rsid w:val="00DF3A50"/>
    <w:rsid w:val="00DF402A"/>
    <w:rsid w:val="00DF48F2"/>
    <w:rsid w:val="00DF6121"/>
    <w:rsid w:val="00DF6BA0"/>
    <w:rsid w:val="00E000CE"/>
    <w:rsid w:val="00E03206"/>
    <w:rsid w:val="00E03949"/>
    <w:rsid w:val="00E10226"/>
    <w:rsid w:val="00E10925"/>
    <w:rsid w:val="00E135F5"/>
    <w:rsid w:val="00E14879"/>
    <w:rsid w:val="00E149E8"/>
    <w:rsid w:val="00E17EC4"/>
    <w:rsid w:val="00E17F78"/>
    <w:rsid w:val="00E2071F"/>
    <w:rsid w:val="00E20EB5"/>
    <w:rsid w:val="00E250B2"/>
    <w:rsid w:val="00E25BDE"/>
    <w:rsid w:val="00E303A5"/>
    <w:rsid w:val="00E30EC7"/>
    <w:rsid w:val="00E33713"/>
    <w:rsid w:val="00E33C14"/>
    <w:rsid w:val="00E3418F"/>
    <w:rsid w:val="00E341C5"/>
    <w:rsid w:val="00E37382"/>
    <w:rsid w:val="00E377FD"/>
    <w:rsid w:val="00E3788F"/>
    <w:rsid w:val="00E402F1"/>
    <w:rsid w:val="00E411DC"/>
    <w:rsid w:val="00E4245F"/>
    <w:rsid w:val="00E43130"/>
    <w:rsid w:val="00E435E2"/>
    <w:rsid w:val="00E43D07"/>
    <w:rsid w:val="00E43EC9"/>
    <w:rsid w:val="00E52421"/>
    <w:rsid w:val="00E56C4C"/>
    <w:rsid w:val="00E62D06"/>
    <w:rsid w:val="00E633B8"/>
    <w:rsid w:val="00E63BCD"/>
    <w:rsid w:val="00E63E28"/>
    <w:rsid w:val="00E6490F"/>
    <w:rsid w:val="00E64BEE"/>
    <w:rsid w:val="00E64F25"/>
    <w:rsid w:val="00E70237"/>
    <w:rsid w:val="00E71D65"/>
    <w:rsid w:val="00E72638"/>
    <w:rsid w:val="00E72E1D"/>
    <w:rsid w:val="00E76037"/>
    <w:rsid w:val="00E77449"/>
    <w:rsid w:val="00E84736"/>
    <w:rsid w:val="00E8502A"/>
    <w:rsid w:val="00E90915"/>
    <w:rsid w:val="00E91619"/>
    <w:rsid w:val="00E916C8"/>
    <w:rsid w:val="00E92C0A"/>
    <w:rsid w:val="00E96261"/>
    <w:rsid w:val="00E9756D"/>
    <w:rsid w:val="00EA0848"/>
    <w:rsid w:val="00EA0E16"/>
    <w:rsid w:val="00EA46AE"/>
    <w:rsid w:val="00EB10A3"/>
    <w:rsid w:val="00EB289C"/>
    <w:rsid w:val="00EC086E"/>
    <w:rsid w:val="00EC2933"/>
    <w:rsid w:val="00EC2D9E"/>
    <w:rsid w:val="00EC304C"/>
    <w:rsid w:val="00EC6421"/>
    <w:rsid w:val="00ED2205"/>
    <w:rsid w:val="00ED4C90"/>
    <w:rsid w:val="00ED5A18"/>
    <w:rsid w:val="00ED61F4"/>
    <w:rsid w:val="00ED65D1"/>
    <w:rsid w:val="00ED692B"/>
    <w:rsid w:val="00ED7117"/>
    <w:rsid w:val="00ED7AC9"/>
    <w:rsid w:val="00ED7DA2"/>
    <w:rsid w:val="00EE01C3"/>
    <w:rsid w:val="00EE0704"/>
    <w:rsid w:val="00EE076E"/>
    <w:rsid w:val="00EE3C10"/>
    <w:rsid w:val="00EE4FFD"/>
    <w:rsid w:val="00EE5C7D"/>
    <w:rsid w:val="00EE64F6"/>
    <w:rsid w:val="00EE72F6"/>
    <w:rsid w:val="00EF2065"/>
    <w:rsid w:val="00EF2E85"/>
    <w:rsid w:val="00EF34D5"/>
    <w:rsid w:val="00EF4E76"/>
    <w:rsid w:val="00F012E5"/>
    <w:rsid w:val="00F01F14"/>
    <w:rsid w:val="00F02E1A"/>
    <w:rsid w:val="00F03836"/>
    <w:rsid w:val="00F03871"/>
    <w:rsid w:val="00F03F6B"/>
    <w:rsid w:val="00F0473F"/>
    <w:rsid w:val="00F04B5B"/>
    <w:rsid w:val="00F05878"/>
    <w:rsid w:val="00F070C5"/>
    <w:rsid w:val="00F102A5"/>
    <w:rsid w:val="00F10F60"/>
    <w:rsid w:val="00F12086"/>
    <w:rsid w:val="00F121D6"/>
    <w:rsid w:val="00F147F0"/>
    <w:rsid w:val="00F14A35"/>
    <w:rsid w:val="00F20385"/>
    <w:rsid w:val="00F2351C"/>
    <w:rsid w:val="00F23E72"/>
    <w:rsid w:val="00F263CB"/>
    <w:rsid w:val="00F27317"/>
    <w:rsid w:val="00F41DDD"/>
    <w:rsid w:val="00F42E71"/>
    <w:rsid w:val="00F50C36"/>
    <w:rsid w:val="00F50F6D"/>
    <w:rsid w:val="00F53D2A"/>
    <w:rsid w:val="00F552F8"/>
    <w:rsid w:val="00F55FFB"/>
    <w:rsid w:val="00F57E4D"/>
    <w:rsid w:val="00F6034A"/>
    <w:rsid w:val="00F6055C"/>
    <w:rsid w:val="00F64C5B"/>
    <w:rsid w:val="00F66486"/>
    <w:rsid w:val="00F7487F"/>
    <w:rsid w:val="00F74AEB"/>
    <w:rsid w:val="00F75027"/>
    <w:rsid w:val="00F75C7B"/>
    <w:rsid w:val="00F76480"/>
    <w:rsid w:val="00F804E4"/>
    <w:rsid w:val="00F825D8"/>
    <w:rsid w:val="00F83B9F"/>
    <w:rsid w:val="00F864B4"/>
    <w:rsid w:val="00F935AF"/>
    <w:rsid w:val="00F93D37"/>
    <w:rsid w:val="00F944B3"/>
    <w:rsid w:val="00F95C18"/>
    <w:rsid w:val="00F9755D"/>
    <w:rsid w:val="00FA0545"/>
    <w:rsid w:val="00FA1130"/>
    <w:rsid w:val="00FA23E7"/>
    <w:rsid w:val="00FA32A5"/>
    <w:rsid w:val="00FA6B42"/>
    <w:rsid w:val="00FA7969"/>
    <w:rsid w:val="00FB0111"/>
    <w:rsid w:val="00FB0561"/>
    <w:rsid w:val="00FB372A"/>
    <w:rsid w:val="00FB3BF8"/>
    <w:rsid w:val="00FB408C"/>
    <w:rsid w:val="00FB4544"/>
    <w:rsid w:val="00FB4636"/>
    <w:rsid w:val="00FB4B3A"/>
    <w:rsid w:val="00FB553A"/>
    <w:rsid w:val="00FB5FA0"/>
    <w:rsid w:val="00FB6C53"/>
    <w:rsid w:val="00FC26AD"/>
    <w:rsid w:val="00FC2A00"/>
    <w:rsid w:val="00FC4072"/>
    <w:rsid w:val="00FC6279"/>
    <w:rsid w:val="00FC65F5"/>
    <w:rsid w:val="00FC6EA6"/>
    <w:rsid w:val="00FD4D6E"/>
    <w:rsid w:val="00FD536E"/>
    <w:rsid w:val="00FD607C"/>
    <w:rsid w:val="00FD6D0E"/>
    <w:rsid w:val="00FE0AF9"/>
    <w:rsid w:val="00FE40B1"/>
    <w:rsid w:val="00FE4424"/>
    <w:rsid w:val="00FE44ED"/>
    <w:rsid w:val="00FE4AAA"/>
    <w:rsid w:val="00FE60BC"/>
    <w:rsid w:val="00FE7005"/>
    <w:rsid w:val="00FF1E6A"/>
    <w:rsid w:val="00FF4B94"/>
    <w:rsid w:val="00FF7262"/>
    <w:rsid w:val="01105B3F"/>
    <w:rsid w:val="07CEAE4C"/>
    <w:rsid w:val="1C541C82"/>
    <w:rsid w:val="1F7D1081"/>
    <w:rsid w:val="20B135CD"/>
    <w:rsid w:val="3F336B22"/>
    <w:rsid w:val="45AE62B8"/>
    <w:rsid w:val="5EFB3052"/>
    <w:rsid w:val="656A1E1F"/>
    <w:rsid w:val="767E4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ACEA7D"/>
  <w15:docId w15:val="{8A109225-5F92-4C46-8BA6-C00E060E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nhideWhenUsed="1" w:qFormat="1"/>
    <w:lsdException w:name="toc 2" w:unhideWhenUsed="1"/>
    <w:lsdException w:name="toc 3" w:uiPriority="39" w:unhideWhenUsed="1" w:qFormat="1"/>
    <w:lsdException w:name="toc 4" w:unhideWhenUsed="1" w:qFormat="1"/>
    <w:lsdException w:name="toc 5" w:unhideWhenUsed="1" w:qFormat="1"/>
    <w:lsdException w:name="toc 6" w:unhideWhenUsed="1" w:qFormat="1"/>
    <w:lsdException w:name="toc 7" w:unhideWhenUsed="1" w:qFormat="1"/>
    <w:lsdException w:name="toc 8" w:unhideWhenUsed="1" w:qFormat="1"/>
    <w:lsdException w:name="toc 9" w:unhideWhenUsed="1" w:qFormat="1"/>
    <w:lsdException w:name="Normal Indent" w:semiHidden="1" w:unhideWhenUsed="1"/>
    <w:lsdException w:name="footnote text" w:semiHidden="1" w:unhideWhenUsed="1"/>
    <w:lsdException w:name="annotation text" w:qFormat="1"/>
    <w:lsdException w:name="header" w:uiPriority="99" w:qFormat="1"/>
    <w:lsdException w:name="footer" w:uiPriority="99"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framePr w:wrap="around" w:hAnchor="text" w:y="1"/>
      <w:widowControl w:val="0"/>
      <w:jc w:val="both"/>
    </w:pPr>
    <w:rPr>
      <w:rFonts w:ascii="Calibri" w:eastAsia="Calibri" w:hAnsi="Calibri" w:cs="Calibri"/>
      <w:color w:val="000000"/>
      <w:kern w:val="2"/>
      <w:sz w:val="21"/>
      <w:szCs w:val="21"/>
      <w:u w:color="000000"/>
    </w:rPr>
  </w:style>
  <w:style w:type="paragraph" w:styleId="1">
    <w:name w:val="heading 1"/>
    <w:basedOn w:val="a"/>
    <w:next w:val="a"/>
    <w:link w:val="10"/>
    <w:qFormat/>
    <w:pPr>
      <w:keepNext/>
      <w:keepLines/>
      <w:framePr w:wrap="around"/>
      <w:spacing w:before="340" w:after="330" w:line="578" w:lineRule="auto"/>
      <w:outlineLvl w:val="0"/>
    </w:pPr>
    <w:rPr>
      <w:b/>
      <w:bCs/>
      <w:kern w:val="44"/>
      <w:sz w:val="44"/>
      <w:szCs w:val="44"/>
    </w:rPr>
  </w:style>
  <w:style w:type="paragraph" w:styleId="3">
    <w:name w:val="heading 3"/>
    <w:next w:val="Paragraph"/>
    <w:link w:val="30"/>
    <w:uiPriority w:val="9"/>
    <w:unhideWhenUsed/>
    <w:qFormat/>
    <w:pPr>
      <w:keepNext/>
      <w:tabs>
        <w:tab w:val="left" w:pos="1411"/>
      </w:tabs>
      <w:spacing w:after="60" w:line="280" w:lineRule="exact"/>
      <w:outlineLvl w:val="2"/>
    </w:pPr>
    <w:rPr>
      <w:rFonts w:ascii="Arial" w:eastAsia="Arial" w:hAnsi="Arial" w:cs="Arial"/>
      <w:b/>
      <w:bCs/>
      <w:color w:val="000000"/>
      <w:kern w:val="32"/>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qFormat/>
    <w:pPr>
      <w:spacing w:after="250" w:line="300" w:lineRule="atLeast"/>
    </w:pPr>
    <w:rPr>
      <w:rFonts w:ascii="Arial" w:hAnsi="Arial" w:cs="Arial Unicode MS"/>
      <w:color w:val="000000"/>
      <w:sz w:val="22"/>
      <w:szCs w:val="22"/>
      <w:u w:color="000000"/>
    </w:rPr>
  </w:style>
  <w:style w:type="paragraph" w:styleId="TOC7">
    <w:name w:val="toc 7"/>
    <w:basedOn w:val="a"/>
    <w:next w:val="a"/>
    <w:unhideWhenUsed/>
    <w:qFormat/>
    <w:pPr>
      <w:framePr w:wrap="around"/>
      <w:jc w:val="left"/>
    </w:pPr>
    <w:rPr>
      <w:rFonts w:asciiTheme="minorHAnsi" w:hAnsiTheme="minorHAnsi"/>
      <w:sz w:val="22"/>
      <w:szCs w:val="22"/>
    </w:rPr>
  </w:style>
  <w:style w:type="paragraph" w:styleId="a3">
    <w:name w:val="caption"/>
    <w:basedOn w:val="a"/>
    <w:next w:val="a"/>
    <w:unhideWhenUsed/>
    <w:qFormat/>
    <w:pPr>
      <w:framePr w:wrap="around"/>
    </w:pPr>
    <w:rPr>
      <w:rFonts w:asciiTheme="majorHAnsi" w:eastAsia="黑体" w:hAnsiTheme="majorHAnsi" w:cstheme="majorBidi"/>
      <w:sz w:val="20"/>
      <w:szCs w:val="20"/>
    </w:rPr>
  </w:style>
  <w:style w:type="paragraph" w:styleId="a4">
    <w:name w:val="annotation text"/>
    <w:basedOn w:val="a"/>
    <w:link w:val="a5"/>
    <w:qFormat/>
    <w:pPr>
      <w:framePr w:wrap="around"/>
      <w:jc w:val="left"/>
    </w:pPr>
  </w:style>
  <w:style w:type="paragraph" w:styleId="TOC5">
    <w:name w:val="toc 5"/>
    <w:basedOn w:val="a"/>
    <w:next w:val="a"/>
    <w:unhideWhenUsed/>
    <w:qFormat/>
    <w:pPr>
      <w:framePr w:wrap="around"/>
      <w:jc w:val="left"/>
    </w:pPr>
    <w:rPr>
      <w:rFonts w:asciiTheme="minorHAnsi" w:hAnsiTheme="minorHAnsi"/>
      <w:sz w:val="22"/>
      <w:szCs w:val="22"/>
    </w:rPr>
  </w:style>
  <w:style w:type="paragraph" w:styleId="TOC3">
    <w:name w:val="toc 3"/>
    <w:basedOn w:val="a"/>
    <w:next w:val="a"/>
    <w:uiPriority w:val="39"/>
    <w:unhideWhenUsed/>
    <w:qFormat/>
    <w:pPr>
      <w:framePr w:wrap="around"/>
      <w:jc w:val="left"/>
    </w:pPr>
    <w:rPr>
      <w:rFonts w:asciiTheme="minorHAnsi" w:hAnsiTheme="minorHAnsi"/>
      <w:smallCaps/>
      <w:sz w:val="22"/>
      <w:szCs w:val="22"/>
    </w:rPr>
  </w:style>
  <w:style w:type="paragraph" w:styleId="TOC8">
    <w:name w:val="toc 8"/>
    <w:basedOn w:val="a"/>
    <w:next w:val="a"/>
    <w:unhideWhenUsed/>
    <w:qFormat/>
    <w:pPr>
      <w:framePr w:wrap="around"/>
      <w:jc w:val="left"/>
    </w:pPr>
    <w:rPr>
      <w:rFonts w:asciiTheme="minorHAnsi" w:hAnsiTheme="minorHAnsi"/>
      <w:sz w:val="22"/>
      <w:szCs w:val="22"/>
    </w:rPr>
  </w:style>
  <w:style w:type="paragraph" w:styleId="a6">
    <w:name w:val="Balloon Text"/>
    <w:basedOn w:val="a"/>
    <w:link w:val="a7"/>
    <w:qFormat/>
    <w:pPr>
      <w:framePr w:wrap="around"/>
    </w:pPr>
    <w:rPr>
      <w:rFonts w:ascii="宋体" w:hAnsi="宋体"/>
      <w:sz w:val="18"/>
      <w:szCs w:val="18"/>
    </w:rPr>
  </w:style>
  <w:style w:type="paragraph" w:styleId="a8">
    <w:name w:val="footer"/>
    <w:basedOn w:val="a"/>
    <w:link w:val="a9"/>
    <w:uiPriority w:val="99"/>
    <w:qFormat/>
    <w:pPr>
      <w:framePr w:wrap="around"/>
      <w:tabs>
        <w:tab w:val="center" w:pos="4153"/>
        <w:tab w:val="right" w:pos="8306"/>
      </w:tabs>
      <w:snapToGrid w:val="0"/>
      <w:jc w:val="left"/>
    </w:pPr>
    <w:rPr>
      <w:sz w:val="18"/>
      <w:szCs w:val="18"/>
    </w:rPr>
  </w:style>
  <w:style w:type="paragraph" w:styleId="aa">
    <w:name w:val="header"/>
    <w:basedOn w:val="a"/>
    <w:link w:val="ab"/>
    <w:uiPriority w:val="99"/>
    <w:qFormat/>
    <w:pPr>
      <w:framePr w:wrap="around"/>
      <w:pBdr>
        <w:bottom w:val="single" w:sz="6" w:space="1" w:color="auto"/>
      </w:pBdr>
      <w:tabs>
        <w:tab w:val="center" w:pos="4153"/>
        <w:tab w:val="right" w:pos="8306"/>
      </w:tabs>
      <w:snapToGrid w:val="0"/>
      <w:jc w:val="center"/>
    </w:pPr>
    <w:rPr>
      <w:sz w:val="18"/>
      <w:szCs w:val="18"/>
    </w:rPr>
  </w:style>
  <w:style w:type="paragraph" w:styleId="TOC1">
    <w:name w:val="toc 1"/>
    <w:basedOn w:val="a"/>
    <w:next w:val="a"/>
    <w:unhideWhenUsed/>
    <w:qFormat/>
    <w:pPr>
      <w:framePr w:wrap="around"/>
      <w:spacing w:before="360" w:after="360"/>
      <w:jc w:val="left"/>
    </w:pPr>
    <w:rPr>
      <w:rFonts w:asciiTheme="minorHAnsi" w:hAnsiTheme="minorHAnsi"/>
      <w:b/>
      <w:bCs/>
      <w:caps/>
      <w:sz w:val="22"/>
      <w:szCs w:val="22"/>
      <w:u w:val="single"/>
    </w:rPr>
  </w:style>
  <w:style w:type="paragraph" w:styleId="TOC4">
    <w:name w:val="toc 4"/>
    <w:basedOn w:val="a"/>
    <w:next w:val="a"/>
    <w:unhideWhenUsed/>
    <w:qFormat/>
    <w:pPr>
      <w:framePr w:wrap="around"/>
      <w:jc w:val="left"/>
    </w:pPr>
    <w:rPr>
      <w:rFonts w:asciiTheme="minorHAnsi" w:hAnsiTheme="minorHAnsi"/>
      <w:sz w:val="22"/>
      <w:szCs w:val="22"/>
    </w:rPr>
  </w:style>
  <w:style w:type="paragraph" w:styleId="TOC6">
    <w:name w:val="toc 6"/>
    <w:basedOn w:val="a"/>
    <w:next w:val="a"/>
    <w:unhideWhenUsed/>
    <w:qFormat/>
    <w:pPr>
      <w:framePr w:wrap="around"/>
      <w:jc w:val="left"/>
    </w:pPr>
    <w:rPr>
      <w:rFonts w:asciiTheme="minorHAnsi" w:hAnsiTheme="minorHAnsi"/>
      <w:sz w:val="22"/>
      <w:szCs w:val="22"/>
    </w:rPr>
  </w:style>
  <w:style w:type="paragraph" w:styleId="TOC2">
    <w:name w:val="toc 2"/>
    <w:basedOn w:val="a"/>
    <w:next w:val="a"/>
    <w:unhideWhenUsed/>
    <w:pPr>
      <w:framePr w:wrap="around"/>
      <w:jc w:val="left"/>
    </w:pPr>
    <w:rPr>
      <w:rFonts w:asciiTheme="minorHAnsi" w:hAnsiTheme="minorHAnsi"/>
      <w:b/>
      <w:bCs/>
      <w:smallCaps/>
      <w:sz w:val="22"/>
      <w:szCs w:val="22"/>
    </w:rPr>
  </w:style>
  <w:style w:type="paragraph" w:styleId="TOC9">
    <w:name w:val="toc 9"/>
    <w:basedOn w:val="a"/>
    <w:next w:val="a"/>
    <w:unhideWhenUsed/>
    <w:qFormat/>
    <w:pPr>
      <w:framePr w:wrap="around"/>
      <w:jc w:val="left"/>
    </w:pPr>
    <w:rPr>
      <w:rFonts w:asciiTheme="minorHAnsi" w:hAnsiTheme="minorHAnsi"/>
      <w:sz w:val="22"/>
      <w:szCs w:val="22"/>
    </w:rPr>
  </w:style>
  <w:style w:type="paragraph" w:styleId="ac">
    <w:name w:val="Normal (Web)"/>
    <w:basedOn w:val="a"/>
    <w:unhideWhenUsed/>
    <w:qFormat/>
    <w:pPr>
      <w:framePr w:wrap="auto"/>
      <w:widowControl/>
      <w:spacing w:before="100" w:beforeAutospacing="1" w:after="100" w:afterAutospacing="1"/>
      <w:jc w:val="left"/>
    </w:pPr>
    <w:rPr>
      <w:rFonts w:ascii="宋体" w:eastAsia="宋体" w:hAnsi="宋体" w:cs="宋体"/>
      <w:color w:val="auto"/>
      <w:kern w:val="0"/>
      <w:sz w:val="24"/>
      <w:szCs w:val="24"/>
    </w:rPr>
  </w:style>
  <w:style w:type="paragraph" w:styleId="ad">
    <w:name w:val="annotation subject"/>
    <w:basedOn w:val="a4"/>
    <w:next w:val="a4"/>
    <w:link w:val="ae"/>
    <w:qFormat/>
    <w:pPr>
      <w:framePr w:wrap="around"/>
    </w:pPr>
    <w:rPr>
      <w:b/>
      <w:bC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qFormat/>
    <w:rPr>
      <w:u w:val="single"/>
    </w:rPr>
  </w:style>
  <w:style w:type="character" w:styleId="af1">
    <w:name w:val="annotation reference"/>
    <w:basedOn w:val="a0"/>
    <w:qFormat/>
    <w:rPr>
      <w:sz w:val="21"/>
      <w:szCs w:val="21"/>
    </w:rPr>
  </w:style>
  <w:style w:type="table" w:customStyle="1" w:styleId="TableNormal1">
    <w:name w:val="Table Normal1"/>
    <w:qFormat/>
    <w:tblPr>
      <w:tblCellMar>
        <w:top w:w="0" w:type="dxa"/>
        <w:left w:w="0" w:type="dxa"/>
        <w:bottom w:w="0" w:type="dxa"/>
        <w:right w:w="0" w:type="dxa"/>
      </w:tblCellMar>
    </w:tblPr>
  </w:style>
  <w:style w:type="paragraph" w:customStyle="1" w:styleId="af2">
    <w:name w:val="页眉与页脚"/>
    <w:qFormat/>
    <w:pPr>
      <w:framePr w:wrap="around" w:hAnchor="text" w:y="1"/>
      <w:tabs>
        <w:tab w:val="right" w:pos="9020"/>
      </w:tabs>
    </w:pPr>
    <w:rPr>
      <w:rFonts w:ascii="Helvetica Neue" w:eastAsia="Arial Unicode MS" w:hAnsi="Helvetica Neue" w:cs="Arial Unicode MS"/>
      <w:color w:val="000000"/>
      <w:sz w:val="24"/>
      <w:szCs w:val="24"/>
    </w:rPr>
  </w:style>
  <w:style w:type="paragraph" w:customStyle="1" w:styleId="11">
    <w:name w:val="正文1"/>
    <w:qFormat/>
    <w:pPr>
      <w:framePr w:wrap="around" w:hAnchor="text" w:y="1"/>
    </w:pPr>
    <w:rPr>
      <w:rFonts w:ascii="Helvetica Neue" w:eastAsia="Helvetica Neue" w:hAnsi="Helvetica Neue" w:cs="Helvetica Neue"/>
      <w:color w:val="000000"/>
      <w:sz w:val="22"/>
      <w:szCs w:val="22"/>
    </w:rPr>
  </w:style>
  <w:style w:type="paragraph" w:customStyle="1" w:styleId="af3">
    <w:name w:val="默认"/>
    <w:qFormat/>
    <w:pPr>
      <w:framePr w:wrap="around" w:hAnchor="text" w:y="1"/>
    </w:pPr>
    <w:rPr>
      <w:rFonts w:ascii="Helvetica Neue" w:eastAsia="Helvetica Neue" w:hAnsi="Helvetica Neue" w:cs="Helvetica Neue"/>
      <w:color w:val="000000"/>
      <w:sz w:val="22"/>
      <w:szCs w:val="22"/>
    </w:rPr>
  </w:style>
  <w:style w:type="character" w:customStyle="1" w:styleId="a7">
    <w:name w:val="批注框文本 字符"/>
    <w:basedOn w:val="a0"/>
    <w:link w:val="a6"/>
    <w:qFormat/>
    <w:rPr>
      <w:rFonts w:ascii="宋体" w:eastAsia="Calibri" w:hAnsi="宋体" w:cs="Calibri"/>
      <w:color w:val="000000"/>
      <w:kern w:val="2"/>
      <w:sz w:val="18"/>
      <w:szCs w:val="18"/>
      <w:u w:color="000000"/>
    </w:rPr>
  </w:style>
  <w:style w:type="paragraph" w:customStyle="1" w:styleId="12">
    <w:name w:val="修订1"/>
    <w:hidden/>
    <w:uiPriority w:val="99"/>
    <w:semiHidden/>
    <w:qFormat/>
    <w:rPr>
      <w:rFonts w:ascii="Calibri" w:eastAsia="Calibri" w:hAnsi="Calibri" w:cs="Calibri"/>
      <w:color w:val="000000"/>
      <w:kern w:val="2"/>
      <w:sz w:val="21"/>
      <w:szCs w:val="21"/>
      <w:u w:color="000000"/>
    </w:rPr>
  </w:style>
  <w:style w:type="character" w:customStyle="1" w:styleId="a5">
    <w:name w:val="批注文字 字符"/>
    <w:basedOn w:val="a0"/>
    <w:link w:val="a4"/>
    <w:qFormat/>
    <w:rPr>
      <w:rFonts w:ascii="Calibri" w:eastAsia="Calibri" w:hAnsi="Calibri" w:cs="Calibri"/>
      <w:color w:val="000000"/>
      <w:kern w:val="2"/>
      <w:sz w:val="21"/>
      <w:szCs w:val="21"/>
      <w:u w:color="000000"/>
    </w:rPr>
  </w:style>
  <w:style w:type="character" w:customStyle="1" w:styleId="ae">
    <w:name w:val="批注主题 字符"/>
    <w:basedOn w:val="a5"/>
    <w:link w:val="ad"/>
    <w:qFormat/>
    <w:rPr>
      <w:rFonts w:ascii="Calibri" w:eastAsia="Calibri" w:hAnsi="Calibri" w:cs="Calibri"/>
      <w:b/>
      <w:bCs/>
      <w:color w:val="000000"/>
      <w:kern w:val="2"/>
      <w:sz w:val="21"/>
      <w:szCs w:val="21"/>
      <w:u w:color="000000"/>
    </w:rPr>
  </w:style>
  <w:style w:type="character" w:customStyle="1" w:styleId="ab">
    <w:name w:val="页眉 字符"/>
    <w:basedOn w:val="a0"/>
    <w:link w:val="aa"/>
    <w:uiPriority w:val="99"/>
    <w:qFormat/>
    <w:rPr>
      <w:rFonts w:ascii="Calibri" w:eastAsia="Calibri" w:hAnsi="Calibri" w:cs="Calibri"/>
      <w:color w:val="000000"/>
      <w:kern w:val="2"/>
      <w:sz w:val="18"/>
      <w:szCs w:val="18"/>
      <w:u w:color="000000"/>
    </w:rPr>
  </w:style>
  <w:style w:type="character" w:customStyle="1" w:styleId="a9">
    <w:name w:val="页脚 字符"/>
    <w:basedOn w:val="a0"/>
    <w:link w:val="a8"/>
    <w:uiPriority w:val="99"/>
    <w:qFormat/>
    <w:rPr>
      <w:rFonts w:ascii="Calibri" w:eastAsia="Calibri" w:hAnsi="Calibri" w:cs="Calibri"/>
      <w:color w:val="000000"/>
      <w:kern w:val="2"/>
      <w:sz w:val="18"/>
      <w:szCs w:val="18"/>
      <w:u w:color="000000"/>
    </w:rPr>
  </w:style>
  <w:style w:type="paragraph" w:styleId="af4">
    <w:name w:val="List Paragraph"/>
    <w:basedOn w:val="a"/>
    <w:uiPriority w:val="99"/>
    <w:qFormat/>
    <w:pPr>
      <w:framePr w:wrap="around"/>
      <w:ind w:firstLineChars="200" w:firstLine="420"/>
    </w:pPr>
  </w:style>
  <w:style w:type="character" w:customStyle="1" w:styleId="showcalpanel">
    <w:name w:val="showcalpanel"/>
    <w:basedOn w:val="a0"/>
    <w:qFormat/>
  </w:style>
  <w:style w:type="character" w:customStyle="1" w:styleId="fontstyle01">
    <w:name w:val="fontstyle01"/>
    <w:basedOn w:val="a0"/>
    <w:qFormat/>
    <w:rPr>
      <w:rFonts w:ascii="PygvwrAdvTTe45e47d2" w:hAnsi="PygvwrAdvTTe45e47d2" w:hint="default"/>
      <w:color w:val="131413"/>
      <w:sz w:val="48"/>
      <w:szCs w:val="48"/>
    </w:rPr>
  </w:style>
  <w:style w:type="paragraph" w:customStyle="1" w:styleId="grundschriftohneeinzug">
    <w:name w:val="grundschrift_ohne_einzug"/>
    <w:basedOn w:val="a"/>
    <w:qFormat/>
    <w:pPr>
      <w:framePr w:wrap="auto"/>
      <w:widowControl/>
      <w:spacing w:before="100" w:beforeAutospacing="1" w:after="100" w:afterAutospacing="1"/>
      <w:jc w:val="left"/>
    </w:pPr>
    <w:rPr>
      <w:rFonts w:ascii="宋体" w:eastAsia="宋体" w:hAnsi="宋体" w:cs="宋体"/>
      <w:color w:val="auto"/>
      <w:kern w:val="0"/>
      <w:sz w:val="24"/>
      <w:szCs w:val="24"/>
    </w:rPr>
  </w:style>
  <w:style w:type="character" w:customStyle="1" w:styleId="B">
    <w:name w:val="无 B"/>
    <w:qFormat/>
    <w:rPr>
      <w:lang w:val="en-US"/>
    </w:rPr>
  </w:style>
  <w:style w:type="character" w:customStyle="1" w:styleId="jlqj4b">
    <w:name w:val="jlqj4b"/>
    <w:basedOn w:val="a0"/>
    <w:qFormat/>
  </w:style>
  <w:style w:type="character" w:customStyle="1" w:styleId="30">
    <w:name w:val="标题 3 字符"/>
    <w:basedOn w:val="a0"/>
    <w:link w:val="3"/>
    <w:uiPriority w:val="9"/>
    <w:qFormat/>
    <w:rPr>
      <w:rFonts w:ascii="Arial" w:eastAsia="Arial" w:hAnsi="Arial" w:cs="Arial"/>
      <w:b/>
      <w:bCs/>
      <w:color w:val="000000"/>
      <w:kern w:val="32"/>
      <w:sz w:val="24"/>
      <w:szCs w:val="24"/>
      <w:u w:val="single" w:color="000000"/>
    </w:rPr>
  </w:style>
  <w:style w:type="character" w:customStyle="1" w:styleId="af5">
    <w:name w:val="无"/>
    <w:qFormat/>
  </w:style>
  <w:style w:type="paragraph" w:customStyle="1" w:styleId="EndNoteBibliographyTitle">
    <w:name w:val="EndNote Bibliography Title"/>
    <w:basedOn w:val="a"/>
    <w:link w:val="EndNoteBibliographyTitle0"/>
    <w:qFormat/>
    <w:pPr>
      <w:framePr w:wrap="auto" w:yAlign="inline"/>
      <w:jc w:val="center"/>
    </w:pPr>
    <w:rPr>
      <w:sz w:val="20"/>
    </w:rPr>
  </w:style>
  <w:style w:type="character" w:customStyle="1" w:styleId="EndNoteBibliographyTitle0">
    <w:name w:val="EndNote Bibliography Title 字符"/>
    <w:basedOn w:val="a0"/>
    <w:link w:val="EndNoteBibliographyTitle"/>
    <w:qFormat/>
    <w:rPr>
      <w:rFonts w:ascii="Calibri" w:eastAsia="Calibri" w:hAnsi="Calibri" w:cs="Calibri"/>
      <w:color w:val="000000"/>
      <w:kern w:val="2"/>
      <w:szCs w:val="21"/>
      <w:u w:color="000000"/>
    </w:rPr>
  </w:style>
  <w:style w:type="paragraph" w:customStyle="1" w:styleId="EndNoteBibliography">
    <w:name w:val="EndNote Bibliography"/>
    <w:basedOn w:val="a"/>
    <w:link w:val="EndNoteBibliography0"/>
    <w:qFormat/>
    <w:pPr>
      <w:framePr w:wrap="auto" w:yAlign="inline"/>
    </w:pPr>
    <w:rPr>
      <w:sz w:val="20"/>
    </w:rPr>
  </w:style>
  <w:style w:type="character" w:customStyle="1" w:styleId="EndNoteBibliography0">
    <w:name w:val="EndNote Bibliography 字符"/>
    <w:basedOn w:val="a0"/>
    <w:link w:val="EndNoteBibliography"/>
    <w:qFormat/>
    <w:rPr>
      <w:rFonts w:ascii="Calibri" w:eastAsia="Calibri" w:hAnsi="Calibri" w:cs="Calibri"/>
      <w:color w:val="000000"/>
      <w:kern w:val="2"/>
      <w:szCs w:val="21"/>
      <w:u w:color="000000"/>
    </w:rPr>
  </w:style>
  <w:style w:type="paragraph" w:customStyle="1" w:styleId="2">
    <w:name w:val="修订2"/>
    <w:hidden/>
    <w:uiPriority w:val="99"/>
    <w:semiHidden/>
    <w:qFormat/>
    <w:rPr>
      <w:rFonts w:ascii="Calibri" w:eastAsia="Calibri" w:hAnsi="Calibri" w:cs="Calibri"/>
      <w:color w:val="000000"/>
      <w:kern w:val="2"/>
      <w:sz w:val="21"/>
      <w:szCs w:val="21"/>
      <w:u w:color="000000"/>
    </w:rPr>
  </w:style>
  <w:style w:type="character" w:customStyle="1" w:styleId="10">
    <w:name w:val="标题 1 字符"/>
    <w:basedOn w:val="a0"/>
    <w:link w:val="1"/>
    <w:qFormat/>
    <w:rPr>
      <w:rFonts w:ascii="Calibri" w:eastAsia="Calibri" w:hAnsi="Calibri" w:cs="Calibri"/>
      <w:b/>
      <w:bCs/>
      <w:color w:val="000000"/>
      <w:kern w:val="44"/>
      <w:sz w:val="44"/>
      <w:szCs w:val="44"/>
      <w:u w:color="000000"/>
    </w:rPr>
  </w:style>
  <w:style w:type="paragraph" w:customStyle="1" w:styleId="TOC10">
    <w:name w:val="TOC 标题1"/>
    <w:basedOn w:val="1"/>
    <w:next w:val="a"/>
    <w:uiPriority w:val="39"/>
    <w:unhideWhenUsed/>
    <w:qFormat/>
    <w:pPr>
      <w:framePr w:wrap="auto" w:yAlign="inline"/>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13">
    <w:name w:val="未处理的提及1"/>
    <w:basedOn w:val="a0"/>
    <w:uiPriority w:val="99"/>
    <w:semiHidden/>
    <w:unhideWhenUsed/>
    <w:qFormat/>
    <w:rPr>
      <w:color w:val="605E5C"/>
      <w:shd w:val="clear" w:color="auto" w:fill="E1DFDD"/>
    </w:rPr>
  </w:style>
  <w:style w:type="table" w:customStyle="1" w:styleId="14">
    <w:name w:val="网格型1"/>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a1"/>
    <w:uiPriority w:val="39"/>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1"/>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1"/>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网格型61"/>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7860CC"/>
    <w:rPr>
      <w:rFonts w:ascii="Calibri" w:eastAsia="Calibri" w:hAnsi="Calibri" w:cs="Calibri"/>
      <w:color w:val="000000"/>
      <w:kern w:val="2"/>
      <w:sz w:val="21"/>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2C71F-21EF-4218-91DF-36B81F0F93E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3998</Words>
  <Characters>22792</Characters>
  <Application>Microsoft Office Word</Application>
  <DocSecurity>0</DocSecurity>
  <Lines>189</Lines>
  <Paragraphs>53</Paragraphs>
  <ScaleCrop>false</ScaleCrop>
  <Company/>
  <LinksUpToDate>false</LinksUpToDate>
  <CharactersWithSpaces>26737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qi qingqing</cp:lastModifiedBy>
  <cp:revision>27</cp:revision>
  <cp:lastPrinted>2021-06-21T16:20:00Z</cp:lastPrinted>
  <dcterms:created xsi:type="dcterms:W3CDTF">2022-08-19T14:37:00Z</dcterms:created>
  <dcterms:modified xsi:type="dcterms:W3CDTF">2023-07-22T11:06:00Z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7E1ADB0F8B5D496D9394E96B872A00D2</vt:lpwstr>
  </property>
</Properties>
</file>