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Supplementary Materials for</w:t>
      </w:r>
    </w:p>
    <w:p>
      <w:pPr>
        <w:spacing w:line="480" w:lineRule="auto"/>
        <w:jc w:val="center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Clinical </w:t>
      </w:r>
      <w:r>
        <w:rPr>
          <w:rFonts w:hint="eastAsia" w:ascii="Arial" w:hAnsi="Arial" w:cs="Arial"/>
          <w:b/>
          <w:bCs/>
          <w:color w:val="FF0000"/>
          <w:sz w:val="24"/>
          <w:szCs w:val="24"/>
          <w:lang w:val="en-US" w:eastAsia="zh-CN"/>
        </w:rPr>
        <w:t>diagnostic</w:t>
      </w:r>
      <w:r>
        <w:rPr>
          <w:rFonts w:hint="default" w:ascii="Arial" w:hAnsi="Arial" w:cs="Arial"/>
          <w:b/>
          <w:bCs/>
          <w:sz w:val="24"/>
          <w:szCs w:val="24"/>
        </w:rPr>
        <w:t xml:space="preserve"> value of methylated SEPT9 combined with NLR, PLR and LMR in colorectal cancer</w:t>
      </w:r>
    </w:p>
    <w:p>
      <w:pPr>
        <w:spacing w:line="480" w:lineRule="auto"/>
        <w:jc w:val="center"/>
        <w:rPr>
          <w:rFonts w:hint="eastAsia" w:ascii="Arial" w:hAnsi="Arial" w:eastAsia="宋体" w:cs="Arial"/>
          <w:sz w:val="21"/>
          <w:lang w:val="en-US" w:eastAsia="zh-CN"/>
        </w:rPr>
      </w:pPr>
      <w:r>
        <w:rPr>
          <w:rFonts w:hint="default" w:ascii="Arial" w:hAnsi="Arial" w:eastAsia="宋体" w:cs="Arial"/>
          <w:sz w:val="21"/>
        </w:rPr>
        <w:t>Meiyuan Huang</w:t>
      </w:r>
      <w:r>
        <w:rPr>
          <w:rFonts w:hint="default" w:ascii="Arial" w:hAnsi="Arial" w:eastAsia="宋体" w:cs="Arial"/>
          <w:sz w:val="21"/>
          <w:vertAlign w:val="superscript"/>
        </w:rPr>
        <w:t>1</w:t>
      </w:r>
      <w:r>
        <w:rPr>
          <w:rFonts w:hint="default" w:ascii="Arial" w:hAnsi="Arial" w:eastAsia="宋体" w:cs="Arial"/>
          <w:sz w:val="21"/>
        </w:rPr>
        <w:t>,</w:t>
      </w:r>
      <w:r>
        <w:rPr>
          <w:rFonts w:hint="eastAsia" w:ascii="Arial" w:hAnsi="Arial" w:eastAsia="宋体" w:cs="Arial"/>
          <w:sz w:val="21"/>
          <w:lang w:val="en-US" w:eastAsia="zh-CN"/>
        </w:rPr>
        <w:t xml:space="preserve"> Shuang Deng</w:t>
      </w:r>
      <w:r>
        <w:rPr>
          <w:rFonts w:hint="default" w:ascii="Arial" w:hAnsi="Arial" w:eastAsia="宋体" w:cs="Arial"/>
          <w:sz w:val="21"/>
          <w:vertAlign w:val="superscript"/>
        </w:rPr>
        <w:t>1</w:t>
      </w:r>
      <w:r>
        <w:rPr>
          <w:rFonts w:hint="eastAsia" w:ascii="Arial" w:hAnsi="Arial" w:eastAsia="宋体" w:cs="Arial"/>
          <w:sz w:val="21"/>
          <w:lang w:val="en-US" w:eastAsia="zh-CN"/>
        </w:rPr>
        <w:t>, Ming Li</w:t>
      </w:r>
      <w:r>
        <w:rPr>
          <w:rFonts w:hint="eastAsia" w:ascii="Arial" w:hAnsi="Arial" w:eastAsia="宋体" w:cs="Arial"/>
          <w:sz w:val="21"/>
          <w:vertAlign w:val="superscript"/>
          <w:lang w:val="en-US" w:eastAsia="zh-CN"/>
        </w:rPr>
        <w:t>2</w:t>
      </w:r>
      <w:r>
        <w:rPr>
          <w:rFonts w:hint="eastAsia" w:ascii="Arial" w:hAnsi="Arial" w:eastAsia="宋体" w:cs="Arial"/>
          <w:sz w:val="21"/>
          <w:lang w:val="en-US" w:eastAsia="zh-CN"/>
        </w:rPr>
        <w:t>, Zhenyu Yang</w:t>
      </w:r>
      <w:r>
        <w:rPr>
          <w:rFonts w:hint="default" w:ascii="Arial" w:hAnsi="Arial" w:eastAsia="宋体" w:cs="Arial"/>
          <w:sz w:val="21"/>
          <w:vertAlign w:val="superscript"/>
        </w:rPr>
        <w:t>1</w:t>
      </w:r>
      <w:r>
        <w:rPr>
          <w:rFonts w:hint="eastAsia" w:ascii="Arial" w:hAnsi="Arial" w:eastAsia="宋体" w:cs="Arial"/>
          <w:sz w:val="21"/>
          <w:lang w:val="en-US" w:eastAsia="zh-CN"/>
        </w:rPr>
        <w:t>, Jiaxing Guo</w:t>
      </w:r>
      <w:r>
        <w:rPr>
          <w:rFonts w:hint="eastAsia" w:ascii="Arial" w:hAnsi="Arial" w:eastAsia="宋体" w:cs="Arial"/>
          <w:sz w:val="21"/>
          <w:vertAlign w:val="superscript"/>
          <w:lang w:val="en-US" w:eastAsia="zh-CN"/>
        </w:rPr>
        <w:t>3</w:t>
      </w:r>
      <w:r>
        <w:rPr>
          <w:rFonts w:hint="eastAsia" w:ascii="Arial" w:hAnsi="Arial" w:eastAsia="宋体" w:cs="Arial"/>
          <w:sz w:val="21"/>
          <w:lang w:val="en-US" w:eastAsia="zh-CN"/>
        </w:rPr>
        <w:t>, Yi Deng</w:t>
      </w:r>
      <w:r>
        <w:rPr>
          <w:rFonts w:hint="default" w:ascii="Arial" w:hAnsi="Arial" w:eastAsia="宋体" w:cs="Arial"/>
          <w:sz w:val="21"/>
          <w:vertAlign w:val="superscript"/>
        </w:rPr>
        <w:t>1</w:t>
      </w:r>
      <w:r>
        <w:rPr>
          <w:rFonts w:hint="eastAsia" w:ascii="Arial" w:hAnsi="Arial" w:eastAsia="宋体" w:cs="Arial"/>
          <w:sz w:val="21"/>
          <w:lang w:val="en-US" w:eastAsia="zh-CN"/>
        </w:rPr>
        <w:t>,</w:t>
      </w:r>
      <w:r>
        <w:rPr>
          <w:rFonts w:hint="default" w:ascii="Arial" w:hAnsi="Arial" w:eastAsia="宋体" w:cs="Arial"/>
          <w:sz w:val="21"/>
        </w:rPr>
        <w:t xml:space="preserve"> </w:t>
      </w:r>
      <w:r>
        <w:rPr>
          <w:rFonts w:hint="default" w:ascii="Arial" w:hAnsi="Arial" w:eastAsia="宋体" w:cs="Arial"/>
          <w:sz w:val="21"/>
          <w:lang w:val="en-US" w:eastAsia="zh-CN"/>
        </w:rPr>
        <w:t>Dongliang Chen</w:t>
      </w:r>
      <w:r>
        <w:rPr>
          <w:rFonts w:hint="default" w:ascii="Arial" w:hAnsi="Arial" w:eastAsia="宋体" w:cs="Arial"/>
          <w:sz w:val="21"/>
          <w:vertAlign w:val="superscript"/>
        </w:rPr>
        <w:t>1</w:t>
      </w:r>
      <w:r>
        <w:rPr>
          <w:rFonts w:hint="default" w:ascii="Arial" w:hAnsi="Arial" w:eastAsia="宋体" w:cs="Arial"/>
          <w:sz w:val="21"/>
        </w:rPr>
        <w:t>*</w:t>
      </w:r>
      <w:r>
        <w:rPr>
          <w:rFonts w:hint="eastAsia" w:ascii="Arial" w:hAnsi="Arial" w:eastAsia="宋体" w:cs="Arial"/>
          <w:sz w:val="21"/>
          <w:lang w:val="en-US" w:eastAsia="zh-CN"/>
        </w:rPr>
        <w:t xml:space="preserve">, </w:t>
      </w:r>
      <w:r>
        <w:rPr>
          <w:rFonts w:hint="default" w:ascii="Arial" w:hAnsi="Arial" w:eastAsia="宋体" w:cs="Arial"/>
          <w:sz w:val="21"/>
        </w:rPr>
        <w:t>Bokang Yan</w:t>
      </w:r>
      <w:r>
        <w:rPr>
          <w:rFonts w:hint="default" w:ascii="Arial" w:hAnsi="Arial" w:eastAsia="宋体" w:cs="Arial"/>
          <w:sz w:val="21"/>
          <w:vertAlign w:val="superscript"/>
        </w:rPr>
        <w:t>1</w:t>
      </w:r>
      <w:r>
        <w:rPr>
          <w:rFonts w:hint="default" w:ascii="Arial" w:hAnsi="Arial" w:eastAsia="宋体" w:cs="Arial"/>
          <w:sz w:val="21"/>
        </w:rPr>
        <w:t>*</w:t>
      </w:r>
    </w:p>
    <w:p>
      <w:pPr>
        <w:spacing w:line="480" w:lineRule="auto"/>
        <w:rPr>
          <w:rFonts w:hint="default" w:ascii="Arial" w:hAnsi="Arial" w:cs="Arial"/>
          <w:sz w:val="21"/>
        </w:rPr>
      </w:pPr>
    </w:p>
    <w:p>
      <w:pPr>
        <w:spacing w:line="360" w:lineRule="auto"/>
        <w:jc w:val="center"/>
        <w:rPr>
          <w:rFonts w:hint="eastAsia" w:ascii="Arial" w:hAnsi="Arial" w:cs="Arial"/>
          <w:sz w:val="21"/>
        </w:rPr>
      </w:pPr>
      <w:r>
        <w:rPr>
          <w:rFonts w:ascii="Arial" w:hAnsi="Arial" w:eastAsia="宋体" w:cs="Arial"/>
          <w:sz w:val="21"/>
        </w:rPr>
        <w:t>*</w:t>
      </w:r>
      <w:r>
        <w:rPr>
          <w:rFonts w:ascii="Arial" w:hAnsi="Arial" w:cs="Arial"/>
          <w:sz w:val="21"/>
        </w:rPr>
        <w:t>Correspondence:</w:t>
      </w:r>
      <w:r>
        <w:rPr>
          <w:rFonts w:hint="eastAsia" w:ascii="Arial" w:hAnsi="Arial" w:cs="Arial"/>
          <w:sz w:val="21"/>
        </w:rPr>
        <w:t xml:space="preserve"> </w:t>
      </w:r>
      <w:r>
        <w:rPr>
          <w:rFonts w:hint="default" w:ascii="Arial" w:hAnsi="Arial" w:eastAsia="宋体" w:cs="Arial"/>
          <w:sz w:val="21"/>
          <w:lang w:val="en-US" w:eastAsia="zh-CN"/>
        </w:rPr>
        <w:t>Dongliang Chen</w:t>
      </w:r>
      <w:r>
        <w:rPr>
          <w:rFonts w:hint="eastAsia" w:ascii="Arial" w:hAnsi="Arial" w:cs="Arial"/>
          <w:sz w:val="21"/>
        </w:rPr>
        <w:t xml:space="preserve"> (</w:t>
      </w:r>
      <w:r>
        <w:rPr>
          <w:rFonts w:hint="eastAsia" w:ascii="Arial" w:hAnsi="Arial" w:cs="Arial"/>
          <w:sz w:val="21"/>
          <w:lang w:val="en-US" w:eastAsia="zh-CN"/>
        </w:rPr>
        <w:t>2984403220</w:t>
      </w:r>
      <w:r>
        <w:rPr>
          <w:rFonts w:hint="eastAsia" w:ascii="Arial" w:hAnsi="Arial" w:cs="Arial"/>
          <w:sz w:val="21"/>
        </w:rPr>
        <w:t>@qq.com)</w:t>
      </w:r>
    </w:p>
    <w:p>
      <w:pPr>
        <w:spacing w:line="360" w:lineRule="auto"/>
        <w:jc w:val="both"/>
        <w:rPr>
          <w:rFonts w:hint="default" w:ascii="Arial" w:hAnsi="Arial" w:cs="Arial" w:eastAsiaTheme="minorEastAsia"/>
          <w:sz w:val="21"/>
          <w:lang w:val="en-US" w:eastAsia="zh-CN"/>
        </w:rPr>
      </w:pPr>
      <w:r>
        <w:rPr>
          <w:rFonts w:hint="eastAsia" w:ascii="Arial" w:hAnsi="Arial" w:cs="Arial"/>
          <w:sz w:val="21"/>
          <w:lang w:val="en-US" w:eastAsia="zh-CN"/>
        </w:rPr>
        <w:t xml:space="preserve">                              Bokang Yan (bokangyan2022@163.com)</w:t>
      </w:r>
    </w:p>
    <w:p/>
    <w:p/>
    <w:p/>
    <w:p>
      <w:pPr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This file includes:</w:t>
      </w:r>
    </w:p>
    <w:p>
      <w:pPr>
        <w:ind w:firstLine="630" w:firstLineChars="300"/>
        <w:rPr>
          <w:rFonts w:hint="eastAsia" w:ascii="Arial" w:hAnsi="Arial" w:cs="Arial" w:eastAsiaTheme="minorEastAsia"/>
          <w:lang w:val="en-US" w:eastAsia="zh-CN"/>
        </w:rPr>
      </w:pPr>
      <w:r>
        <w:rPr>
          <w:rFonts w:hint="default" w:ascii="Arial" w:hAnsi="Arial" w:cs="Arial"/>
        </w:rPr>
        <w:t>Tables S1 to</w:t>
      </w:r>
      <w:r>
        <w:rPr>
          <w:rFonts w:hint="default" w:ascii="Arial" w:hAnsi="Arial" w:cs="Arial"/>
          <w:color w:val="FF0000"/>
        </w:rPr>
        <w:t xml:space="preserve"> S</w:t>
      </w:r>
      <w:r>
        <w:rPr>
          <w:rFonts w:hint="eastAsia" w:ascii="Arial" w:hAnsi="Arial" w:cs="Arial"/>
          <w:color w:val="FF0000"/>
          <w:lang w:val="en-US" w:eastAsia="zh-CN"/>
        </w:rPr>
        <w:t>4</w:t>
      </w: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ind w:firstLine="630" w:firstLineChars="300"/>
        <w:rPr>
          <w:rFonts w:hint="default" w:ascii="Arial" w:hAnsi="Arial" w:cs="Arial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sz w:val="24"/>
          <w:szCs w:val="24"/>
          <w:lang w:val="en-US" w:eastAsia="zh-CN"/>
        </w:rPr>
      </w:pPr>
      <w:r>
        <w:rPr>
          <w:rFonts w:hint="default" w:ascii="Arial" w:hAnsi="Arial" w:cs="Arial"/>
          <w:b/>
          <w:bCs/>
          <w:i w:val="0"/>
          <w:iCs w:val="0"/>
          <w:sz w:val="24"/>
          <w:szCs w:val="24"/>
          <w:lang w:val="en-US" w:eastAsia="zh-CN"/>
        </w:rPr>
        <w:t>Table S1 Diagnostic value of mSEPT9, NLR, PLR and LMR in CRC</w:t>
      </w:r>
      <w:r>
        <w:rPr>
          <w:rFonts w:hint="eastAsia" w:ascii="Arial" w:hAnsi="Arial" w:cs="Arial"/>
          <w:b/>
          <w:bCs/>
          <w:i w:val="0"/>
          <w:iCs w:val="0"/>
          <w:sz w:val="24"/>
          <w:szCs w:val="24"/>
          <w:lang w:val="en-US" w:eastAsia="zh-CN"/>
        </w:rPr>
        <w:t>.</w:t>
      </w:r>
    </w:p>
    <w:tbl>
      <w:tblPr>
        <w:tblStyle w:val="2"/>
        <w:tblW w:w="4998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759"/>
        <w:gridCol w:w="2225"/>
        <w:gridCol w:w="1317"/>
        <w:gridCol w:w="1405"/>
        <w:gridCol w:w="165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6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left"/>
              <w:rPr>
                <w:rFonts w:hint="default" w:ascii="Arial" w:hAnsi="Arial" w:eastAsia="宋体" w:cs="Arial"/>
                <w:sz w:val="22"/>
                <w:szCs w:val="22"/>
              </w:rPr>
            </w:pPr>
          </w:p>
        </w:tc>
        <w:tc>
          <w:tcPr>
            <w:tcW w:w="453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AUC</w:t>
            </w:r>
          </w:p>
        </w:tc>
        <w:tc>
          <w:tcPr>
            <w:tcW w:w="1312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Cut-off value</w:t>
            </w:r>
          </w:p>
        </w:tc>
        <w:tc>
          <w:tcPr>
            <w:tcW w:w="736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Sensitivity</w:t>
            </w:r>
          </w:p>
        </w:tc>
        <w:tc>
          <w:tcPr>
            <w:tcW w:w="831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  <w:t>Specificity</w:t>
            </w:r>
          </w:p>
        </w:tc>
        <w:tc>
          <w:tcPr>
            <w:tcW w:w="978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  <w:t>95%CI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6" w:type="pct"/>
            <w:noWrap w:val="0"/>
            <w:vAlign w:val="top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mSEPT9</w:t>
            </w:r>
          </w:p>
        </w:tc>
        <w:tc>
          <w:tcPr>
            <w:tcW w:w="453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0.78</w:t>
            </w:r>
          </w:p>
        </w:tc>
        <w:tc>
          <w:tcPr>
            <w:tcW w:w="1312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41.0</w:t>
            </w:r>
          </w:p>
        </w:tc>
        <w:tc>
          <w:tcPr>
            <w:tcW w:w="736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831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978" w:type="pct"/>
            <w:noWrap w:val="0"/>
            <w:vAlign w:val="top"/>
          </w:tcPr>
          <w:p>
            <w:pPr>
              <w:jc w:val="center"/>
              <w:rPr>
                <w:rFonts w:hint="default" w:ascii="Arial" w:hAnsi="Arial" w:eastAsia="仿宋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0.72~0.83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6" w:type="pct"/>
            <w:noWrap w:val="0"/>
            <w:vAlign w:val="top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NLR</w:t>
            </w:r>
          </w:p>
        </w:tc>
        <w:tc>
          <w:tcPr>
            <w:tcW w:w="453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0.78</w:t>
            </w:r>
          </w:p>
        </w:tc>
        <w:tc>
          <w:tcPr>
            <w:tcW w:w="1312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736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831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978" w:type="pct"/>
            <w:noWrap w:val="0"/>
            <w:vAlign w:val="top"/>
          </w:tcPr>
          <w:p>
            <w:pPr>
              <w:jc w:val="center"/>
              <w:rPr>
                <w:rFonts w:hint="default" w:ascii="Arial" w:hAnsi="Arial" w:eastAsia="仿宋" w:cs="Arial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0.72~0.83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6" w:type="pct"/>
            <w:noWrap w:val="0"/>
            <w:vAlign w:val="top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PLR</w:t>
            </w:r>
          </w:p>
        </w:tc>
        <w:tc>
          <w:tcPr>
            <w:tcW w:w="453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0.80</w:t>
            </w:r>
          </w:p>
        </w:tc>
        <w:tc>
          <w:tcPr>
            <w:tcW w:w="1312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145.7</w:t>
            </w:r>
          </w:p>
        </w:tc>
        <w:tc>
          <w:tcPr>
            <w:tcW w:w="736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831" w:type="pct"/>
            <w:noWrap w:val="0"/>
            <w:vAlign w:val="top"/>
          </w:tcPr>
          <w:p>
            <w:pPr>
              <w:jc w:val="center"/>
              <w:rPr>
                <w:rFonts w:hint="default" w:ascii="Arial" w:hAnsi="Arial" w:eastAsia="仿宋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0.8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78" w:type="pct"/>
            <w:noWrap w:val="0"/>
            <w:vAlign w:val="top"/>
          </w:tcPr>
          <w:p>
            <w:pPr>
              <w:jc w:val="center"/>
              <w:rPr>
                <w:rFonts w:hint="default" w:ascii="Arial" w:hAnsi="Arial" w:eastAsia="仿宋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0.75~0.85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6" w:type="pct"/>
            <w:tcBorders>
              <w:bottom w:val="single" w:color="auto" w:sz="12" w:space="0"/>
            </w:tcBorders>
            <w:noWrap w:val="0"/>
            <w:vAlign w:val="top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LMR</w:t>
            </w:r>
          </w:p>
        </w:tc>
        <w:tc>
          <w:tcPr>
            <w:tcW w:w="453" w:type="pct"/>
            <w:tcBorders>
              <w:bottom w:val="single" w:color="auto" w:sz="12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  <w:tc>
          <w:tcPr>
            <w:tcW w:w="1312" w:type="pct"/>
            <w:tcBorders>
              <w:bottom w:val="single" w:color="auto" w:sz="12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736" w:type="pct"/>
            <w:tcBorders>
              <w:bottom w:val="single" w:color="auto" w:sz="12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0.72</w:t>
            </w:r>
          </w:p>
        </w:tc>
        <w:tc>
          <w:tcPr>
            <w:tcW w:w="831" w:type="pct"/>
            <w:tcBorders>
              <w:bottom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仿宋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</w:rPr>
              <w:t>0.7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978" w:type="pct"/>
            <w:tcBorders>
              <w:bottom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仿宋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0.71~0.82</w:t>
            </w:r>
          </w:p>
        </w:tc>
      </w:tr>
    </w:tbl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sz w:val="24"/>
          <w:szCs w:val="28"/>
          <w:lang w:val="en-US" w:eastAsia="zh-CN"/>
        </w:rPr>
      </w:pPr>
      <w:r>
        <w:rPr>
          <w:rFonts w:hint="default" w:ascii="Arial" w:hAnsi="Arial" w:cs="Arial"/>
          <w:b/>
          <w:bCs/>
          <w:i w:val="0"/>
          <w:iCs w:val="0"/>
          <w:sz w:val="24"/>
          <w:szCs w:val="28"/>
          <w:lang w:val="en-US" w:eastAsia="zh-CN"/>
        </w:rPr>
        <w:t>Table S2 Diagnostic value of the combination of mSEPT9 with NLR, PLR or/and LMR in CRC</w:t>
      </w:r>
      <w:r>
        <w:rPr>
          <w:rFonts w:hint="eastAsia" w:ascii="Arial" w:hAnsi="Arial" w:cs="Arial"/>
          <w:b/>
          <w:bCs/>
          <w:i w:val="0"/>
          <w:iCs w:val="0"/>
          <w:sz w:val="24"/>
          <w:szCs w:val="28"/>
          <w:lang w:val="en-US" w:eastAsia="zh-CN"/>
        </w:rPr>
        <w:t>.</w:t>
      </w:r>
    </w:p>
    <w:tbl>
      <w:tblPr>
        <w:tblStyle w:val="2"/>
        <w:tblW w:w="4998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1"/>
        <w:gridCol w:w="1052"/>
        <w:gridCol w:w="1606"/>
        <w:gridCol w:w="1574"/>
        <w:gridCol w:w="174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1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left"/>
              <w:rPr>
                <w:rFonts w:hint="default" w:ascii="Arial" w:hAnsi="Arial" w:eastAsia="宋体" w:cs="Arial"/>
                <w:sz w:val="22"/>
                <w:szCs w:val="22"/>
              </w:rPr>
            </w:pPr>
          </w:p>
        </w:tc>
        <w:tc>
          <w:tcPr>
            <w:tcW w:w="617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AUC</w:t>
            </w:r>
          </w:p>
        </w:tc>
        <w:tc>
          <w:tcPr>
            <w:tcW w:w="942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Sensitivity</w:t>
            </w:r>
          </w:p>
        </w:tc>
        <w:tc>
          <w:tcPr>
            <w:tcW w:w="923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  <w:t>Specificity</w:t>
            </w:r>
          </w:p>
        </w:tc>
        <w:tc>
          <w:tcPr>
            <w:tcW w:w="1024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  <w:t>95%CI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1" w:type="pct"/>
            <w:noWrap w:val="0"/>
            <w:vAlign w:val="top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S9+NLR</w:t>
            </w:r>
          </w:p>
        </w:tc>
        <w:tc>
          <w:tcPr>
            <w:tcW w:w="617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0.88</w:t>
            </w:r>
          </w:p>
        </w:tc>
        <w:tc>
          <w:tcPr>
            <w:tcW w:w="942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</w:t>
            </w:r>
          </w:p>
        </w:tc>
        <w:tc>
          <w:tcPr>
            <w:tcW w:w="923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1024" w:type="pct"/>
            <w:noWrap w:val="0"/>
            <w:vAlign w:val="top"/>
          </w:tcPr>
          <w:p>
            <w:pPr>
              <w:jc w:val="center"/>
              <w:rPr>
                <w:rFonts w:hint="default" w:ascii="Arial" w:hAnsi="Arial" w:eastAsia="仿宋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0.84~0.92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1" w:type="pct"/>
            <w:noWrap w:val="0"/>
            <w:vAlign w:val="top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S9+PLR</w:t>
            </w:r>
          </w:p>
        </w:tc>
        <w:tc>
          <w:tcPr>
            <w:tcW w:w="617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0.83</w:t>
            </w:r>
          </w:p>
        </w:tc>
        <w:tc>
          <w:tcPr>
            <w:tcW w:w="942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</w:t>
            </w:r>
          </w:p>
        </w:tc>
        <w:tc>
          <w:tcPr>
            <w:tcW w:w="923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1024" w:type="pct"/>
            <w:noWrap w:val="0"/>
            <w:vAlign w:val="top"/>
          </w:tcPr>
          <w:p>
            <w:pPr>
              <w:jc w:val="center"/>
              <w:rPr>
                <w:rFonts w:hint="default" w:ascii="Arial" w:hAnsi="Arial" w:eastAsia="仿宋" w:cs="Arial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0.78~0.88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1" w:type="pct"/>
            <w:noWrap w:val="0"/>
            <w:vAlign w:val="top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S9+LMR</w:t>
            </w:r>
          </w:p>
        </w:tc>
        <w:tc>
          <w:tcPr>
            <w:tcW w:w="617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0.84</w:t>
            </w:r>
          </w:p>
        </w:tc>
        <w:tc>
          <w:tcPr>
            <w:tcW w:w="942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923" w:type="pct"/>
            <w:noWrap w:val="0"/>
            <w:vAlign w:val="top"/>
          </w:tcPr>
          <w:p>
            <w:pPr>
              <w:jc w:val="center"/>
              <w:rPr>
                <w:rFonts w:hint="default" w:ascii="Arial" w:hAnsi="Arial" w:eastAsia="仿宋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0.90</w:t>
            </w:r>
          </w:p>
        </w:tc>
        <w:tc>
          <w:tcPr>
            <w:tcW w:w="1024" w:type="pct"/>
            <w:noWrap w:val="0"/>
            <w:vAlign w:val="top"/>
          </w:tcPr>
          <w:p>
            <w:pPr>
              <w:jc w:val="center"/>
              <w:rPr>
                <w:rFonts w:hint="default" w:ascii="Arial" w:hAnsi="Arial" w:eastAsia="仿宋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0.80~0.89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1" w:type="pct"/>
            <w:tcBorders>
              <w:bottom w:val="single" w:color="auto" w:sz="12" w:space="0"/>
            </w:tcBorders>
            <w:noWrap w:val="0"/>
            <w:vAlign w:val="top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S9+NLR+PLR+LMR</w:t>
            </w:r>
          </w:p>
        </w:tc>
        <w:tc>
          <w:tcPr>
            <w:tcW w:w="617" w:type="pct"/>
            <w:tcBorders>
              <w:bottom w:val="single" w:color="auto" w:sz="12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0.92</w:t>
            </w:r>
          </w:p>
        </w:tc>
        <w:tc>
          <w:tcPr>
            <w:tcW w:w="942" w:type="pct"/>
            <w:tcBorders>
              <w:bottom w:val="single" w:color="auto" w:sz="12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0.90</w:t>
            </w:r>
          </w:p>
        </w:tc>
        <w:tc>
          <w:tcPr>
            <w:tcW w:w="923" w:type="pct"/>
            <w:tcBorders>
              <w:bottom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仿宋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0.87</w:t>
            </w:r>
          </w:p>
        </w:tc>
        <w:tc>
          <w:tcPr>
            <w:tcW w:w="1024" w:type="pct"/>
            <w:tcBorders>
              <w:bottom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仿宋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0.90~0.95</w:t>
            </w:r>
          </w:p>
        </w:tc>
      </w:tr>
    </w:tbl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  <w:bookmarkStart w:id="0" w:name="_GoBack"/>
      <w:bookmarkEnd w:id="0"/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b w:val="0"/>
          <w:bCs w:val="0"/>
          <w:i w:val="0"/>
          <w:iCs w:val="0"/>
          <w:lang w:val="en-US" w:eastAsia="zh-CN"/>
        </w:rPr>
      </w:pPr>
    </w:p>
    <w:p>
      <w:pPr>
        <w:jc w:val="both"/>
        <w:rPr>
          <w:rFonts w:hint="default" w:ascii="Arial" w:hAnsi="Arial" w:cs="Arial"/>
          <w:sz w:val="24"/>
          <w:szCs w:val="28"/>
          <w:lang w:val="en-US" w:eastAsia="zh-CN"/>
        </w:rPr>
      </w:pPr>
      <w:r>
        <w:rPr>
          <w:rFonts w:hint="default" w:ascii="Arial" w:hAnsi="Arial" w:cs="Arial"/>
          <w:b/>
          <w:bCs/>
          <w:i w:val="0"/>
          <w:iCs w:val="0"/>
          <w:sz w:val="24"/>
          <w:szCs w:val="28"/>
          <w:lang w:val="en-US" w:eastAsia="zh-CN"/>
        </w:rPr>
        <w:t xml:space="preserve">Table S3 Diagnostic value of the combination of mSEPT9 with NLR, PLR and LMR in CRC </w:t>
      </w:r>
      <w:r>
        <w:rPr>
          <w:rFonts w:hint="default" w:ascii="Arial" w:hAnsi="Arial" w:cs="Arial"/>
          <w:b/>
          <w:bCs/>
          <w:sz w:val="24"/>
          <w:szCs w:val="28"/>
          <w:lang w:val="en-US" w:eastAsia="zh-CN"/>
        </w:rPr>
        <w:t xml:space="preserve">categorized by age, tumor size, tumor stage and </w:t>
      </w:r>
      <w:r>
        <w:rPr>
          <w:rFonts w:hint="eastAsia" w:ascii="Arial" w:hAnsi="Arial" w:cs="Arial"/>
          <w:b/>
          <w:bCs/>
          <w:sz w:val="24"/>
          <w:szCs w:val="28"/>
          <w:lang w:val="en-US" w:eastAsia="zh-CN"/>
        </w:rPr>
        <w:t>M stage.</w:t>
      </w:r>
    </w:p>
    <w:tbl>
      <w:tblPr>
        <w:tblStyle w:val="2"/>
        <w:tblW w:w="4998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1468"/>
        <w:gridCol w:w="1703"/>
        <w:gridCol w:w="1618"/>
        <w:gridCol w:w="180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7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left"/>
              <w:rPr>
                <w:rFonts w:hint="default" w:ascii="Arial" w:hAnsi="Arial" w:eastAsia="宋体" w:cs="Arial"/>
                <w:sz w:val="22"/>
                <w:szCs w:val="22"/>
              </w:rPr>
            </w:pPr>
          </w:p>
        </w:tc>
        <w:tc>
          <w:tcPr>
            <w:tcW w:w="861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AUC</w:t>
            </w:r>
          </w:p>
        </w:tc>
        <w:tc>
          <w:tcPr>
            <w:tcW w:w="999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Sensitivity</w:t>
            </w:r>
          </w:p>
        </w:tc>
        <w:tc>
          <w:tcPr>
            <w:tcW w:w="949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  <w:t>Specificity</w:t>
            </w:r>
          </w:p>
        </w:tc>
        <w:tc>
          <w:tcPr>
            <w:tcW w:w="1061" w:type="pct"/>
            <w:tcBorders>
              <w:top w:val="single" w:color="auto" w:sz="12" w:space="0"/>
              <w:bottom w:val="single" w:color="auto" w:sz="6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2"/>
                <w:szCs w:val="22"/>
                <w:lang w:val="en-US" w:eastAsia="zh-CN"/>
              </w:rPr>
              <w:t>95%CI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7" w:type="pct"/>
            <w:noWrap w:val="0"/>
            <w:vAlign w:val="top"/>
          </w:tcPr>
          <w:p>
            <w:pPr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Age</w:t>
            </w:r>
          </w:p>
          <w:p>
            <w:pPr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Arial" w:hAnsi="Arial" w:cs="Arial"/>
                <w:sz w:val="22"/>
                <w:szCs w:val="22"/>
              </w:rPr>
              <w:t>&lt;</w:t>
            </w: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65</w:t>
            </w:r>
          </w:p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 xml:space="preserve">  ≥65</w:t>
            </w:r>
          </w:p>
        </w:tc>
        <w:tc>
          <w:tcPr>
            <w:tcW w:w="861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0.92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0.92</w:t>
            </w:r>
          </w:p>
        </w:tc>
        <w:tc>
          <w:tcPr>
            <w:tcW w:w="999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949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</w:t>
            </w:r>
          </w:p>
        </w:tc>
        <w:tc>
          <w:tcPr>
            <w:tcW w:w="1061" w:type="pct"/>
            <w:noWrap w:val="0"/>
            <w:vAlign w:val="top"/>
          </w:tcPr>
          <w:p>
            <w:pPr>
              <w:jc w:val="center"/>
              <w:rPr>
                <w:rFonts w:hint="default" w:ascii="Arial" w:hAnsi="Arial" w:eastAsia="仿宋" w:cs="Arial"/>
                <w:sz w:val="22"/>
                <w:szCs w:val="22"/>
                <w:lang w:val="en-US" w:eastAsia="zh-CN"/>
              </w:rPr>
            </w:pPr>
          </w:p>
          <w:p>
            <w:pPr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0.89~0.95</w:t>
            </w:r>
          </w:p>
          <w:p>
            <w:pPr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0.89~0.96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1127" w:type="pct"/>
            <w:noWrap w:val="0"/>
            <w:vAlign w:val="top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Tumor size</w:t>
            </w:r>
          </w:p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cs="Arial"/>
                <w:sz w:val="22"/>
                <w:szCs w:val="22"/>
              </w:rPr>
              <w:t>&lt;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5cm</w:t>
            </w:r>
          </w:p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≥5cm</w:t>
            </w:r>
          </w:p>
        </w:tc>
        <w:tc>
          <w:tcPr>
            <w:tcW w:w="861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0.90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0.95</w:t>
            </w:r>
          </w:p>
        </w:tc>
        <w:tc>
          <w:tcPr>
            <w:tcW w:w="999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</w:t>
            </w:r>
          </w:p>
        </w:tc>
        <w:tc>
          <w:tcPr>
            <w:tcW w:w="949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</w:t>
            </w:r>
          </w:p>
        </w:tc>
        <w:tc>
          <w:tcPr>
            <w:tcW w:w="1061" w:type="pct"/>
            <w:noWrap w:val="0"/>
            <w:vAlign w:val="top"/>
          </w:tcPr>
          <w:p>
            <w:pPr>
              <w:jc w:val="center"/>
              <w:rPr>
                <w:rFonts w:hint="default" w:ascii="Arial" w:hAnsi="Arial" w:eastAsia="仿宋" w:cs="Arial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  <w:p>
            <w:pPr>
              <w:jc w:val="center"/>
              <w:rPr>
                <w:rFonts w:hint="default" w:ascii="Arial" w:hAnsi="Arial" w:cs="Arial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22"/>
                <w:szCs w:val="22"/>
                <w:lang w:val="en-US" w:eastAsia="zh-CN" w:bidi="ar-SA"/>
              </w:rPr>
              <w:t>0.87~0.94</w:t>
            </w:r>
          </w:p>
          <w:p>
            <w:pPr>
              <w:jc w:val="center"/>
              <w:rPr>
                <w:rFonts w:hint="default" w:ascii="Arial" w:hAnsi="Arial" w:cs="Arial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22"/>
                <w:szCs w:val="22"/>
                <w:lang w:val="en-US" w:eastAsia="zh-CN" w:bidi="ar-SA"/>
              </w:rPr>
              <w:t>0.93~0.98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7" w:type="pct"/>
            <w:noWrap w:val="0"/>
            <w:vAlign w:val="top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Tumor stage</w:t>
            </w:r>
          </w:p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Early stage</w:t>
            </w:r>
          </w:p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Advance stage</w:t>
            </w:r>
          </w:p>
        </w:tc>
        <w:tc>
          <w:tcPr>
            <w:tcW w:w="861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0.92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0.93</w:t>
            </w:r>
          </w:p>
        </w:tc>
        <w:tc>
          <w:tcPr>
            <w:tcW w:w="999" w:type="pct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</w:t>
            </w:r>
          </w:p>
        </w:tc>
        <w:tc>
          <w:tcPr>
            <w:tcW w:w="949" w:type="pct"/>
            <w:noWrap w:val="0"/>
            <w:vAlign w:val="top"/>
          </w:tcPr>
          <w:p>
            <w:pPr>
              <w:bidi w:val="0"/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</w:p>
          <w:p>
            <w:pPr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0.92</w:t>
            </w:r>
          </w:p>
          <w:p>
            <w:pPr>
              <w:bidi w:val="0"/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0.93</w:t>
            </w:r>
          </w:p>
        </w:tc>
        <w:tc>
          <w:tcPr>
            <w:tcW w:w="1061" w:type="pct"/>
            <w:noWrap w:val="0"/>
            <w:vAlign w:val="top"/>
          </w:tcPr>
          <w:p>
            <w:pPr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</w:p>
          <w:p>
            <w:pPr>
              <w:jc w:val="center"/>
              <w:rPr>
                <w:rFonts w:hint="default" w:ascii="Arial" w:hAnsi="Arial" w:eastAsia="仿宋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0.88~0.95</w:t>
            </w:r>
          </w:p>
          <w:p>
            <w:pPr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0.90~0.96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7" w:type="pct"/>
            <w:tcBorders>
              <w:bottom w:val="single" w:color="auto" w:sz="12" w:space="0"/>
            </w:tcBorders>
            <w:noWrap w:val="0"/>
            <w:vAlign w:val="top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>M stage</w:t>
            </w:r>
          </w:p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M0</w:t>
            </w:r>
          </w:p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M1</w:t>
            </w:r>
          </w:p>
        </w:tc>
        <w:tc>
          <w:tcPr>
            <w:tcW w:w="861" w:type="pct"/>
            <w:tcBorders>
              <w:bottom w:val="single" w:color="auto" w:sz="12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0.95</w:t>
            </w:r>
          </w:p>
        </w:tc>
        <w:tc>
          <w:tcPr>
            <w:tcW w:w="999" w:type="pct"/>
            <w:tcBorders>
              <w:bottom w:val="single" w:color="auto" w:sz="12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0.87</w:t>
            </w:r>
          </w:p>
        </w:tc>
        <w:tc>
          <w:tcPr>
            <w:tcW w:w="949" w:type="pct"/>
            <w:tcBorders>
              <w:bottom w:val="single" w:color="auto" w:sz="12" w:space="0"/>
            </w:tcBorders>
            <w:noWrap w:val="0"/>
            <w:vAlign w:val="top"/>
          </w:tcPr>
          <w:p>
            <w:pPr>
              <w:bidi w:val="0"/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0.93</w:t>
            </w:r>
          </w:p>
          <w:p>
            <w:pPr>
              <w:bidi w:val="0"/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061" w:type="pct"/>
            <w:tcBorders>
              <w:bottom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</w:p>
          <w:p>
            <w:pPr>
              <w:jc w:val="center"/>
              <w:rPr>
                <w:rFonts w:hint="default" w:ascii="Arial" w:hAnsi="Arial" w:eastAsia="仿宋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0.89~0.95</w:t>
            </w:r>
          </w:p>
          <w:p>
            <w:pPr>
              <w:jc w:val="center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0.93~0.98</w:t>
            </w:r>
          </w:p>
        </w:tc>
      </w:tr>
    </w:tbl>
    <w:p>
      <w:pPr>
        <w:jc w:val="both"/>
        <w:rPr>
          <w:rFonts w:hint="default" w:ascii="Arial" w:hAnsi="Arial" w:cs="Arial"/>
        </w:rPr>
      </w:pPr>
    </w:p>
    <w:p>
      <w:pPr>
        <w:jc w:val="both"/>
        <w:rPr>
          <w:rFonts w:hint="default" w:ascii="Arial" w:hAnsi="Arial" w:cs="Arial"/>
          <w:b/>
          <w:bCs/>
          <w:i w:val="0"/>
          <w:iCs w:val="0"/>
          <w:lang w:val="en-US" w:eastAsia="zh-CN"/>
        </w:rPr>
      </w:pPr>
    </w:p>
    <w:p>
      <w:pPr>
        <w:spacing w:line="480" w:lineRule="auto"/>
        <w:rPr>
          <w:rFonts w:hint="default" w:ascii="Arial" w:hAnsi="Arial" w:eastAsia="仿宋" w:cs="Arial"/>
          <w:color w:val="auto"/>
          <w:kern w:val="2"/>
          <w:sz w:val="24"/>
          <w:szCs w:val="21"/>
          <w:lang w:val="en-US" w:eastAsia="zh-CN" w:bidi="ar"/>
        </w:rPr>
      </w:pPr>
    </w:p>
    <w:p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br w:type="page"/>
      </w:r>
    </w:p>
    <w:p>
      <w:pPr>
        <w:widowControl/>
        <w:spacing w:line="240" w:lineRule="auto"/>
        <w:jc w:val="left"/>
        <w:textAlignment w:val="center"/>
        <w:rPr>
          <w:rFonts w:hint="default" w:ascii="Arial" w:hAnsi="Arial" w:cs="Arial"/>
          <w:b/>
          <w:bCs/>
          <w:color w:val="FF0000"/>
          <w:sz w:val="24"/>
          <w:szCs w:val="24"/>
        </w:rPr>
      </w:pPr>
      <w:r>
        <w:rPr>
          <w:rFonts w:hint="default" w:ascii="Arial" w:hAnsi="Arial" w:cs="Arial"/>
          <w:b/>
          <w:bCs/>
          <w:color w:val="FF0000"/>
          <w:sz w:val="24"/>
          <w:szCs w:val="24"/>
        </w:rPr>
        <w:t>Table S</w:t>
      </w:r>
      <w:r>
        <w:rPr>
          <w:rFonts w:hint="default" w:ascii="Arial" w:hAnsi="Arial" w:cs="Arial"/>
          <w:b/>
          <w:bCs/>
          <w:color w:val="FF0000"/>
          <w:sz w:val="24"/>
          <w:szCs w:val="24"/>
          <w:lang w:val="en-US" w:eastAsia="zh-CN"/>
        </w:rPr>
        <w:t>4</w:t>
      </w:r>
      <w:r>
        <w:rPr>
          <w:rFonts w:hint="default" w:ascii="Arial" w:hAnsi="Arial" w:cs="Arial"/>
          <w:b/>
          <w:bCs/>
          <w:color w:val="FF0000"/>
          <w:sz w:val="24"/>
          <w:szCs w:val="24"/>
        </w:rPr>
        <w:t>. The abbreviation</w:t>
      </w:r>
      <w:r>
        <w:rPr>
          <w:rFonts w:hint="default" w:ascii="Arial" w:hAnsi="Arial" w:cs="Arial"/>
          <w:b/>
          <w:bCs/>
          <w:color w:val="FF0000"/>
          <w:sz w:val="24"/>
          <w:szCs w:val="24"/>
          <w:lang w:val="en-US" w:eastAsia="zh-CN"/>
        </w:rPr>
        <w:t>s in this study</w:t>
      </w:r>
      <w:r>
        <w:rPr>
          <w:rFonts w:hint="default" w:ascii="Arial" w:hAnsi="Arial" w:cs="Arial"/>
          <w:b/>
          <w:bCs/>
          <w:color w:val="FF0000"/>
          <w:sz w:val="24"/>
          <w:szCs w:val="24"/>
        </w:rPr>
        <w:t>.</w:t>
      </w:r>
    </w:p>
    <w:tbl>
      <w:tblPr>
        <w:tblStyle w:val="2"/>
        <w:tblW w:w="8422" w:type="dxa"/>
        <w:tblInd w:w="1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620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sz w:val="24"/>
                <w:szCs w:val="24"/>
              </w:rPr>
              <w:t>Abbreviation</w:t>
            </w:r>
          </w:p>
        </w:tc>
        <w:tc>
          <w:tcPr>
            <w:tcW w:w="62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sz w:val="24"/>
                <w:szCs w:val="24"/>
                <w:lang w:val="en-US" w:eastAsia="zh-CN"/>
              </w:rPr>
              <w:t>Full name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 w:val="24"/>
                <w:szCs w:val="24"/>
                <w:lang w:bidi="ar"/>
              </w:rPr>
              <w:t>CRC</w:t>
            </w:r>
          </w:p>
        </w:tc>
        <w:tc>
          <w:tcPr>
            <w:tcW w:w="620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 w:val="24"/>
                <w:szCs w:val="24"/>
                <w:lang w:bidi="ar"/>
              </w:rPr>
              <w:t xml:space="preserve">Colorectal cancer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auto"/>
                <w:kern w:val="0"/>
                <w:sz w:val="24"/>
                <w:szCs w:val="24"/>
                <w:lang w:val="en-US" w:eastAsia="zh-CN" w:bidi="ar"/>
              </w:rPr>
              <w:t>FOBT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 w:val="24"/>
                <w:szCs w:val="24"/>
                <w:lang w:val="en-US" w:eastAsia="zh-CN" w:bidi="ar"/>
              </w:rPr>
              <w:t>F</w:t>
            </w:r>
            <w:r>
              <w:rPr>
                <w:rFonts w:hint="default" w:ascii="Arial" w:hAnsi="Arial" w:eastAsia="宋体" w:cs="Arial"/>
                <w:color w:val="auto"/>
                <w:kern w:val="0"/>
                <w:sz w:val="24"/>
                <w:szCs w:val="24"/>
                <w:lang w:bidi="ar"/>
              </w:rPr>
              <w:t xml:space="preserve">ecal occult blood test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 w:val="24"/>
                <w:szCs w:val="24"/>
                <w:lang w:bidi="ar"/>
              </w:rPr>
              <w:t>FIT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 w:val="24"/>
                <w:szCs w:val="24"/>
                <w:lang w:val="en-US" w:eastAsia="zh-CN" w:bidi="ar"/>
              </w:rPr>
              <w:t>F</w:t>
            </w:r>
            <w:r>
              <w:rPr>
                <w:rFonts w:hint="default" w:ascii="Arial" w:hAnsi="Arial" w:eastAsia="宋体" w:cs="Arial"/>
                <w:color w:val="auto"/>
                <w:kern w:val="0"/>
                <w:sz w:val="24"/>
                <w:szCs w:val="24"/>
                <w:lang w:bidi="ar"/>
              </w:rPr>
              <w:t>ecal immunochemical test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  <w:t>CEA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lang w:val="en-US" w:eastAsia="zh-CN"/>
              </w:rPr>
              <w:t>C</w:t>
            </w:r>
            <w:r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  <w:t>arcinoembryonic antigen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4"/>
                <w:szCs w:val="24"/>
                <w:lang w:val="en-US" w:eastAsia="zh-CN"/>
              </w:rPr>
              <w:t>CA199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C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arbohydrate antigen-199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NGFR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 xml:space="preserve">erve 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g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 xml:space="preserve">rowth 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f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 xml:space="preserve">actor 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r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 xml:space="preserve">eceptor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SHOX2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hort stature homeobox 2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SEPT9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Septin9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G-proteins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GTP-binding proteins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PDR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ositive detection rate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mSEPT9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ethylated septin9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Se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ensitivity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Sp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pecificity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NLR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eutrophil-to-lymphocyte ratio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PLR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 xml:space="preserve">latelet-to-lymphocyte ratio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LMR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L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ymphocyte-to-monocyte ratio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 w:val="24"/>
                <w:szCs w:val="24"/>
                <w:highlight w:val="none"/>
                <w:lang w:bidi="ar"/>
              </w:rPr>
              <w:t>NED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N</w:t>
            </w:r>
            <w:r>
              <w:rPr>
                <w:rFonts w:hint="default" w:ascii="Arial" w:hAnsi="Arial" w:eastAsia="宋体" w:cs="Arial"/>
                <w:color w:val="auto"/>
                <w:kern w:val="0"/>
                <w:sz w:val="24"/>
                <w:szCs w:val="24"/>
                <w:highlight w:val="none"/>
                <w:lang w:bidi="ar"/>
              </w:rPr>
              <w:t>o evidence of disease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RT-PCR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Real-time quantitative PCR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ACTB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Actin Beta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ROC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Receiver operating characteristic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AUC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A</w:t>
            </w: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rea under the ROC curve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</w:rPr>
              <w:t>CI</w:t>
            </w:r>
          </w:p>
        </w:tc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  <w:t>Confidence interval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auto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24"/>
                <w:szCs w:val="24"/>
                <w:lang w:val="en-US" w:eastAsia="zh-CN" w:bidi="ar"/>
              </w:rPr>
              <w:t>MLR</w:t>
            </w:r>
          </w:p>
        </w:tc>
        <w:tc>
          <w:tcPr>
            <w:tcW w:w="620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  <w:t>onocyte-to-</w:t>
            </w: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  <w:lang w:val="en-US" w:eastAsia="zh-CN"/>
              </w:rPr>
              <w:t>l</w:t>
            </w:r>
            <w:r>
              <w:rPr>
                <w:rFonts w:hint="default" w:ascii="Arial" w:hAnsi="Arial" w:cs="Arial"/>
                <w:b w:val="0"/>
                <w:bCs w:val="0"/>
                <w:sz w:val="24"/>
                <w:szCs w:val="24"/>
              </w:rPr>
              <w:t>ymphocyte ratio</w:t>
            </w:r>
          </w:p>
        </w:tc>
      </w:tr>
    </w:tbl>
    <w:p>
      <w:pPr>
        <w:ind w:firstLine="630" w:firstLineChars="300"/>
        <w:rPr>
          <w:rFonts w:hint="default" w:ascii="Arial" w:hAnsi="Arial" w:cs="Arial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kZTM5ZDVlYWFhMjkxODgzNWE1NTEyYWVlOTY2YzQifQ=="/>
  </w:docVars>
  <w:rsids>
    <w:rsidRoot w:val="409F5CF6"/>
    <w:rsid w:val="03C2759E"/>
    <w:rsid w:val="10791045"/>
    <w:rsid w:val="1DF47610"/>
    <w:rsid w:val="22455F95"/>
    <w:rsid w:val="2B8F3753"/>
    <w:rsid w:val="2C475CC3"/>
    <w:rsid w:val="307660E2"/>
    <w:rsid w:val="327073E9"/>
    <w:rsid w:val="32B56A71"/>
    <w:rsid w:val="36FD3B4E"/>
    <w:rsid w:val="409F5CF6"/>
    <w:rsid w:val="623943BD"/>
    <w:rsid w:val="69866B17"/>
    <w:rsid w:val="6C36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207</Words>
  <Characters>1104</Characters>
  <Lines>0</Lines>
  <Paragraphs>0</Paragraphs>
  <TotalTime>0</TotalTime>
  <ScaleCrop>false</ScaleCrop>
  <LinksUpToDate>false</LinksUpToDate>
  <CharactersWithSpaces>1246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2022-12-11T10:36:00Z</dcterms:created>
  <dc:creator>29844</dc:creator>
  <cp:lastModifiedBy>29844</cp:lastModifiedBy>
  <dcterms:modified xsi:type="dcterms:W3CDTF">2024-06-24T10:25:10Z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455F3B5A11494DB8A0F4AAF180EC8B83_13</vt:lpwstr>
  </property>
</Properties>
</file>