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ACB237" w14:textId="165E8BE3" w:rsidR="003D70A2" w:rsidRPr="0080532C" w:rsidRDefault="00EC2F8E" w:rsidP="0080532C">
      <w:pPr>
        <w:spacing w:line="360" w:lineRule="auto"/>
        <w:rPr>
          <w:rFonts w:ascii="Times New Roman" w:hAnsi="Times New Roman" w:cs="Times New Roman"/>
          <w:b/>
          <w:bCs/>
          <w:szCs w:val="21"/>
        </w:rPr>
      </w:pPr>
      <w:r w:rsidRPr="0080532C">
        <w:rPr>
          <w:rFonts w:ascii="Times New Roman" w:hAnsi="Times New Roman" w:cs="Times New Roman"/>
          <w:b/>
          <w:bCs/>
          <w:szCs w:val="21"/>
        </w:rPr>
        <w:t>1</w:t>
      </w:r>
      <w:r w:rsidRPr="0080532C">
        <w:rPr>
          <w:rFonts w:ascii="Times New Roman" w:hAnsi="Times New Roman" w:cs="Times New Roman"/>
          <w:b/>
          <w:bCs/>
          <w:szCs w:val="21"/>
        </w:rPr>
        <w:t>、</w:t>
      </w:r>
      <w:r w:rsidRPr="0080532C">
        <w:rPr>
          <w:rFonts w:ascii="Times New Roman" w:hAnsi="Times New Roman" w:cs="Times New Roman"/>
          <w:b/>
          <w:bCs/>
          <w:szCs w:val="21"/>
        </w:rPr>
        <w:t>Which are the criteria to establish the diagnosis of</w:t>
      </w:r>
      <w:r w:rsidR="0080532C">
        <w:rPr>
          <w:rFonts w:ascii="Times New Roman" w:hAnsi="Times New Roman" w:cs="Times New Roman" w:hint="eastAsia"/>
          <w:b/>
          <w:bCs/>
          <w:szCs w:val="21"/>
        </w:rPr>
        <w:t xml:space="preserve"> </w:t>
      </w:r>
      <w:r w:rsidRPr="0080532C">
        <w:rPr>
          <w:rFonts w:ascii="Times New Roman" w:hAnsi="Times New Roman" w:cs="Times New Roman"/>
          <w:b/>
          <w:bCs/>
          <w:szCs w:val="21"/>
        </w:rPr>
        <w:t>severe acute pancreatitis?</w:t>
      </w:r>
    </w:p>
    <w:p w14:paraId="26F5A1C6" w14:textId="77777777" w:rsidR="00EC2F8E" w:rsidRPr="0080532C" w:rsidRDefault="00EC2F8E" w:rsidP="00EC2F8E">
      <w:pPr>
        <w:widowControl/>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The diagnosis of severe acute pancreatitis is typically based on a combination of clinical findings, laboratory tests, and imaging studies. The severity of acute pancreatitis is often categorized based on various scoring systems, with the Ranson's criteria and the Acute Physiology and Chronic Health Evaluation II (APACHE II) being commonly used.</w:t>
      </w:r>
    </w:p>
    <w:p w14:paraId="384BE2B3" w14:textId="77777777" w:rsidR="00EC2F8E" w:rsidRPr="0080532C" w:rsidRDefault="00EC2F8E" w:rsidP="00EC2F8E">
      <w:pPr>
        <w:widowControl/>
        <w:numPr>
          <w:ilvl w:val="0"/>
          <w:numId w:val="1"/>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Clinical Criteria:</w:t>
      </w:r>
    </w:p>
    <w:p w14:paraId="5244C897" w14:textId="77777777" w:rsidR="00EC2F8E" w:rsidRPr="0080532C" w:rsidRDefault="00EC2F8E" w:rsidP="00EC2F8E">
      <w:pPr>
        <w:widowControl/>
        <w:numPr>
          <w:ilvl w:val="1"/>
          <w:numId w:val="1"/>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Persistent Organ Failure:</w:t>
      </w:r>
      <w:r w:rsidRPr="0080532C">
        <w:rPr>
          <w:rFonts w:ascii="Times New Roman" w:eastAsia="宋体" w:hAnsi="Times New Roman" w:cs="Times New Roman"/>
          <w:kern w:val="0"/>
          <w:szCs w:val="21"/>
          <w14:ligatures w14:val="none"/>
        </w:rPr>
        <w:t> This is a key criterion for severe acute pancreatitis. Organ failure can involve one or more organs, such as the lungs, kidneys, or cardiovascular system.</w:t>
      </w:r>
    </w:p>
    <w:p w14:paraId="33D02159" w14:textId="77777777" w:rsidR="00EC2F8E" w:rsidRPr="0080532C" w:rsidRDefault="00EC2F8E" w:rsidP="00EC2F8E">
      <w:pPr>
        <w:widowControl/>
        <w:numPr>
          <w:ilvl w:val="1"/>
          <w:numId w:val="1"/>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Systemic Inflammatory Response Syndrome (SIRS):</w:t>
      </w:r>
      <w:r w:rsidRPr="0080532C">
        <w:rPr>
          <w:rFonts w:ascii="Times New Roman" w:eastAsia="宋体" w:hAnsi="Times New Roman" w:cs="Times New Roman"/>
          <w:kern w:val="0"/>
          <w:szCs w:val="21"/>
          <w14:ligatures w14:val="none"/>
        </w:rPr>
        <w:t> Evidence of a systemic inflammatory response, including symptoms like fever, tachycardia, and tachypnea.</w:t>
      </w:r>
    </w:p>
    <w:p w14:paraId="529C1AAA" w14:textId="77777777" w:rsidR="00EC2F8E" w:rsidRPr="0080532C" w:rsidRDefault="00EC2F8E" w:rsidP="00EC2F8E">
      <w:pPr>
        <w:widowControl/>
        <w:numPr>
          <w:ilvl w:val="0"/>
          <w:numId w:val="1"/>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Laboratory Criteria:</w:t>
      </w:r>
    </w:p>
    <w:p w14:paraId="49B7C299" w14:textId="77777777" w:rsidR="00EC2F8E" w:rsidRPr="0080532C" w:rsidRDefault="00EC2F8E" w:rsidP="00EC2F8E">
      <w:pPr>
        <w:widowControl/>
        <w:numPr>
          <w:ilvl w:val="1"/>
          <w:numId w:val="1"/>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Elevated Serum Markers:</w:t>
      </w:r>
      <w:r w:rsidRPr="0080532C">
        <w:rPr>
          <w:rFonts w:ascii="Times New Roman" w:eastAsia="宋体" w:hAnsi="Times New Roman" w:cs="Times New Roman"/>
          <w:kern w:val="0"/>
          <w:szCs w:val="21"/>
          <w14:ligatures w14:val="none"/>
        </w:rPr>
        <w:t> Elevated levels of certain laboratory markers, such as serum amylase and lipase, are indicative of pancreatic inflammation. However, the severity of pancreatitis is not solely determined by these markers.</w:t>
      </w:r>
    </w:p>
    <w:p w14:paraId="29B1556E" w14:textId="77777777" w:rsidR="00EC2F8E" w:rsidRPr="0080532C" w:rsidRDefault="00EC2F8E" w:rsidP="00EC2F8E">
      <w:pPr>
        <w:widowControl/>
        <w:numPr>
          <w:ilvl w:val="0"/>
          <w:numId w:val="1"/>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Imaging Studies:</w:t>
      </w:r>
    </w:p>
    <w:p w14:paraId="13271B61" w14:textId="77777777" w:rsidR="00EC2F8E" w:rsidRPr="0080532C" w:rsidRDefault="00EC2F8E" w:rsidP="00EC2F8E">
      <w:pPr>
        <w:widowControl/>
        <w:numPr>
          <w:ilvl w:val="1"/>
          <w:numId w:val="1"/>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Contrast-Enhanced Computed Tomography (CECT) or Magnetic Resonance Imaging (MRI):</w:t>
      </w:r>
      <w:r w:rsidRPr="0080532C">
        <w:rPr>
          <w:rFonts w:ascii="Times New Roman" w:eastAsia="宋体" w:hAnsi="Times New Roman" w:cs="Times New Roman"/>
          <w:kern w:val="0"/>
          <w:szCs w:val="21"/>
          <w14:ligatures w14:val="none"/>
        </w:rPr>
        <w:t> Imaging studies can help in assessing the extent of pancreatic inflammation, the presence of necrosis, and complications like fluid collections or pseudocysts.</w:t>
      </w:r>
    </w:p>
    <w:p w14:paraId="5E52177A" w14:textId="77777777" w:rsidR="00EC2F8E" w:rsidRPr="0080532C" w:rsidRDefault="00EC2F8E" w:rsidP="00EC2F8E">
      <w:pPr>
        <w:widowControl/>
        <w:numPr>
          <w:ilvl w:val="0"/>
          <w:numId w:val="1"/>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Ranson's Criteria:</w:t>
      </w:r>
    </w:p>
    <w:p w14:paraId="0E5B88DA" w14:textId="77777777" w:rsidR="00EC2F8E" w:rsidRPr="0080532C" w:rsidRDefault="00EC2F8E" w:rsidP="00EC2F8E">
      <w:pPr>
        <w:widowControl/>
        <w:numPr>
          <w:ilvl w:val="1"/>
          <w:numId w:val="1"/>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Ranson's criteria include several clinical and laboratory parameters, and patients are assessed at admission and 48 hours later. A higher score indicates a higher risk of severe pancreatitis.</w:t>
      </w:r>
    </w:p>
    <w:p w14:paraId="689DCB64" w14:textId="77777777" w:rsidR="00EC2F8E" w:rsidRPr="0080532C" w:rsidRDefault="00EC2F8E" w:rsidP="00EC2F8E">
      <w:pPr>
        <w:widowControl/>
        <w:numPr>
          <w:ilvl w:val="0"/>
          <w:numId w:val="1"/>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APACHE II Score:</w:t>
      </w:r>
    </w:p>
    <w:p w14:paraId="08909E03" w14:textId="77777777" w:rsidR="00EC2F8E" w:rsidRPr="0080532C" w:rsidRDefault="00EC2F8E" w:rsidP="00EC2F8E">
      <w:pPr>
        <w:widowControl/>
        <w:numPr>
          <w:ilvl w:val="1"/>
          <w:numId w:val="1"/>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 xml:space="preserve">The Acute Physiology and Chronic Health Evaluation II is a scoring system that </w:t>
      </w:r>
      <w:proofErr w:type="gramStart"/>
      <w:r w:rsidRPr="0080532C">
        <w:rPr>
          <w:rFonts w:ascii="Times New Roman" w:eastAsia="宋体" w:hAnsi="Times New Roman" w:cs="Times New Roman"/>
          <w:kern w:val="0"/>
          <w:szCs w:val="21"/>
          <w14:ligatures w14:val="none"/>
        </w:rPr>
        <w:t>takes into account</w:t>
      </w:r>
      <w:proofErr w:type="gramEnd"/>
      <w:r w:rsidRPr="0080532C">
        <w:rPr>
          <w:rFonts w:ascii="Times New Roman" w:eastAsia="宋体" w:hAnsi="Times New Roman" w:cs="Times New Roman"/>
          <w:kern w:val="0"/>
          <w:szCs w:val="21"/>
          <w14:ligatures w14:val="none"/>
        </w:rPr>
        <w:t xml:space="preserve"> various physiological parameters. A higher APACHE II score is associated with a greater severity of illness.</w:t>
      </w:r>
    </w:p>
    <w:p w14:paraId="2F0A9509" w14:textId="77777777" w:rsidR="00EC2F8E" w:rsidRPr="0080532C" w:rsidRDefault="00EC2F8E" w:rsidP="00EC2F8E">
      <w:pPr>
        <w:widowControl/>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It's important to note that the assessment of severity in acute pancreatitis is dynamic and may evolve over time. Early recognition of severe cases is crucial for appropriate management and intervention. Additionally, the Revised Atlanta Classification is often used to classify acute pancreatitis into interstitial edematous pancreatitis and necrotizing pancreatitis, with the latter being associated with a higher severity. The management of severe acute pancreatitis often involves intensive care, nutritional support, and sometimes surgical intervention. The diagnosis and management should be carried out by healthcare professionals based on the individual patient's condition and the available resources.</w:t>
      </w:r>
    </w:p>
    <w:p w14:paraId="4A2685CA" w14:textId="10975BB5" w:rsidR="00EC2F8E" w:rsidRPr="0080532C" w:rsidRDefault="00A524E3" w:rsidP="00EC2F8E">
      <w:pPr>
        <w:pStyle w:val="a3"/>
        <w:rPr>
          <w:rFonts w:ascii="Times New Roman" w:hAnsi="Times New Roman" w:cs="Times New Roman"/>
          <w:b/>
          <w:bCs/>
          <w:sz w:val="21"/>
          <w:szCs w:val="21"/>
        </w:rPr>
      </w:pPr>
      <w:r w:rsidRPr="00A524E3">
        <w:rPr>
          <w:rFonts w:ascii="Times New Roman" w:hAnsi="Times New Roman" w:cs="Times New Roman"/>
          <w:b/>
          <w:bCs/>
          <w:sz w:val="21"/>
          <w:szCs w:val="21"/>
        </w:rPr>
        <w:t>2</w:t>
      </w:r>
      <w:r w:rsidR="00EC2F8E" w:rsidRPr="00A524E3">
        <w:rPr>
          <w:rFonts w:ascii="Times New Roman" w:hAnsi="Times New Roman" w:cs="Times New Roman"/>
          <w:b/>
          <w:bCs/>
          <w:sz w:val="21"/>
          <w:szCs w:val="21"/>
        </w:rPr>
        <w:t>、</w:t>
      </w:r>
      <w:r w:rsidR="00EC2F8E" w:rsidRPr="0080532C">
        <w:rPr>
          <w:rFonts w:ascii="Times New Roman" w:hAnsi="Times New Roman" w:cs="Times New Roman"/>
          <w:b/>
          <w:bCs/>
          <w:sz w:val="21"/>
          <w:szCs w:val="21"/>
        </w:rPr>
        <w:t>What is the appropriate imaging work-up in case of</w:t>
      </w:r>
    </w:p>
    <w:p w14:paraId="543D87FB" w14:textId="77777777" w:rsidR="00EC2F8E" w:rsidRPr="0080532C" w:rsidRDefault="00EC2F8E" w:rsidP="00EC2F8E">
      <w:pPr>
        <w:pStyle w:val="a3"/>
        <w:spacing w:before="0" w:beforeAutospacing="0" w:after="0" w:afterAutospacing="0"/>
        <w:rPr>
          <w:rFonts w:ascii="Times New Roman" w:hAnsi="Times New Roman" w:cs="Times New Roman"/>
          <w:b/>
          <w:bCs/>
          <w:sz w:val="21"/>
          <w:szCs w:val="21"/>
        </w:rPr>
      </w:pPr>
      <w:r w:rsidRPr="0080532C">
        <w:rPr>
          <w:rFonts w:ascii="Times New Roman" w:hAnsi="Times New Roman" w:cs="Times New Roman"/>
          <w:b/>
          <w:bCs/>
          <w:sz w:val="21"/>
          <w:szCs w:val="21"/>
        </w:rPr>
        <w:t>suspected severe acute pancreatitis?</w:t>
      </w:r>
    </w:p>
    <w:p w14:paraId="03A4E73D" w14:textId="41CC4345" w:rsidR="00EC2F8E" w:rsidRPr="0080532C" w:rsidRDefault="00EC2F8E" w:rsidP="00EC2F8E">
      <w:pPr>
        <w:pStyle w:val="a3"/>
        <w:spacing w:before="0" w:beforeAutospacing="0" w:after="0" w:afterAutospacing="0"/>
        <w:rPr>
          <w:rFonts w:ascii="Times New Roman" w:hAnsi="Times New Roman" w:cs="Times New Roman"/>
          <w:sz w:val="21"/>
          <w:szCs w:val="21"/>
        </w:rPr>
      </w:pPr>
      <w:r w:rsidRPr="0080532C">
        <w:rPr>
          <w:rFonts w:ascii="Times New Roman" w:hAnsi="Times New Roman" w:cs="Times New Roman"/>
          <w:sz w:val="21"/>
          <w:szCs w:val="21"/>
        </w:rPr>
        <w:t xml:space="preserve">The imaging work-up for suspected severe acute pancreatitis typically involves imaging modalities that can provide detailed information about the extent of pancreatic inflammation, the </w:t>
      </w:r>
      <w:r w:rsidRPr="0080532C">
        <w:rPr>
          <w:rFonts w:ascii="Times New Roman" w:hAnsi="Times New Roman" w:cs="Times New Roman"/>
          <w:sz w:val="21"/>
          <w:szCs w:val="21"/>
        </w:rPr>
        <w:lastRenderedPageBreak/>
        <w:t>presence of necrosis, and potential complications. The following are commonly used imaging studies in the evaluation of severe acute pancreatitis:</w:t>
      </w:r>
    </w:p>
    <w:p w14:paraId="6847BBBE" w14:textId="77777777" w:rsidR="00EC2F8E" w:rsidRPr="0080532C" w:rsidRDefault="00EC2F8E" w:rsidP="00EC2F8E">
      <w:pPr>
        <w:widowControl/>
        <w:numPr>
          <w:ilvl w:val="0"/>
          <w:numId w:val="2"/>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Contrast-Enhanced Computed Tomography (CECT):</w:t>
      </w:r>
    </w:p>
    <w:p w14:paraId="22FA44C9" w14:textId="77777777" w:rsidR="00EC2F8E" w:rsidRPr="0080532C" w:rsidRDefault="00EC2F8E" w:rsidP="00EC2F8E">
      <w:pPr>
        <w:widowControl/>
        <w:numPr>
          <w:ilvl w:val="1"/>
          <w:numId w:val="2"/>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CECT is often considered the imaging modality of choice for assessing acute pancreatitis. It provides detailed cross-sectional images of the pancreas, surrounding structures, and blood vessels.</w:t>
      </w:r>
    </w:p>
    <w:p w14:paraId="762DA7E9" w14:textId="77777777" w:rsidR="00EC2F8E" w:rsidRPr="0080532C" w:rsidRDefault="00EC2F8E" w:rsidP="00EC2F8E">
      <w:pPr>
        <w:widowControl/>
        <w:numPr>
          <w:ilvl w:val="1"/>
          <w:numId w:val="2"/>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CECT can help identify features such as pancreatic necrosis, fluid collections, pseudocysts, and vascular complications.</w:t>
      </w:r>
    </w:p>
    <w:p w14:paraId="508F8E21" w14:textId="77777777" w:rsidR="00EC2F8E" w:rsidRPr="0080532C" w:rsidRDefault="00EC2F8E" w:rsidP="00EC2F8E">
      <w:pPr>
        <w:widowControl/>
        <w:numPr>
          <w:ilvl w:val="1"/>
          <w:numId w:val="2"/>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It is usually performed within 72 hours of symptom onset for optimal visualization of the pancreatic and peripancreatic structures.</w:t>
      </w:r>
    </w:p>
    <w:p w14:paraId="2E4C64D3" w14:textId="77777777" w:rsidR="00EC2F8E" w:rsidRPr="0080532C" w:rsidRDefault="00EC2F8E" w:rsidP="00EC2F8E">
      <w:pPr>
        <w:widowControl/>
        <w:numPr>
          <w:ilvl w:val="0"/>
          <w:numId w:val="2"/>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Magnetic Resonance Imaging (MRI) and Magnetic Resonance Cholangiopancreatography (MRCP):</w:t>
      </w:r>
    </w:p>
    <w:p w14:paraId="43C4CE84" w14:textId="77777777" w:rsidR="00EC2F8E" w:rsidRPr="0080532C" w:rsidRDefault="00EC2F8E" w:rsidP="00EC2F8E">
      <w:pPr>
        <w:widowControl/>
        <w:numPr>
          <w:ilvl w:val="1"/>
          <w:numId w:val="2"/>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MRI, including MRCP, can be used as an alternative to CECT, especially in cases where radiation exposure is a concern.</w:t>
      </w:r>
    </w:p>
    <w:p w14:paraId="70336BF3" w14:textId="77777777" w:rsidR="00EC2F8E" w:rsidRPr="0080532C" w:rsidRDefault="00EC2F8E" w:rsidP="00EC2F8E">
      <w:pPr>
        <w:widowControl/>
        <w:numPr>
          <w:ilvl w:val="1"/>
          <w:numId w:val="2"/>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MRCP provides detailed images of the pancreatic and bile ducts, helping to identify any obstruction or abnormalities.</w:t>
      </w:r>
    </w:p>
    <w:p w14:paraId="7FC14CD9" w14:textId="77777777" w:rsidR="00EC2F8E" w:rsidRPr="0080532C" w:rsidRDefault="00EC2F8E" w:rsidP="00EC2F8E">
      <w:pPr>
        <w:widowControl/>
        <w:numPr>
          <w:ilvl w:val="0"/>
          <w:numId w:val="2"/>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Transabdominal Ultrasound:</w:t>
      </w:r>
    </w:p>
    <w:p w14:paraId="35AE1F89" w14:textId="77777777" w:rsidR="00EC2F8E" w:rsidRPr="0080532C" w:rsidRDefault="00EC2F8E" w:rsidP="00EC2F8E">
      <w:pPr>
        <w:widowControl/>
        <w:numPr>
          <w:ilvl w:val="1"/>
          <w:numId w:val="2"/>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Ultrasound is a readily available and non-invasive imaging modality. While it may not be as sensitive as CT or MRI for detecting subtle changes in the early stages, it can still be useful in assessing pancreatic edema, gallstones, and fluid collections.</w:t>
      </w:r>
    </w:p>
    <w:p w14:paraId="73FCAA9A" w14:textId="77777777" w:rsidR="00EC2F8E" w:rsidRPr="0080532C" w:rsidRDefault="00EC2F8E" w:rsidP="00EC2F8E">
      <w:pPr>
        <w:widowControl/>
        <w:numPr>
          <w:ilvl w:val="1"/>
          <w:numId w:val="2"/>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Ultrasound is often used as an initial imaging study and may be followed by more advanced imaging if needed.</w:t>
      </w:r>
    </w:p>
    <w:p w14:paraId="3F29BBFF" w14:textId="77777777" w:rsidR="00EC2F8E" w:rsidRPr="0080532C" w:rsidRDefault="00EC2F8E" w:rsidP="00EC2F8E">
      <w:pPr>
        <w:widowControl/>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The choice of imaging modality may depend on factors such as local availability, the patient's condition, and the clinical scenario. In some cases, a combination of imaging studies may be used to obtain a comprehensive evaluation.</w:t>
      </w:r>
    </w:p>
    <w:p w14:paraId="3F1E0EC3" w14:textId="77777777" w:rsidR="00EC2F8E" w:rsidRPr="0080532C" w:rsidRDefault="00EC2F8E" w:rsidP="00EC2F8E">
      <w:pPr>
        <w:widowControl/>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It's important to note that the timing of imaging is crucial. Early imaging within the first 72 hours of symptom onset is often recommended to assess the severity of acute pancreatitis and guide treatment decisions. Additionally, imaging findings should be correlated with clinical and laboratory data to determine the appropriate management approach. The decision on the type of imaging and its timing should be made by healthcare professionals based on the individual patient's condition.</w:t>
      </w:r>
    </w:p>
    <w:p w14:paraId="34088134" w14:textId="6650D37E" w:rsidR="00EC2F8E" w:rsidRPr="0080532C" w:rsidRDefault="00EC2F8E" w:rsidP="00EC2F8E">
      <w:pPr>
        <w:widowControl/>
        <w:jc w:val="left"/>
        <w:rPr>
          <w:rFonts w:ascii="Times New Roman" w:eastAsia="宋体" w:hAnsi="Times New Roman" w:cs="Times New Roman"/>
          <w:b/>
          <w:bCs/>
          <w:kern w:val="0"/>
          <w:szCs w:val="21"/>
          <w14:ligatures w14:val="none"/>
        </w:rPr>
      </w:pPr>
      <w:r w:rsidRPr="00A524E3">
        <w:rPr>
          <w:rFonts w:ascii="Times New Roman" w:eastAsia="宋体" w:hAnsi="Times New Roman" w:cs="Times New Roman"/>
          <w:kern w:val="0"/>
          <w:szCs w:val="21"/>
          <w14:ligatures w14:val="none"/>
        </w:rPr>
        <w:t>3</w:t>
      </w:r>
      <w:r w:rsidRPr="00A524E3">
        <w:rPr>
          <w:rFonts w:ascii="Times New Roman" w:eastAsia="宋体" w:hAnsi="Times New Roman" w:cs="Times New Roman"/>
          <w:kern w:val="0"/>
          <w:szCs w:val="21"/>
          <w14:ligatures w14:val="none"/>
        </w:rPr>
        <w:t>、</w:t>
      </w:r>
      <w:r w:rsidRPr="0080532C">
        <w:rPr>
          <w:rFonts w:ascii="Times New Roman" w:eastAsia="宋体" w:hAnsi="Times New Roman" w:cs="Times New Roman"/>
          <w:b/>
          <w:bCs/>
          <w:kern w:val="0"/>
          <w:szCs w:val="21"/>
          <w14:ligatures w14:val="none"/>
        </w:rPr>
        <w:t>what is the role of magnetic resonance imaging (MRI) in case of suspected severe acute pancreatitis?</w:t>
      </w:r>
    </w:p>
    <w:p w14:paraId="45516ED9" w14:textId="77777777" w:rsidR="00EC2F8E" w:rsidRPr="0080532C" w:rsidRDefault="00EC2F8E" w:rsidP="00EC2F8E">
      <w:pPr>
        <w:widowControl/>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Magnetic Resonance Imaging (MRI) plays a valuable role in the evaluation of suspected severe acute pancreatitis. While contrast-enhanced computed tomography (CECT) is often the preferred imaging modality, MRI is considered an alternative in specific situations, offering certain advantages.</w:t>
      </w:r>
    </w:p>
    <w:p w14:paraId="60165532" w14:textId="77777777" w:rsidR="00EC2F8E" w:rsidRPr="0080532C" w:rsidRDefault="00EC2F8E" w:rsidP="00EC2F8E">
      <w:pPr>
        <w:widowControl/>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Here are some aspects of the role of MRI in suspected severe acute pancreatitis:</w:t>
      </w:r>
    </w:p>
    <w:p w14:paraId="53CF3B40" w14:textId="77777777" w:rsidR="00EC2F8E" w:rsidRPr="0080532C" w:rsidRDefault="00EC2F8E" w:rsidP="00EC2F8E">
      <w:pPr>
        <w:widowControl/>
        <w:numPr>
          <w:ilvl w:val="0"/>
          <w:numId w:val="3"/>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Non-Contrast MRI:</w:t>
      </w:r>
    </w:p>
    <w:p w14:paraId="5020E928" w14:textId="77777777" w:rsidR="00EC2F8E" w:rsidRPr="0080532C" w:rsidRDefault="00EC2F8E" w:rsidP="00EC2F8E">
      <w:pPr>
        <w:widowControl/>
        <w:numPr>
          <w:ilvl w:val="1"/>
          <w:numId w:val="3"/>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Non-contrast MRI sequences can be used to visualize the pancreas and surrounding structures.</w:t>
      </w:r>
    </w:p>
    <w:p w14:paraId="199D7462" w14:textId="77777777" w:rsidR="00EC2F8E" w:rsidRPr="0080532C" w:rsidRDefault="00EC2F8E" w:rsidP="00EC2F8E">
      <w:pPr>
        <w:widowControl/>
        <w:numPr>
          <w:ilvl w:val="1"/>
          <w:numId w:val="3"/>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This can be helpful in detecting pancreatic edema and inflammation, as well as assessing the presence of pseudocysts.</w:t>
      </w:r>
    </w:p>
    <w:p w14:paraId="488686B4" w14:textId="77777777" w:rsidR="00EC2F8E" w:rsidRPr="0080532C" w:rsidRDefault="00EC2F8E" w:rsidP="00EC2F8E">
      <w:pPr>
        <w:widowControl/>
        <w:numPr>
          <w:ilvl w:val="0"/>
          <w:numId w:val="3"/>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lastRenderedPageBreak/>
        <w:t>Magnetic Resonance Cholangiopancreatography (MRCP):</w:t>
      </w:r>
    </w:p>
    <w:p w14:paraId="6BEA7C95" w14:textId="77777777" w:rsidR="00EC2F8E" w:rsidRPr="0080532C" w:rsidRDefault="00EC2F8E" w:rsidP="00EC2F8E">
      <w:pPr>
        <w:widowControl/>
        <w:numPr>
          <w:ilvl w:val="1"/>
          <w:numId w:val="3"/>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MRCP is a specialized MRI technique that focuses on imaging the pancreatic and bile ducts without the need for contrast agents.</w:t>
      </w:r>
    </w:p>
    <w:p w14:paraId="1DBA4E20" w14:textId="77777777" w:rsidR="00EC2F8E" w:rsidRPr="0080532C" w:rsidRDefault="00EC2F8E" w:rsidP="00EC2F8E">
      <w:pPr>
        <w:widowControl/>
        <w:numPr>
          <w:ilvl w:val="1"/>
          <w:numId w:val="3"/>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MRCP is particularly useful for assessing the ductal anatomy and detecting any obstruction or abnormalities in the pancreatic and bile ducts.</w:t>
      </w:r>
    </w:p>
    <w:p w14:paraId="0F53EDFB" w14:textId="77777777" w:rsidR="00EC2F8E" w:rsidRPr="0080532C" w:rsidRDefault="00EC2F8E" w:rsidP="00EC2F8E">
      <w:pPr>
        <w:widowControl/>
        <w:numPr>
          <w:ilvl w:val="0"/>
          <w:numId w:val="3"/>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Diffusion-Weighted Imaging (DWI):</w:t>
      </w:r>
    </w:p>
    <w:p w14:paraId="21DD6D2F" w14:textId="77777777" w:rsidR="00EC2F8E" w:rsidRPr="0080532C" w:rsidRDefault="00EC2F8E" w:rsidP="00EC2F8E">
      <w:pPr>
        <w:widowControl/>
        <w:numPr>
          <w:ilvl w:val="1"/>
          <w:numId w:val="3"/>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DWI is a technique that can be added to MRI to assess tissue cellularity and detect areas of reduced diffusion, which may indicate necrosis.</w:t>
      </w:r>
    </w:p>
    <w:p w14:paraId="46B263FD" w14:textId="77777777" w:rsidR="00EC2F8E" w:rsidRPr="0080532C" w:rsidRDefault="00EC2F8E" w:rsidP="00EC2F8E">
      <w:pPr>
        <w:widowControl/>
        <w:numPr>
          <w:ilvl w:val="1"/>
          <w:numId w:val="3"/>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DWI can provide additional information on the extent and severity of pancreatic involvement.</w:t>
      </w:r>
    </w:p>
    <w:p w14:paraId="44B2B86D" w14:textId="77777777" w:rsidR="00EC2F8E" w:rsidRPr="0080532C" w:rsidRDefault="00EC2F8E" w:rsidP="00EC2F8E">
      <w:pPr>
        <w:widowControl/>
        <w:numPr>
          <w:ilvl w:val="0"/>
          <w:numId w:val="3"/>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Magnetic Resonance Angiography (MRA):</w:t>
      </w:r>
    </w:p>
    <w:p w14:paraId="175A0D6F" w14:textId="77777777" w:rsidR="00EC2F8E" w:rsidRPr="0080532C" w:rsidRDefault="00EC2F8E" w:rsidP="00EC2F8E">
      <w:pPr>
        <w:widowControl/>
        <w:numPr>
          <w:ilvl w:val="1"/>
          <w:numId w:val="3"/>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In cases where vascular complications are suspected, MRA can be used to assess the blood vessels supplying the pancreas.</w:t>
      </w:r>
    </w:p>
    <w:p w14:paraId="74C21B03" w14:textId="77777777" w:rsidR="00EC2F8E" w:rsidRPr="0080532C" w:rsidRDefault="00EC2F8E" w:rsidP="00EC2F8E">
      <w:pPr>
        <w:widowControl/>
        <w:numPr>
          <w:ilvl w:val="1"/>
          <w:numId w:val="3"/>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It helps in identifying vascular abnormalities, such as thrombosis or pseudoaneurysms.</w:t>
      </w:r>
    </w:p>
    <w:p w14:paraId="55932B10" w14:textId="77777777" w:rsidR="00EC2F8E" w:rsidRPr="0080532C" w:rsidRDefault="00EC2F8E" w:rsidP="00EC2F8E">
      <w:pPr>
        <w:widowControl/>
        <w:numPr>
          <w:ilvl w:val="0"/>
          <w:numId w:val="3"/>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Avoidance of Ionizing Radiation:</w:t>
      </w:r>
    </w:p>
    <w:p w14:paraId="09E7F116" w14:textId="77777777" w:rsidR="00EC2F8E" w:rsidRPr="0080532C" w:rsidRDefault="00EC2F8E" w:rsidP="00EC2F8E">
      <w:pPr>
        <w:widowControl/>
        <w:numPr>
          <w:ilvl w:val="1"/>
          <w:numId w:val="3"/>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One advantage of MRI over CECT is the absence of ionizing radiation. This makes MRI a preferable option, especially in certain patient populations, such as pregnant women or individuals with concerns about radiation exposure.</w:t>
      </w:r>
    </w:p>
    <w:p w14:paraId="22189E87" w14:textId="77777777" w:rsidR="00EC2F8E" w:rsidRPr="0080532C" w:rsidRDefault="00EC2F8E" w:rsidP="00EC2F8E">
      <w:pPr>
        <w:widowControl/>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While MRI has several advantages, it may have limitations in emergency settings where quick imaging is crucial. CECT is often preferred for its rapid acquisition and ability to provide detailed information about the extent of necrosis and complications. The choice between MRI and CECT depends on factors such as local expertise, availability, patient-specific considerations, and the clinical context.</w:t>
      </w:r>
    </w:p>
    <w:p w14:paraId="25866A1A" w14:textId="77777777" w:rsidR="00EC2F8E" w:rsidRPr="0080532C" w:rsidRDefault="00EC2F8E" w:rsidP="00EC2F8E">
      <w:pPr>
        <w:widowControl/>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In summary, MRI, including MRCP and DWI, can be a valuable tool in the evaluation of suspected severe acute pancreatitis, providing detailed anatomical and functional information without the use of ionizing radiation. The decision to use MRI should be made based on the specific clinical scenario and in consultation with healthcare professionals.</w:t>
      </w:r>
    </w:p>
    <w:p w14:paraId="4779B2E9" w14:textId="4AC6040A" w:rsidR="00EC2F8E" w:rsidRPr="0080532C" w:rsidRDefault="00EC2F8E" w:rsidP="00EC2F8E">
      <w:pPr>
        <w:widowControl/>
        <w:jc w:val="left"/>
        <w:rPr>
          <w:rFonts w:ascii="Times New Roman" w:eastAsia="宋体" w:hAnsi="Times New Roman" w:cs="Times New Roman"/>
          <w:kern w:val="0"/>
          <w:szCs w:val="21"/>
          <w14:ligatures w14:val="none"/>
        </w:rPr>
      </w:pPr>
      <w:r w:rsidRPr="00A524E3">
        <w:rPr>
          <w:rFonts w:ascii="Times New Roman" w:eastAsia="宋体" w:hAnsi="Times New Roman" w:cs="Times New Roman"/>
          <w:b/>
          <w:bCs/>
          <w:kern w:val="0"/>
          <w:szCs w:val="21"/>
          <w14:ligatures w14:val="none"/>
        </w:rPr>
        <w:t>4</w:t>
      </w:r>
      <w:r w:rsidRPr="00A524E3">
        <w:rPr>
          <w:rFonts w:ascii="Times New Roman" w:eastAsia="宋体" w:hAnsi="Times New Roman" w:cs="Times New Roman"/>
          <w:b/>
          <w:bCs/>
          <w:kern w:val="0"/>
          <w:szCs w:val="21"/>
          <w14:ligatures w14:val="none"/>
        </w:rPr>
        <w:t>、</w:t>
      </w:r>
      <w:r w:rsidRPr="0080532C">
        <w:rPr>
          <w:rFonts w:ascii="Times New Roman" w:eastAsia="宋体" w:hAnsi="Times New Roman" w:cs="Times New Roman"/>
          <w:b/>
          <w:bCs/>
          <w:kern w:val="0"/>
          <w:szCs w:val="21"/>
          <w14:ligatures w14:val="none"/>
        </w:rPr>
        <w:t>what is the role of computed tomography (CT) scan in case of suspected severe acute pancreatitis?</w:t>
      </w:r>
    </w:p>
    <w:p w14:paraId="22D15E60" w14:textId="77777777" w:rsidR="00EC2F8E" w:rsidRPr="0080532C" w:rsidRDefault="00EC2F8E" w:rsidP="00EC2F8E">
      <w:pPr>
        <w:widowControl/>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Computed tomography (CT) scan plays a fundamental role in the evaluation and management of suspected severe acute pancreatitis. It serves several crucial purposes in this context:</w:t>
      </w:r>
    </w:p>
    <w:p w14:paraId="551E5886" w14:textId="77777777" w:rsidR="00EC2F8E" w:rsidRPr="0080532C" w:rsidRDefault="00EC2F8E" w:rsidP="00EC2F8E">
      <w:pPr>
        <w:widowControl/>
        <w:numPr>
          <w:ilvl w:val="0"/>
          <w:numId w:val="4"/>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Assessment of Pancreatic Inflammation:</w:t>
      </w:r>
    </w:p>
    <w:p w14:paraId="0836E9BF" w14:textId="77777777" w:rsidR="00EC2F8E" w:rsidRPr="0080532C" w:rsidRDefault="00EC2F8E" w:rsidP="00EC2F8E">
      <w:pPr>
        <w:widowControl/>
        <w:numPr>
          <w:ilvl w:val="1"/>
          <w:numId w:val="4"/>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CT imaging allows for detailed visualization of the pancreas and surrounding structures.</w:t>
      </w:r>
    </w:p>
    <w:p w14:paraId="3DB1E86D" w14:textId="77777777" w:rsidR="00EC2F8E" w:rsidRPr="0080532C" w:rsidRDefault="00EC2F8E" w:rsidP="00EC2F8E">
      <w:pPr>
        <w:widowControl/>
        <w:numPr>
          <w:ilvl w:val="1"/>
          <w:numId w:val="4"/>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It helps in identifying signs of acute inflammation, such as swelling, edema, and changes in density within the pancreatic tissue.</w:t>
      </w:r>
    </w:p>
    <w:p w14:paraId="6D2E8598" w14:textId="77777777" w:rsidR="00EC2F8E" w:rsidRPr="0080532C" w:rsidRDefault="00EC2F8E" w:rsidP="00EC2F8E">
      <w:pPr>
        <w:widowControl/>
        <w:numPr>
          <w:ilvl w:val="0"/>
          <w:numId w:val="4"/>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Detection of Pancreatic Necrosis:</w:t>
      </w:r>
    </w:p>
    <w:p w14:paraId="2CC81CEB" w14:textId="77777777" w:rsidR="00EC2F8E" w:rsidRPr="0080532C" w:rsidRDefault="00EC2F8E" w:rsidP="00EC2F8E">
      <w:pPr>
        <w:widowControl/>
        <w:numPr>
          <w:ilvl w:val="1"/>
          <w:numId w:val="4"/>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CT scans are particularly effective in detecting areas of pancreatic necrosis, which is a critical factor in determining the severity of acute pancreatitis.</w:t>
      </w:r>
    </w:p>
    <w:p w14:paraId="140A3139" w14:textId="77777777" w:rsidR="00EC2F8E" w:rsidRPr="0080532C" w:rsidRDefault="00EC2F8E" w:rsidP="00EC2F8E">
      <w:pPr>
        <w:widowControl/>
        <w:numPr>
          <w:ilvl w:val="1"/>
          <w:numId w:val="4"/>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Differentiating between edematous (interstitial) pancreatitis and necrotizing pancreatitis is crucial as the latter is associated with a higher risk of complications.</w:t>
      </w:r>
    </w:p>
    <w:p w14:paraId="660F26FB" w14:textId="77777777" w:rsidR="00EC2F8E" w:rsidRPr="0080532C" w:rsidRDefault="00EC2F8E" w:rsidP="00EC2F8E">
      <w:pPr>
        <w:widowControl/>
        <w:numPr>
          <w:ilvl w:val="0"/>
          <w:numId w:val="4"/>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Identification of Complications:</w:t>
      </w:r>
    </w:p>
    <w:p w14:paraId="6E574BC3" w14:textId="77777777" w:rsidR="00EC2F8E" w:rsidRPr="0080532C" w:rsidRDefault="00EC2F8E" w:rsidP="00EC2F8E">
      <w:pPr>
        <w:widowControl/>
        <w:numPr>
          <w:ilvl w:val="1"/>
          <w:numId w:val="4"/>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lastRenderedPageBreak/>
        <w:t>CT imaging can reveal complications associated with severe acute pancreatitis, such as fluid collections, pseudocysts, abscesses, and hemorrhage.</w:t>
      </w:r>
    </w:p>
    <w:p w14:paraId="26027D37" w14:textId="77777777" w:rsidR="00EC2F8E" w:rsidRPr="0080532C" w:rsidRDefault="00EC2F8E" w:rsidP="00EC2F8E">
      <w:pPr>
        <w:widowControl/>
        <w:numPr>
          <w:ilvl w:val="1"/>
          <w:numId w:val="4"/>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It helps in assessing the extent and localization of these complications, aiding in treatment planning and management decisions.</w:t>
      </w:r>
    </w:p>
    <w:p w14:paraId="488A66BF" w14:textId="77777777" w:rsidR="00EC2F8E" w:rsidRPr="0080532C" w:rsidRDefault="00EC2F8E" w:rsidP="00EC2F8E">
      <w:pPr>
        <w:widowControl/>
        <w:numPr>
          <w:ilvl w:val="0"/>
          <w:numId w:val="4"/>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Evaluation of Vascular Complications:</w:t>
      </w:r>
    </w:p>
    <w:p w14:paraId="009476F8" w14:textId="77777777" w:rsidR="00EC2F8E" w:rsidRPr="0080532C" w:rsidRDefault="00EC2F8E" w:rsidP="00EC2F8E">
      <w:pPr>
        <w:widowControl/>
        <w:numPr>
          <w:ilvl w:val="1"/>
          <w:numId w:val="4"/>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CT angiography can be performed to assess vascular involvement, including the detection of pseudoaneurysms or thrombosis in the blood vessels supplying the pancreas.</w:t>
      </w:r>
    </w:p>
    <w:p w14:paraId="5AA4C9CE" w14:textId="77777777" w:rsidR="00EC2F8E" w:rsidRPr="0080532C" w:rsidRDefault="00EC2F8E" w:rsidP="00EC2F8E">
      <w:pPr>
        <w:widowControl/>
        <w:numPr>
          <w:ilvl w:val="1"/>
          <w:numId w:val="4"/>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It provides valuable information about potential vascular complications that may require intervention.</w:t>
      </w:r>
    </w:p>
    <w:p w14:paraId="7EDEC923" w14:textId="77777777" w:rsidR="00EC2F8E" w:rsidRPr="0080532C" w:rsidRDefault="00EC2F8E" w:rsidP="00EC2F8E">
      <w:pPr>
        <w:widowControl/>
        <w:numPr>
          <w:ilvl w:val="0"/>
          <w:numId w:val="4"/>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Rapid Imaging and Wide Availability:</w:t>
      </w:r>
    </w:p>
    <w:p w14:paraId="43D73F32" w14:textId="77777777" w:rsidR="00EC2F8E" w:rsidRPr="0080532C" w:rsidRDefault="00EC2F8E" w:rsidP="00EC2F8E">
      <w:pPr>
        <w:widowControl/>
        <w:numPr>
          <w:ilvl w:val="1"/>
          <w:numId w:val="4"/>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CT scans can be obtained quickly, making them valuable in emergency situations where prompt evaluation is necessary.</w:t>
      </w:r>
    </w:p>
    <w:p w14:paraId="33A04831" w14:textId="77777777" w:rsidR="00EC2F8E" w:rsidRPr="0080532C" w:rsidRDefault="00EC2F8E" w:rsidP="00EC2F8E">
      <w:pPr>
        <w:widowControl/>
        <w:numPr>
          <w:ilvl w:val="1"/>
          <w:numId w:val="4"/>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They are widely available in most healthcare facilities, ensuring accessibility for timely diagnosis.</w:t>
      </w:r>
    </w:p>
    <w:p w14:paraId="26FE5047" w14:textId="77777777" w:rsidR="00EC2F8E" w:rsidRPr="0080532C" w:rsidRDefault="00EC2F8E" w:rsidP="00EC2F8E">
      <w:pPr>
        <w:widowControl/>
        <w:numPr>
          <w:ilvl w:val="0"/>
          <w:numId w:val="4"/>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Monitoring Response to Treatment:</w:t>
      </w:r>
    </w:p>
    <w:p w14:paraId="055A6A6B" w14:textId="77777777" w:rsidR="00EC2F8E" w:rsidRPr="0080532C" w:rsidRDefault="00EC2F8E" w:rsidP="00EC2F8E">
      <w:pPr>
        <w:widowControl/>
        <w:numPr>
          <w:ilvl w:val="1"/>
          <w:numId w:val="4"/>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Follow-up CT scans may be performed to monitor the response to treatment and assess changes in pancreatic morphology or complications over time.</w:t>
      </w:r>
    </w:p>
    <w:p w14:paraId="78B14E4E" w14:textId="77777777" w:rsidR="00EC2F8E" w:rsidRPr="0080532C" w:rsidRDefault="00EC2F8E" w:rsidP="00EC2F8E">
      <w:pPr>
        <w:widowControl/>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CT imaging, particularly contrast-enhanced CT (CECT), is often considered the imaging modality of choice for evaluating suspected severe acute pancreatitis due to its ability to provide detailed and rapid assessment of the pancreas and associated complications. The findings from CT scans help guide clinical management decisions, including the need for intensive care, potential surgical intervention, and ongoing monitoring of the patient's condition.</w:t>
      </w:r>
    </w:p>
    <w:p w14:paraId="4515F275" w14:textId="77777777" w:rsidR="00EC2F8E" w:rsidRPr="00A524E3" w:rsidRDefault="00EC2F8E" w:rsidP="00EC2F8E">
      <w:pPr>
        <w:widowControl/>
        <w:jc w:val="left"/>
        <w:rPr>
          <w:rFonts w:ascii="Times New Roman" w:eastAsia="宋体" w:hAnsi="Times New Roman" w:cs="Times New Roman"/>
          <w:b/>
          <w:bCs/>
          <w:kern w:val="0"/>
          <w:szCs w:val="21"/>
          <w14:ligatures w14:val="none"/>
        </w:rPr>
      </w:pPr>
      <w:r w:rsidRPr="0080532C">
        <w:rPr>
          <w:rFonts w:ascii="Times New Roman" w:eastAsia="宋体" w:hAnsi="Times New Roman" w:cs="Times New Roman"/>
          <w:kern w:val="0"/>
          <w:szCs w:val="21"/>
          <w14:ligatures w14:val="none"/>
        </w:rPr>
        <w:t xml:space="preserve">The interpretation of CT findings should be done by experienced radiologists or clinicians, considering the clinical context and other diagnostic information, to ensure accurate assessment </w:t>
      </w:r>
      <w:r w:rsidRPr="00A524E3">
        <w:rPr>
          <w:rFonts w:ascii="Times New Roman" w:eastAsia="宋体" w:hAnsi="Times New Roman" w:cs="Times New Roman"/>
          <w:b/>
          <w:bCs/>
          <w:kern w:val="0"/>
          <w:szCs w:val="21"/>
          <w14:ligatures w14:val="none"/>
        </w:rPr>
        <w:t>and appropriate management of severe acute pancreatitis.</w:t>
      </w:r>
    </w:p>
    <w:p w14:paraId="6CE2759F" w14:textId="3C43C1FE" w:rsidR="002E61AB" w:rsidRPr="0080532C" w:rsidRDefault="00A524E3" w:rsidP="002E61AB">
      <w:pPr>
        <w:widowControl/>
        <w:jc w:val="left"/>
        <w:rPr>
          <w:rFonts w:ascii="Times New Roman" w:eastAsia="宋体" w:hAnsi="Times New Roman" w:cs="Times New Roman"/>
          <w:kern w:val="0"/>
          <w:szCs w:val="21"/>
          <w14:ligatures w14:val="none"/>
        </w:rPr>
      </w:pPr>
      <w:r w:rsidRPr="00A524E3">
        <w:rPr>
          <w:rFonts w:ascii="Times New Roman" w:eastAsia="宋体" w:hAnsi="Times New Roman" w:cs="Times New Roman"/>
          <w:b/>
          <w:bCs/>
          <w:kern w:val="0"/>
          <w:szCs w:val="21"/>
          <w14:ligatures w14:val="none"/>
        </w:rPr>
        <w:t>5</w:t>
      </w:r>
      <w:r w:rsidR="002E61AB" w:rsidRPr="00A524E3">
        <w:rPr>
          <w:rFonts w:ascii="Times New Roman" w:eastAsia="宋体" w:hAnsi="Times New Roman" w:cs="Times New Roman"/>
          <w:b/>
          <w:bCs/>
          <w:kern w:val="0"/>
          <w:szCs w:val="21"/>
          <w14:ligatures w14:val="none"/>
        </w:rPr>
        <w:t>、</w:t>
      </w:r>
      <w:r w:rsidR="002E61AB" w:rsidRPr="0080532C">
        <w:rPr>
          <w:rFonts w:ascii="Times New Roman" w:eastAsia="宋体" w:hAnsi="Times New Roman" w:cs="Times New Roman"/>
          <w:b/>
          <w:bCs/>
          <w:kern w:val="0"/>
          <w:szCs w:val="21"/>
          <w14:ligatures w14:val="none"/>
        </w:rPr>
        <w:t>what is the role of ultrasound (US) in case of suspected severe acute pancreatitis?</w:t>
      </w:r>
    </w:p>
    <w:p w14:paraId="46C74B60" w14:textId="77777777" w:rsidR="002E61AB" w:rsidRPr="0080532C" w:rsidRDefault="002E61AB" w:rsidP="002E61AB">
      <w:pPr>
        <w:widowControl/>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Ultrasound (US) plays a significant role in the initial assessment of suspected severe acute pancreatitis. While it may not be as sensitive as contrast-enhanced computed tomography (CECT) or magnetic resonance imaging (MRI) for detecting subtle changes, ultrasound is a valuable and widely available imaging modality with several important applications in the evaluation of acute pancreatitis:</w:t>
      </w:r>
    </w:p>
    <w:p w14:paraId="66A36A07" w14:textId="77777777" w:rsidR="002E61AB" w:rsidRPr="0080532C" w:rsidRDefault="002E61AB" w:rsidP="002E61AB">
      <w:pPr>
        <w:widowControl/>
        <w:numPr>
          <w:ilvl w:val="0"/>
          <w:numId w:val="5"/>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Detection of Pancreatic Edema and Swelling:</w:t>
      </w:r>
    </w:p>
    <w:p w14:paraId="26278BAD" w14:textId="77777777" w:rsidR="002E61AB" w:rsidRPr="0080532C" w:rsidRDefault="002E61AB" w:rsidP="002E61AB">
      <w:pPr>
        <w:widowControl/>
        <w:numPr>
          <w:ilvl w:val="1"/>
          <w:numId w:val="5"/>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Ultrasound can be used to assess the size and echogenicity of the pancreas. Enlargement and increased echogenicity may indicate pancreatic edema associated with acute inflammation.</w:t>
      </w:r>
    </w:p>
    <w:p w14:paraId="56262C5C" w14:textId="77777777" w:rsidR="002E61AB" w:rsidRPr="0080532C" w:rsidRDefault="002E61AB" w:rsidP="002E61AB">
      <w:pPr>
        <w:widowControl/>
        <w:numPr>
          <w:ilvl w:val="0"/>
          <w:numId w:val="5"/>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Identification of Gallstones:</w:t>
      </w:r>
    </w:p>
    <w:p w14:paraId="1180AE53" w14:textId="77777777" w:rsidR="002E61AB" w:rsidRPr="0080532C" w:rsidRDefault="002E61AB" w:rsidP="002E61AB">
      <w:pPr>
        <w:widowControl/>
        <w:numPr>
          <w:ilvl w:val="1"/>
          <w:numId w:val="5"/>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Gallstones are a common cause of acute pancreatitis. Ultrasound is highly effective in detecting gallstones in the gallbladder and common bile duct, providing information about potential biliary obstruction.</w:t>
      </w:r>
    </w:p>
    <w:p w14:paraId="10AC6505" w14:textId="77777777" w:rsidR="002E61AB" w:rsidRPr="0080532C" w:rsidRDefault="002E61AB" w:rsidP="002E61AB">
      <w:pPr>
        <w:widowControl/>
        <w:numPr>
          <w:ilvl w:val="0"/>
          <w:numId w:val="5"/>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Evaluation of Biliary Ducts:</w:t>
      </w:r>
    </w:p>
    <w:p w14:paraId="40AC3381" w14:textId="77777777" w:rsidR="002E61AB" w:rsidRPr="0080532C" w:rsidRDefault="002E61AB" w:rsidP="002E61AB">
      <w:pPr>
        <w:widowControl/>
        <w:numPr>
          <w:ilvl w:val="1"/>
          <w:numId w:val="5"/>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Ultrasound is useful for visualizing the bile ducts and detecting dilation or obstruction. It can identify common bile duct stones, which may contribute to pancreatitis.</w:t>
      </w:r>
    </w:p>
    <w:p w14:paraId="2940A8AB" w14:textId="77777777" w:rsidR="002E61AB" w:rsidRPr="0080532C" w:rsidRDefault="002E61AB" w:rsidP="002E61AB">
      <w:pPr>
        <w:widowControl/>
        <w:numPr>
          <w:ilvl w:val="0"/>
          <w:numId w:val="5"/>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lastRenderedPageBreak/>
        <w:t>Detection of Fluid Collections:</w:t>
      </w:r>
    </w:p>
    <w:p w14:paraId="30936291" w14:textId="77777777" w:rsidR="002E61AB" w:rsidRPr="0080532C" w:rsidRDefault="002E61AB" w:rsidP="002E61AB">
      <w:pPr>
        <w:widowControl/>
        <w:numPr>
          <w:ilvl w:val="1"/>
          <w:numId w:val="5"/>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Ultrasound can reveal fluid collections around the pancreas, which may include ascites, peripancreatic fluid, or pseudocysts. These findings can help assess the severity of the condition and guide management decisions.</w:t>
      </w:r>
    </w:p>
    <w:p w14:paraId="2139223B" w14:textId="77777777" w:rsidR="002E61AB" w:rsidRPr="0080532C" w:rsidRDefault="002E61AB" w:rsidP="002E61AB">
      <w:pPr>
        <w:widowControl/>
        <w:numPr>
          <w:ilvl w:val="0"/>
          <w:numId w:val="5"/>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Bedside Imaging in Emergency Settings:</w:t>
      </w:r>
    </w:p>
    <w:p w14:paraId="27E2E4D6" w14:textId="77777777" w:rsidR="002E61AB" w:rsidRPr="0080532C" w:rsidRDefault="002E61AB" w:rsidP="002E61AB">
      <w:pPr>
        <w:widowControl/>
        <w:numPr>
          <w:ilvl w:val="1"/>
          <w:numId w:val="5"/>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Ultrasound is often used as a bedside imaging tool in emergency departments or intensive care units. Its real-time imaging capabilities make it suitable for quick assessments of abdominal structures.</w:t>
      </w:r>
    </w:p>
    <w:p w14:paraId="4671B072" w14:textId="77777777" w:rsidR="002E61AB" w:rsidRPr="0080532C" w:rsidRDefault="002E61AB" w:rsidP="002E61AB">
      <w:pPr>
        <w:widowControl/>
        <w:numPr>
          <w:ilvl w:val="0"/>
          <w:numId w:val="5"/>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Avoidance of Ionizing Radiation:</w:t>
      </w:r>
    </w:p>
    <w:p w14:paraId="128AE2ED" w14:textId="77777777" w:rsidR="002E61AB" w:rsidRPr="0080532C" w:rsidRDefault="002E61AB" w:rsidP="002E61AB">
      <w:pPr>
        <w:widowControl/>
        <w:numPr>
          <w:ilvl w:val="1"/>
          <w:numId w:val="5"/>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Unlike CT scans, ultrasound does not involve ionizing radiation. This makes it a safe option for pregnant women and individuals with concerns about radiation exposure.</w:t>
      </w:r>
    </w:p>
    <w:p w14:paraId="75306BF2" w14:textId="77777777" w:rsidR="002E61AB" w:rsidRPr="0080532C" w:rsidRDefault="002E61AB" w:rsidP="002E61AB">
      <w:pPr>
        <w:widowControl/>
        <w:numPr>
          <w:ilvl w:val="0"/>
          <w:numId w:val="5"/>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Monitoring Response to Treatment:</w:t>
      </w:r>
    </w:p>
    <w:p w14:paraId="5DAA188D" w14:textId="77777777" w:rsidR="002E61AB" w:rsidRPr="0080532C" w:rsidRDefault="002E61AB" w:rsidP="002E61AB">
      <w:pPr>
        <w:widowControl/>
        <w:numPr>
          <w:ilvl w:val="1"/>
          <w:numId w:val="5"/>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Serial ultrasound examinations can be used to monitor changes in pancreatic size, fluid collections, and other findings, providing insights into the response to treatment.</w:t>
      </w:r>
    </w:p>
    <w:p w14:paraId="617CB9F4" w14:textId="77777777" w:rsidR="002E61AB" w:rsidRPr="0080532C" w:rsidRDefault="002E61AB" w:rsidP="002E61AB">
      <w:pPr>
        <w:widowControl/>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While ultrasound is valuable for initial assessments and can provide important information, it may be limited in certain situations, especially when detailed anatomical information or assessment of complications is required. In such cases, additional imaging modalities like CECT or MRI may be recommended.</w:t>
      </w:r>
    </w:p>
    <w:p w14:paraId="08F6B297" w14:textId="77777777" w:rsidR="002E61AB" w:rsidRPr="0080532C" w:rsidRDefault="002E61AB" w:rsidP="002E61AB">
      <w:pPr>
        <w:widowControl/>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In summary, ultrasound is a useful and non-invasive tool in the early evaluation of suspected severe acute pancreatitis, offering advantages such as real-time imaging and absence of ionizing radiation. However, the choice of imaging modality should be based on the clinical scenario, the severity of the condition, and the specific information needed for optimal patient management.</w:t>
      </w:r>
    </w:p>
    <w:p w14:paraId="247FC947" w14:textId="15F8D2EA" w:rsidR="00442315" w:rsidRPr="0080532C" w:rsidRDefault="00442315" w:rsidP="00442315">
      <w:pPr>
        <w:widowControl/>
        <w:jc w:val="left"/>
        <w:rPr>
          <w:rFonts w:ascii="Times New Roman" w:eastAsia="宋体" w:hAnsi="Times New Roman" w:cs="Times New Roman"/>
          <w:b/>
          <w:bCs/>
          <w:kern w:val="0"/>
          <w:szCs w:val="21"/>
          <w14:ligatures w14:val="none"/>
        </w:rPr>
      </w:pPr>
      <w:r w:rsidRPr="00A524E3">
        <w:rPr>
          <w:rFonts w:ascii="Times New Roman" w:eastAsia="宋体" w:hAnsi="Times New Roman" w:cs="Times New Roman"/>
          <w:b/>
          <w:bCs/>
          <w:kern w:val="0"/>
          <w:szCs w:val="21"/>
          <w14:ligatures w14:val="none"/>
        </w:rPr>
        <w:t>6</w:t>
      </w:r>
      <w:r w:rsidRPr="00A524E3">
        <w:rPr>
          <w:rFonts w:ascii="Times New Roman" w:eastAsia="宋体" w:hAnsi="Times New Roman" w:cs="Times New Roman"/>
          <w:b/>
          <w:bCs/>
          <w:kern w:val="0"/>
          <w:szCs w:val="21"/>
          <w14:ligatures w14:val="none"/>
        </w:rPr>
        <w:t>、</w:t>
      </w:r>
      <w:r w:rsidRPr="0080532C">
        <w:rPr>
          <w:rFonts w:ascii="Times New Roman" w:eastAsia="宋体" w:hAnsi="Times New Roman" w:cs="Times New Roman"/>
          <w:b/>
          <w:bCs/>
          <w:kern w:val="0"/>
          <w:szCs w:val="21"/>
          <w14:ligatures w14:val="none"/>
        </w:rPr>
        <w:t>Which laboratory parameters should be considered in the diagnosis of severe acute pancreatitis?</w:t>
      </w:r>
    </w:p>
    <w:p w14:paraId="55597B37" w14:textId="77777777" w:rsidR="00442315" w:rsidRPr="0080532C" w:rsidRDefault="00442315" w:rsidP="00442315">
      <w:pPr>
        <w:widowControl/>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Laboratory parameters play a crucial role in the diagnosis and assessment of severe acute pancreatitis. These parameters provide valuable information about the extent of pancreatic injury, inflammation, and potential complications. While not an exhaustive list, here are some key laboratory tests commonly considered in the diagnosis of severe acute pancreatitis:</w:t>
      </w:r>
    </w:p>
    <w:p w14:paraId="64D8BF53" w14:textId="77777777" w:rsidR="00442315" w:rsidRPr="0080532C" w:rsidRDefault="00442315" w:rsidP="00442315">
      <w:pPr>
        <w:widowControl/>
        <w:numPr>
          <w:ilvl w:val="0"/>
          <w:numId w:val="6"/>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Serum Amylase and Lipase:</w:t>
      </w:r>
    </w:p>
    <w:p w14:paraId="6A30C4E4" w14:textId="77777777" w:rsidR="00442315" w:rsidRPr="0080532C" w:rsidRDefault="00442315" w:rsidP="00442315">
      <w:pPr>
        <w:widowControl/>
        <w:numPr>
          <w:ilvl w:val="1"/>
          <w:numId w:val="6"/>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Serum amylase and lipase levels are often elevated in acute pancreatitis.</w:t>
      </w:r>
    </w:p>
    <w:p w14:paraId="6BFE54B0" w14:textId="77777777" w:rsidR="00442315" w:rsidRPr="0080532C" w:rsidRDefault="00442315" w:rsidP="00442315">
      <w:pPr>
        <w:widowControl/>
        <w:numPr>
          <w:ilvl w:val="1"/>
          <w:numId w:val="6"/>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Lipase is considered more specific and tends to remain elevated for a longer duration than amylase.</w:t>
      </w:r>
    </w:p>
    <w:p w14:paraId="1703D96E" w14:textId="77777777" w:rsidR="00442315" w:rsidRPr="0080532C" w:rsidRDefault="00442315" w:rsidP="00442315">
      <w:pPr>
        <w:widowControl/>
        <w:numPr>
          <w:ilvl w:val="1"/>
          <w:numId w:val="6"/>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A significant elevation in these enzymes supports the diagnosis of pancreatitis.</w:t>
      </w:r>
    </w:p>
    <w:p w14:paraId="09B8FD3F" w14:textId="77777777" w:rsidR="00442315" w:rsidRPr="0080532C" w:rsidRDefault="00442315" w:rsidP="00442315">
      <w:pPr>
        <w:widowControl/>
        <w:numPr>
          <w:ilvl w:val="0"/>
          <w:numId w:val="6"/>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Complete Blood Count (CBC):</w:t>
      </w:r>
    </w:p>
    <w:p w14:paraId="18D81AC7" w14:textId="77777777" w:rsidR="00442315" w:rsidRPr="0080532C" w:rsidRDefault="00442315" w:rsidP="00442315">
      <w:pPr>
        <w:widowControl/>
        <w:numPr>
          <w:ilvl w:val="1"/>
          <w:numId w:val="6"/>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Elevated white blood cell (WBC) count is a common finding in acute pancreatitis and may indicate the presence of inflammation or infection.</w:t>
      </w:r>
    </w:p>
    <w:p w14:paraId="3588034F" w14:textId="77777777" w:rsidR="00442315" w:rsidRPr="0080532C" w:rsidRDefault="00442315" w:rsidP="00442315">
      <w:pPr>
        <w:widowControl/>
        <w:numPr>
          <w:ilvl w:val="1"/>
          <w:numId w:val="6"/>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Hematocrit may be elevated due to hemoconcentration secondary to fluid sequestration in the retroperitoneal space.</w:t>
      </w:r>
    </w:p>
    <w:p w14:paraId="3DF3BE53" w14:textId="77777777" w:rsidR="00442315" w:rsidRPr="0080532C" w:rsidRDefault="00442315" w:rsidP="00442315">
      <w:pPr>
        <w:widowControl/>
        <w:numPr>
          <w:ilvl w:val="0"/>
          <w:numId w:val="6"/>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Liver Function Tests (LFTs):</w:t>
      </w:r>
    </w:p>
    <w:p w14:paraId="4AD93AB6" w14:textId="77777777" w:rsidR="00442315" w:rsidRPr="0080532C" w:rsidRDefault="00442315" w:rsidP="00442315">
      <w:pPr>
        <w:widowControl/>
        <w:numPr>
          <w:ilvl w:val="1"/>
          <w:numId w:val="6"/>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LFTs may be abnormal, especially if there is associated biliary obstruction or gallstone pancreatitis.</w:t>
      </w:r>
    </w:p>
    <w:p w14:paraId="0AAE39AD" w14:textId="77777777" w:rsidR="00442315" w:rsidRPr="0080532C" w:rsidRDefault="00442315" w:rsidP="00442315">
      <w:pPr>
        <w:widowControl/>
        <w:numPr>
          <w:ilvl w:val="1"/>
          <w:numId w:val="6"/>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lastRenderedPageBreak/>
        <w:t>Elevated levels of liver enzymes, such as alanine aminotransferase (ALT) and aspartate aminotransferase (AST), may be observed.</w:t>
      </w:r>
    </w:p>
    <w:p w14:paraId="58E7685B" w14:textId="77777777" w:rsidR="00442315" w:rsidRPr="0080532C" w:rsidRDefault="00442315" w:rsidP="00442315">
      <w:pPr>
        <w:widowControl/>
        <w:numPr>
          <w:ilvl w:val="0"/>
          <w:numId w:val="6"/>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Serum Calcium and Magnesium:</w:t>
      </w:r>
    </w:p>
    <w:p w14:paraId="409B41FA" w14:textId="77777777" w:rsidR="00442315" w:rsidRPr="0080532C" w:rsidRDefault="00442315" w:rsidP="00442315">
      <w:pPr>
        <w:widowControl/>
        <w:numPr>
          <w:ilvl w:val="1"/>
          <w:numId w:val="6"/>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Hypocalcemia is a common finding in severe acute pancreatitis and can contribute to systemic complications.</w:t>
      </w:r>
    </w:p>
    <w:p w14:paraId="1F3EE246" w14:textId="77777777" w:rsidR="00442315" w:rsidRPr="0080532C" w:rsidRDefault="00442315" w:rsidP="00442315">
      <w:pPr>
        <w:widowControl/>
        <w:numPr>
          <w:ilvl w:val="1"/>
          <w:numId w:val="6"/>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Monitoring serum calcium and magnesium levels is important for managing potential electrolyte imbalances.</w:t>
      </w:r>
    </w:p>
    <w:p w14:paraId="4A7B51B9" w14:textId="77777777" w:rsidR="00442315" w:rsidRPr="0080532C" w:rsidRDefault="00442315" w:rsidP="00442315">
      <w:pPr>
        <w:widowControl/>
        <w:numPr>
          <w:ilvl w:val="0"/>
          <w:numId w:val="6"/>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C-reactive Protein (CRP) and Erythrocyte Sedimentation Rate (ESR):</w:t>
      </w:r>
    </w:p>
    <w:p w14:paraId="77FB0C2E" w14:textId="77777777" w:rsidR="00442315" w:rsidRPr="0080532C" w:rsidRDefault="00442315" w:rsidP="00442315">
      <w:pPr>
        <w:widowControl/>
        <w:numPr>
          <w:ilvl w:val="1"/>
          <w:numId w:val="6"/>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CRP and ESR are markers of inflammation and may be elevated in severe acute pancreatitis.</w:t>
      </w:r>
    </w:p>
    <w:p w14:paraId="750F4914" w14:textId="77777777" w:rsidR="00442315" w:rsidRPr="0080532C" w:rsidRDefault="00442315" w:rsidP="00442315">
      <w:pPr>
        <w:widowControl/>
        <w:numPr>
          <w:ilvl w:val="1"/>
          <w:numId w:val="6"/>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They can be used to assess the degree of systemic inflammatory response and guide treatment decisions.</w:t>
      </w:r>
    </w:p>
    <w:p w14:paraId="66737495" w14:textId="77777777" w:rsidR="00442315" w:rsidRPr="0080532C" w:rsidRDefault="00442315" w:rsidP="00442315">
      <w:pPr>
        <w:widowControl/>
        <w:numPr>
          <w:ilvl w:val="0"/>
          <w:numId w:val="6"/>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Arterial Blood Gas (ABG):</w:t>
      </w:r>
    </w:p>
    <w:p w14:paraId="764C5CC1" w14:textId="77777777" w:rsidR="00442315" w:rsidRPr="0080532C" w:rsidRDefault="00442315" w:rsidP="00442315">
      <w:pPr>
        <w:widowControl/>
        <w:numPr>
          <w:ilvl w:val="1"/>
          <w:numId w:val="6"/>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ABG analysis may reveal metabolic acidosis, a common complication in severe cases of acute pancreatitis.</w:t>
      </w:r>
    </w:p>
    <w:p w14:paraId="6A8F5624" w14:textId="77777777" w:rsidR="00442315" w:rsidRPr="0080532C" w:rsidRDefault="00442315" w:rsidP="00442315">
      <w:pPr>
        <w:widowControl/>
        <w:numPr>
          <w:ilvl w:val="1"/>
          <w:numId w:val="6"/>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Monitoring pH and bicarbonate levels provides information about the acid-base status.</w:t>
      </w:r>
    </w:p>
    <w:p w14:paraId="17E89100" w14:textId="77777777" w:rsidR="00442315" w:rsidRPr="0080532C" w:rsidRDefault="00442315" w:rsidP="00442315">
      <w:pPr>
        <w:widowControl/>
        <w:numPr>
          <w:ilvl w:val="0"/>
          <w:numId w:val="6"/>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Blood Urea Nitrogen (BUN) and Creatinine:</w:t>
      </w:r>
    </w:p>
    <w:p w14:paraId="500F7262" w14:textId="77777777" w:rsidR="00442315" w:rsidRPr="0080532C" w:rsidRDefault="00442315" w:rsidP="00442315">
      <w:pPr>
        <w:widowControl/>
        <w:numPr>
          <w:ilvl w:val="1"/>
          <w:numId w:val="6"/>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Elevated BUN and creatinine levels may indicate renal involvement, which can occur as a complication of severe acute pancreatitis.</w:t>
      </w:r>
    </w:p>
    <w:p w14:paraId="7BA3FB14" w14:textId="77777777" w:rsidR="00442315" w:rsidRPr="0080532C" w:rsidRDefault="00442315" w:rsidP="00442315">
      <w:pPr>
        <w:widowControl/>
        <w:numPr>
          <w:ilvl w:val="0"/>
          <w:numId w:val="6"/>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Serum Glucose:</w:t>
      </w:r>
    </w:p>
    <w:p w14:paraId="5CE43A88" w14:textId="77777777" w:rsidR="00442315" w:rsidRPr="0080532C" w:rsidRDefault="00442315" w:rsidP="00442315">
      <w:pPr>
        <w:widowControl/>
        <w:numPr>
          <w:ilvl w:val="1"/>
          <w:numId w:val="6"/>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Hyperglycemia may occur due to the stress response and insulin resistance associated with severe inflammation.</w:t>
      </w:r>
    </w:p>
    <w:p w14:paraId="3AA64E72" w14:textId="77777777" w:rsidR="00442315" w:rsidRPr="0080532C" w:rsidRDefault="00442315" w:rsidP="00442315">
      <w:pPr>
        <w:widowControl/>
        <w:numPr>
          <w:ilvl w:val="0"/>
          <w:numId w:val="6"/>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Lactate:</w:t>
      </w:r>
    </w:p>
    <w:p w14:paraId="191C397E" w14:textId="77777777" w:rsidR="00442315" w:rsidRPr="0080532C" w:rsidRDefault="00442315" w:rsidP="00442315">
      <w:pPr>
        <w:widowControl/>
        <w:numPr>
          <w:ilvl w:val="1"/>
          <w:numId w:val="6"/>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Elevated lactate levels may indicate tissue hypoperfusion and can be associated with severe cases and complications such as necrotizing pancreatitis.</w:t>
      </w:r>
    </w:p>
    <w:p w14:paraId="6AD65496" w14:textId="77777777" w:rsidR="00442315" w:rsidRPr="0080532C" w:rsidRDefault="00442315" w:rsidP="00442315">
      <w:pPr>
        <w:widowControl/>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These laboratory parameters, along with clinical and imaging findings, contribute to the overall assessment of the severity of acute pancreatitis and guide the management strategy. It's important to interpret these results in the context of the individual patient and to consider trends over time for a comprehensive evaluation.</w:t>
      </w:r>
    </w:p>
    <w:p w14:paraId="5C6B9652" w14:textId="5B7E8D2B" w:rsidR="00641559" w:rsidRPr="0080532C" w:rsidRDefault="00641559" w:rsidP="00641559">
      <w:pPr>
        <w:widowControl/>
        <w:jc w:val="left"/>
        <w:rPr>
          <w:rFonts w:ascii="Times New Roman" w:eastAsia="宋体" w:hAnsi="Times New Roman" w:cs="Times New Roman"/>
          <w:b/>
          <w:bCs/>
          <w:kern w:val="0"/>
          <w:szCs w:val="21"/>
          <w14:ligatures w14:val="none"/>
        </w:rPr>
      </w:pPr>
      <w:r w:rsidRPr="0080532C">
        <w:rPr>
          <w:rFonts w:ascii="Times New Roman" w:eastAsia="宋体" w:hAnsi="Times New Roman" w:cs="Times New Roman"/>
          <w:b/>
          <w:bCs/>
          <w:kern w:val="0"/>
          <w:szCs w:val="21"/>
          <w14:ligatures w14:val="none"/>
        </w:rPr>
        <w:t>7</w:t>
      </w:r>
      <w:r w:rsidRPr="0080532C">
        <w:rPr>
          <w:rFonts w:ascii="Times New Roman" w:eastAsia="宋体" w:hAnsi="Times New Roman" w:cs="Times New Roman"/>
          <w:b/>
          <w:bCs/>
          <w:kern w:val="0"/>
          <w:szCs w:val="21"/>
          <w14:ligatures w14:val="none"/>
        </w:rPr>
        <w:t>、</w:t>
      </w:r>
      <w:r w:rsidRPr="0080532C">
        <w:rPr>
          <w:rFonts w:ascii="Times New Roman" w:eastAsia="宋体" w:hAnsi="Times New Roman" w:cs="Times New Roman"/>
          <w:b/>
          <w:bCs/>
          <w:kern w:val="0"/>
          <w:szCs w:val="21"/>
          <w14:ligatures w14:val="none"/>
        </w:rPr>
        <w:t xml:space="preserve">when suspect severe acute </w:t>
      </w:r>
      <w:proofErr w:type="spellStart"/>
      <w:r w:rsidRPr="0080532C">
        <w:rPr>
          <w:rFonts w:ascii="Times New Roman" w:eastAsia="宋体" w:hAnsi="Times New Roman" w:cs="Times New Roman"/>
          <w:b/>
          <w:bCs/>
          <w:kern w:val="0"/>
          <w:szCs w:val="21"/>
          <w14:ligatures w14:val="none"/>
        </w:rPr>
        <w:t>pancreatitis,how</w:t>
      </w:r>
      <w:proofErr w:type="spellEnd"/>
      <w:r w:rsidRPr="0080532C">
        <w:rPr>
          <w:rFonts w:ascii="Times New Roman" w:eastAsia="宋体" w:hAnsi="Times New Roman" w:cs="Times New Roman"/>
          <w:b/>
          <w:bCs/>
          <w:kern w:val="0"/>
          <w:szCs w:val="21"/>
          <w14:ligatures w14:val="none"/>
        </w:rPr>
        <w:t xml:space="preserve"> do different etiologies affect the diagnostic workup?</w:t>
      </w:r>
    </w:p>
    <w:p w14:paraId="2672A022" w14:textId="77777777" w:rsidR="00641559" w:rsidRPr="0080532C" w:rsidRDefault="00641559" w:rsidP="00641559">
      <w:pPr>
        <w:widowControl/>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The diagnostic workup for severe acute pancreatitis involves considering various etiologies, as the underlying cause can influence the clinical presentation, management, and overall prognosis. Here's how different etiologies may affect the diagnostic workup:</w:t>
      </w:r>
    </w:p>
    <w:p w14:paraId="1675F1C0" w14:textId="77777777" w:rsidR="00641559" w:rsidRPr="0080532C" w:rsidRDefault="00641559" w:rsidP="00641559">
      <w:pPr>
        <w:widowControl/>
        <w:numPr>
          <w:ilvl w:val="0"/>
          <w:numId w:val="7"/>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Gallstone-Induced Pancreatitis:</w:t>
      </w:r>
    </w:p>
    <w:p w14:paraId="45C80B78" w14:textId="77777777" w:rsidR="00641559" w:rsidRPr="0080532C" w:rsidRDefault="00641559" w:rsidP="00641559">
      <w:pPr>
        <w:widowControl/>
        <w:numPr>
          <w:ilvl w:val="1"/>
          <w:numId w:val="7"/>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Clinical Features:</w:t>
      </w:r>
      <w:r w:rsidRPr="0080532C">
        <w:rPr>
          <w:rFonts w:ascii="Times New Roman" w:eastAsia="宋体" w:hAnsi="Times New Roman" w:cs="Times New Roman"/>
          <w:kern w:val="0"/>
          <w:szCs w:val="21"/>
          <w14:ligatures w14:val="none"/>
        </w:rPr>
        <w:t> Gallstone pancreatitis is often associated with a history of biliary colic or prior episodes of pancreatitis.</w:t>
      </w:r>
    </w:p>
    <w:p w14:paraId="266CE7B1" w14:textId="77777777" w:rsidR="00641559" w:rsidRPr="0080532C" w:rsidRDefault="00641559" w:rsidP="00641559">
      <w:pPr>
        <w:widowControl/>
        <w:numPr>
          <w:ilvl w:val="1"/>
          <w:numId w:val="7"/>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Diagnostic Workup:</w:t>
      </w:r>
      <w:r w:rsidRPr="0080532C">
        <w:rPr>
          <w:rFonts w:ascii="Times New Roman" w:eastAsia="宋体" w:hAnsi="Times New Roman" w:cs="Times New Roman"/>
          <w:kern w:val="0"/>
          <w:szCs w:val="21"/>
          <w14:ligatures w14:val="none"/>
        </w:rPr>
        <w:t> Abdominal ultrasound is a key imaging modality to identify gallstones and biliary obstruction. Additionally, liver function tests (LFTs) may show elevated bilirubin and liver enzyme levels.</w:t>
      </w:r>
    </w:p>
    <w:p w14:paraId="3B0136C3" w14:textId="77777777" w:rsidR="00641559" w:rsidRPr="0080532C" w:rsidRDefault="00641559" w:rsidP="00641559">
      <w:pPr>
        <w:widowControl/>
        <w:numPr>
          <w:ilvl w:val="0"/>
          <w:numId w:val="7"/>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Alcohol-Induced Pancreatitis:</w:t>
      </w:r>
    </w:p>
    <w:p w14:paraId="389E98ED" w14:textId="77777777" w:rsidR="00641559" w:rsidRPr="0080532C" w:rsidRDefault="00641559" w:rsidP="00641559">
      <w:pPr>
        <w:widowControl/>
        <w:numPr>
          <w:ilvl w:val="1"/>
          <w:numId w:val="7"/>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Clinical Features:</w:t>
      </w:r>
      <w:r w:rsidRPr="0080532C">
        <w:rPr>
          <w:rFonts w:ascii="Times New Roman" w:eastAsia="宋体" w:hAnsi="Times New Roman" w:cs="Times New Roman"/>
          <w:kern w:val="0"/>
          <w:szCs w:val="21"/>
          <w14:ligatures w14:val="none"/>
        </w:rPr>
        <w:t> A history of heavy alcohol consumption is a key factor. Alcohol-induced pancreatitis often occurs in chronic drinkers.</w:t>
      </w:r>
    </w:p>
    <w:p w14:paraId="375D9DE1" w14:textId="77777777" w:rsidR="00641559" w:rsidRPr="0080532C" w:rsidRDefault="00641559" w:rsidP="00641559">
      <w:pPr>
        <w:widowControl/>
        <w:numPr>
          <w:ilvl w:val="1"/>
          <w:numId w:val="7"/>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lastRenderedPageBreak/>
        <w:t>Diagnostic Workup:</w:t>
      </w:r>
      <w:r w:rsidRPr="0080532C">
        <w:rPr>
          <w:rFonts w:ascii="Times New Roman" w:eastAsia="宋体" w:hAnsi="Times New Roman" w:cs="Times New Roman"/>
          <w:kern w:val="0"/>
          <w:szCs w:val="21"/>
          <w14:ligatures w14:val="none"/>
        </w:rPr>
        <w:t> Imaging studies, such as CT scans or MRI, help assess pancreatic inflammation. Serum lipase and amylase levels may be elevated.</w:t>
      </w:r>
    </w:p>
    <w:p w14:paraId="1D7E9C27" w14:textId="77777777" w:rsidR="00641559" w:rsidRPr="0080532C" w:rsidRDefault="00641559" w:rsidP="00641559">
      <w:pPr>
        <w:widowControl/>
        <w:numPr>
          <w:ilvl w:val="0"/>
          <w:numId w:val="7"/>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Post-ERCP Pancreatitis:</w:t>
      </w:r>
    </w:p>
    <w:p w14:paraId="1D394EB9" w14:textId="77777777" w:rsidR="00641559" w:rsidRPr="0080532C" w:rsidRDefault="00641559" w:rsidP="00641559">
      <w:pPr>
        <w:widowControl/>
        <w:numPr>
          <w:ilvl w:val="1"/>
          <w:numId w:val="7"/>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Clinical Features:</w:t>
      </w:r>
      <w:r w:rsidRPr="0080532C">
        <w:rPr>
          <w:rFonts w:ascii="Times New Roman" w:eastAsia="宋体" w:hAnsi="Times New Roman" w:cs="Times New Roman"/>
          <w:kern w:val="0"/>
          <w:szCs w:val="21"/>
          <w14:ligatures w14:val="none"/>
        </w:rPr>
        <w:t> A history of recent endoscopic retrograde cholangiopancreatography (ERCP) is crucial.</w:t>
      </w:r>
    </w:p>
    <w:p w14:paraId="3A8DDEC8" w14:textId="77777777" w:rsidR="00641559" w:rsidRPr="0080532C" w:rsidRDefault="00641559" w:rsidP="00641559">
      <w:pPr>
        <w:widowControl/>
        <w:numPr>
          <w:ilvl w:val="1"/>
          <w:numId w:val="7"/>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Diagnostic Workup:</w:t>
      </w:r>
      <w:r w:rsidRPr="0080532C">
        <w:rPr>
          <w:rFonts w:ascii="Times New Roman" w:eastAsia="宋体" w:hAnsi="Times New Roman" w:cs="Times New Roman"/>
          <w:kern w:val="0"/>
          <w:szCs w:val="21"/>
          <w14:ligatures w14:val="none"/>
        </w:rPr>
        <w:t> Serum amylase and lipase levels are checked. Imaging studies, such as CT scans, may be used to assess the severity of pancreatitis.</w:t>
      </w:r>
    </w:p>
    <w:p w14:paraId="6FA874BF" w14:textId="77777777" w:rsidR="00641559" w:rsidRPr="0080532C" w:rsidRDefault="00641559" w:rsidP="00641559">
      <w:pPr>
        <w:widowControl/>
        <w:numPr>
          <w:ilvl w:val="0"/>
          <w:numId w:val="7"/>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Hypertriglyceridemia-Induced Pancreatitis:</w:t>
      </w:r>
    </w:p>
    <w:p w14:paraId="2C93B847" w14:textId="77777777" w:rsidR="00641559" w:rsidRPr="0080532C" w:rsidRDefault="00641559" w:rsidP="00641559">
      <w:pPr>
        <w:widowControl/>
        <w:numPr>
          <w:ilvl w:val="1"/>
          <w:numId w:val="7"/>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Clinical Features:</w:t>
      </w:r>
      <w:r w:rsidRPr="0080532C">
        <w:rPr>
          <w:rFonts w:ascii="Times New Roman" w:eastAsia="宋体" w:hAnsi="Times New Roman" w:cs="Times New Roman"/>
          <w:kern w:val="0"/>
          <w:szCs w:val="21"/>
          <w14:ligatures w14:val="none"/>
        </w:rPr>
        <w:t> Elevated triglyceride levels may be present. Family history and personal history of hypertriglyceridemia are important.</w:t>
      </w:r>
    </w:p>
    <w:p w14:paraId="3A113D0E" w14:textId="77777777" w:rsidR="00641559" w:rsidRPr="0080532C" w:rsidRDefault="00641559" w:rsidP="00641559">
      <w:pPr>
        <w:widowControl/>
        <w:numPr>
          <w:ilvl w:val="1"/>
          <w:numId w:val="7"/>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Diagnostic Workup:</w:t>
      </w:r>
      <w:r w:rsidRPr="0080532C">
        <w:rPr>
          <w:rFonts w:ascii="Times New Roman" w:eastAsia="宋体" w:hAnsi="Times New Roman" w:cs="Times New Roman"/>
          <w:kern w:val="0"/>
          <w:szCs w:val="21"/>
          <w14:ligatures w14:val="none"/>
        </w:rPr>
        <w:t> Serum triglyceride levels are measured. Imaging studies help assess pancreatitis severity.</w:t>
      </w:r>
    </w:p>
    <w:p w14:paraId="426023F1" w14:textId="77777777" w:rsidR="00641559" w:rsidRPr="0080532C" w:rsidRDefault="00641559" w:rsidP="00641559">
      <w:pPr>
        <w:widowControl/>
        <w:numPr>
          <w:ilvl w:val="0"/>
          <w:numId w:val="7"/>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Idiopathic Pancreatitis:</w:t>
      </w:r>
    </w:p>
    <w:p w14:paraId="7D4FB6EE" w14:textId="77777777" w:rsidR="00641559" w:rsidRPr="0080532C" w:rsidRDefault="00641559" w:rsidP="00641559">
      <w:pPr>
        <w:widowControl/>
        <w:numPr>
          <w:ilvl w:val="1"/>
          <w:numId w:val="7"/>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Clinical Features:</w:t>
      </w:r>
      <w:r w:rsidRPr="0080532C">
        <w:rPr>
          <w:rFonts w:ascii="Times New Roman" w:eastAsia="宋体" w:hAnsi="Times New Roman" w:cs="Times New Roman"/>
          <w:kern w:val="0"/>
          <w:szCs w:val="21"/>
          <w14:ligatures w14:val="none"/>
        </w:rPr>
        <w:t> Some cases may not have an identifiable cause initially.</w:t>
      </w:r>
    </w:p>
    <w:p w14:paraId="7629B541" w14:textId="77777777" w:rsidR="00641559" w:rsidRPr="0080532C" w:rsidRDefault="00641559" w:rsidP="00641559">
      <w:pPr>
        <w:widowControl/>
        <w:numPr>
          <w:ilvl w:val="1"/>
          <w:numId w:val="7"/>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Diagnostic Workup:</w:t>
      </w:r>
      <w:r w:rsidRPr="0080532C">
        <w:rPr>
          <w:rFonts w:ascii="Times New Roman" w:eastAsia="宋体" w:hAnsi="Times New Roman" w:cs="Times New Roman"/>
          <w:kern w:val="0"/>
          <w:szCs w:val="21"/>
          <w14:ligatures w14:val="none"/>
        </w:rPr>
        <w:t> Comprehensive investigation, including imaging studies and laboratory tests, is performed to identify potential causes. Genetic testing may be considered in recurrent cases.</w:t>
      </w:r>
    </w:p>
    <w:p w14:paraId="391B74ED" w14:textId="77777777" w:rsidR="00641559" w:rsidRPr="0080532C" w:rsidRDefault="00641559" w:rsidP="00641559">
      <w:pPr>
        <w:widowControl/>
        <w:numPr>
          <w:ilvl w:val="0"/>
          <w:numId w:val="7"/>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Trauma-Induced Pancreatitis:</w:t>
      </w:r>
    </w:p>
    <w:p w14:paraId="6D617ABE" w14:textId="77777777" w:rsidR="00641559" w:rsidRPr="0080532C" w:rsidRDefault="00641559" w:rsidP="00641559">
      <w:pPr>
        <w:widowControl/>
        <w:numPr>
          <w:ilvl w:val="1"/>
          <w:numId w:val="7"/>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Clinical Features:</w:t>
      </w:r>
      <w:r w:rsidRPr="0080532C">
        <w:rPr>
          <w:rFonts w:ascii="Times New Roman" w:eastAsia="宋体" w:hAnsi="Times New Roman" w:cs="Times New Roman"/>
          <w:kern w:val="0"/>
          <w:szCs w:val="21"/>
          <w14:ligatures w14:val="none"/>
        </w:rPr>
        <w:t> History of abdominal trauma is crucial.</w:t>
      </w:r>
    </w:p>
    <w:p w14:paraId="4FAEB246" w14:textId="77777777" w:rsidR="00641559" w:rsidRPr="0080532C" w:rsidRDefault="00641559" w:rsidP="00641559">
      <w:pPr>
        <w:widowControl/>
        <w:numPr>
          <w:ilvl w:val="1"/>
          <w:numId w:val="7"/>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Diagnostic Workup:</w:t>
      </w:r>
      <w:r w:rsidRPr="0080532C">
        <w:rPr>
          <w:rFonts w:ascii="Times New Roman" w:eastAsia="宋体" w:hAnsi="Times New Roman" w:cs="Times New Roman"/>
          <w:kern w:val="0"/>
          <w:szCs w:val="21"/>
          <w14:ligatures w14:val="none"/>
        </w:rPr>
        <w:t> Imaging studies, such as CT scans, help identify traumatic injuries to the pancreas.</w:t>
      </w:r>
    </w:p>
    <w:p w14:paraId="7BFA0CF4" w14:textId="77777777" w:rsidR="00641559" w:rsidRPr="0080532C" w:rsidRDefault="00641559" w:rsidP="00641559">
      <w:pPr>
        <w:widowControl/>
        <w:numPr>
          <w:ilvl w:val="0"/>
          <w:numId w:val="7"/>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Infectious Causes (e.g., Viral or Bacterial):</w:t>
      </w:r>
    </w:p>
    <w:p w14:paraId="42CFF190" w14:textId="77777777" w:rsidR="00641559" w:rsidRPr="0080532C" w:rsidRDefault="00641559" w:rsidP="00641559">
      <w:pPr>
        <w:widowControl/>
        <w:numPr>
          <w:ilvl w:val="1"/>
          <w:numId w:val="7"/>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Clinical Features:</w:t>
      </w:r>
      <w:r w:rsidRPr="0080532C">
        <w:rPr>
          <w:rFonts w:ascii="Times New Roman" w:eastAsia="宋体" w:hAnsi="Times New Roman" w:cs="Times New Roman"/>
          <w:kern w:val="0"/>
          <w:szCs w:val="21"/>
          <w14:ligatures w14:val="none"/>
        </w:rPr>
        <w:t> History of recent infections or systemic illness may be present.</w:t>
      </w:r>
    </w:p>
    <w:p w14:paraId="3E730425" w14:textId="77777777" w:rsidR="00641559" w:rsidRPr="0080532C" w:rsidRDefault="00641559" w:rsidP="00641559">
      <w:pPr>
        <w:widowControl/>
        <w:numPr>
          <w:ilvl w:val="1"/>
          <w:numId w:val="7"/>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Diagnostic Workup:</w:t>
      </w:r>
      <w:r w:rsidRPr="0080532C">
        <w:rPr>
          <w:rFonts w:ascii="Times New Roman" w:eastAsia="宋体" w:hAnsi="Times New Roman" w:cs="Times New Roman"/>
          <w:kern w:val="0"/>
          <w:szCs w:val="21"/>
          <w14:ligatures w14:val="none"/>
        </w:rPr>
        <w:t> Blood cultures and serological tests may be performed to identify infectious causes. Imaging studies help assess the extent of pancreatitis and any associated complications.</w:t>
      </w:r>
    </w:p>
    <w:p w14:paraId="5D72C952" w14:textId="77777777" w:rsidR="00641559" w:rsidRPr="0080532C" w:rsidRDefault="00641559" w:rsidP="00641559">
      <w:pPr>
        <w:widowControl/>
        <w:numPr>
          <w:ilvl w:val="0"/>
          <w:numId w:val="7"/>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Autoimmune Pancreatitis:</w:t>
      </w:r>
    </w:p>
    <w:p w14:paraId="17A22C61" w14:textId="77777777" w:rsidR="00641559" w:rsidRPr="0080532C" w:rsidRDefault="00641559" w:rsidP="00641559">
      <w:pPr>
        <w:widowControl/>
        <w:numPr>
          <w:ilvl w:val="1"/>
          <w:numId w:val="7"/>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Clinical Features:</w:t>
      </w:r>
      <w:r w:rsidRPr="0080532C">
        <w:rPr>
          <w:rFonts w:ascii="Times New Roman" w:eastAsia="宋体" w:hAnsi="Times New Roman" w:cs="Times New Roman"/>
          <w:kern w:val="0"/>
          <w:szCs w:val="21"/>
          <w14:ligatures w14:val="none"/>
        </w:rPr>
        <w:t> Symptoms may mimic other forms of pancreatitis.</w:t>
      </w:r>
    </w:p>
    <w:p w14:paraId="438D33B2" w14:textId="77777777" w:rsidR="00641559" w:rsidRPr="0080532C" w:rsidRDefault="00641559" w:rsidP="00641559">
      <w:pPr>
        <w:widowControl/>
        <w:numPr>
          <w:ilvl w:val="1"/>
          <w:numId w:val="7"/>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Diagnostic Workup:</w:t>
      </w:r>
      <w:r w:rsidRPr="0080532C">
        <w:rPr>
          <w:rFonts w:ascii="Times New Roman" w:eastAsia="宋体" w:hAnsi="Times New Roman" w:cs="Times New Roman"/>
          <w:kern w:val="0"/>
          <w:szCs w:val="21"/>
          <w14:ligatures w14:val="none"/>
        </w:rPr>
        <w:t> IgG4 levels may be elevated. Imaging studies, such as CT or MRI, may show characteristic features of autoimmune pancreatitis.</w:t>
      </w:r>
    </w:p>
    <w:p w14:paraId="1B04FED2" w14:textId="77777777" w:rsidR="00641559" w:rsidRPr="0080532C" w:rsidRDefault="00641559" w:rsidP="00641559">
      <w:pPr>
        <w:widowControl/>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In all cases, the diagnostic workup typically includes a combination of clinical assessment, laboratory tests, and imaging studies. The choice of imaging modality (ultrasound, CT, MRI) depends on the clinical scenario and the information needed. Additionally, ruling out complications and assessing the severity of pancreatitis are critical aspects of the diagnostic process. The management approach may also vary based on the underlying etiology and associated factors. Collaboration among clinicians, radiologists, and gastroenterologists is essential for a comprehensive and accurate diagnosis.</w:t>
      </w:r>
    </w:p>
    <w:p w14:paraId="3B4D6896" w14:textId="2D45DB0D" w:rsidR="00641559" w:rsidRPr="0080532C" w:rsidRDefault="00641559" w:rsidP="00641559">
      <w:pPr>
        <w:widowControl/>
        <w:jc w:val="left"/>
        <w:rPr>
          <w:rFonts w:ascii="Times New Roman" w:eastAsia="宋体" w:hAnsi="Times New Roman" w:cs="Times New Roman"/>
          <w:kern w:val="0"/>
          <w:szCs w:val="21"/>
          <w14:ligatures w14:val="none"/>
        </w:rPr>
      </w:pPr>
      <w:r w:rsidRPr="00A524E3">
        <w:rPr>
          <w:rFonts w:ascii="Times New Roman" w:eastAsia="宋体" w:hAnsi="Times New Roman" w:cs="Times New Roman"/>
          <w:b/>
          <w:bCs/>
          <w:kern w:val="0"/>
          <w:szCs w:val="21"/>
          <w14:ligatures w14:val="none"/>
        </w:rPr>
        <w:t>8</w:t>
      </w:r>
      <w:r w:rsidRPr="0080532C">
        <w:rPr>
          <w:rFonts w:ascii="Times New Roman" w:hAnsi="Times New Roman" w:cs="Times New Roman"/>
          <w:szCs w:val="21"/>
        </w:rPr>
        <w:t>、</w:t>
      </w:r>
      <w:r w:rsidRPr="0080532C">
        <w:rPr>
          <w:rFonts w:ascii="Times New Roman" w:eastAsia="宋体" w:hAnsi="Times New Roman" w:cs="Times New Roman"/>
          <w:b/>
          <w:bCs/>
          <w:kern w:val="0"/>
          <w:szCs w:val="21"/>
          <w14:ligatures w14:val="none"/>
        </w:rPr>
        <w:t xml:space="preserve">In severe acute </w:t>
      </w:r>
      <w:proofErr w:type="spellStart"/>
      <w:r w:rsidRPr="0080532C">
        <w:rPr>
          <w:rFonts w:ascii="Times New Roman" w:eastAsia="宋体" w:hAnsi="Times New Roman" w:cs="Times New Roman"/>
          <w:b/>
          <w:bCs/>
          <w:kern w:val="0"/>
          <w:szCs w:val="21"/>
          <w14:ligatures w14:val="none"/>
        </w:rPr>
        <w:t>pancreatitis,which</w:t>
      </w:r>
      <w:proofErr w:type="spellEnd"/>
      <w:r w:rsidRPr="0080532C">
        <w:rPr>
          <w:rFonts w:ascii="Times New Roman" w:eastAsia="宋体" w:hAnsi="Times New Roman" w:cs="Times New Roman"/>
          <w:b/>
          <w:bCs/>
          <w:kern w:val="0"/>
          <w:szCs w:val="21"/>
          <w14:ligatures w14:val="none"/>
        </w:rPr>
        <w:t xml:space="preserve"> scores are indicated for risk assessment?</w:t>
      </w:r>
    </w:p>
    <w:p w14:paraId="23B203C2" w14:textId="77777777" w:rsidR="00641559" w:rsidRPr="0080532C" w:rsidRDefault="00641559" w:rsidP="00641559">
      <w:pPr>
        <w:widowControl/>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Several scoring systems are available for risk assessment and severity stratification in severe acute pancreatitis. These scores help estimate the likelihood of complications, guide management decisions, and predict outcomes. Here are some commonly used scoring systems:</w:t>
      </w:r>
    </w:p>
    <w:p w14:paraId="7F46E4F7" w14:textId="77777777" w:rsidR="00641559" w:rsidRPr="0080532C" w:rsidRDefault="00641559" w:rsidP="00641559">
      <w:pPr>
        <w:widowControl/>
        <w:numPr>
          <w:ilvl w:val="0"/>
          <w:numId w:val="8"/>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Ranson's Criteria:</w:t>
      </w:r>
    </w:p>
    <w:p w14:paraId="5DCAE079" w14:textId="77777777" w:rsidR="00641559" w:rsidRPr="0080532C" w:rsidRDefault="00641559" w:rsidP="00641559">
      <w:pPr>
        <w:widowControl/>
        <w:numPr>
          <w:ilvl w:val="1"/>
          <w:numId w:val="8"/>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lastRenderedPageBreak/>
        <w:t>Ranson's criteria are based on clinical and laboratory parameters collected on admission and at 48 hours.</w:t>
      </w:r>
    </w:p>
    <w:p w14:paraId="4B126ED4" w14:textId="77777777" w:rsidR="00641559" w:rsidRPr="0080532C" w:rsidRDefault="00641559" w:rsidP="00641559">
      <w:pPr>
        <w:widowControl/>
        <w:numPr>
          <w:ilvl w:val="1"/>
          <w:numId w:val="8"/>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The original Ranson's criteria consist of 11 parameters, with the score indicating the number of criteria met. Higher scores indicate a greater risk of severe pancreatitis.</w:t>
      </w:r>
    </w:p>
    <w:p w14:paraId="1D3291EF" w14:textId="77777777" w:rsidR="00641559" w:rsidRPr="0080532C" w:rsidRDefault="00641559" w:rsidP="00641559">
      <w:pPr>
        <w:widowControl/>
        <w:numPr>
          <w:ilvl w:val="0"/>
          <w:numId w:val="8"/>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Balthazar Score (CT Severity Index):</w:t>
      </w:r>
    </w:p>
    <w:p w14:paraId="38154C46" w14:textId="77777777" w:rsidR="00641559" w:rsidRPr="0080532C" w:rsidRDefault="00641559" w:rsidP="00641559">
      <w:pPr>
        <w:widowControl/>
        <w:numPr>
          <w:ilvl w:val="1"/>
          <w:numId w:val="8"/>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The Balthazar score is determined by assessing the extent of pancreatic and peripancreatic changes observed on contrast-enhanced computed tomography (CECT) scans.</w:t>
      </w:r>
    </w:p>
    <w:p w14:paraId="241BFA17" w14:textId="77777777" w:rsidR="00641559" w:rsidRPr="0080532C" w:rsidRDefault="00641559" w:rsidP="00641559">
      <w:pPr>
        <w:widowControl/>
        <w:numPr>
          <w:ilvl w:val="1"/>
          <w:numId w:val="8"/>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The score ranges from 0 to 10, with higher scores indicating more severe pancreatitis.</w:t>
      </w:r>
    </w:p>
    <w:p w14:paraId="605603F8" w14:textId="77777777" w:rsidR="00641559" w:rsidRPr="0080532C" w:rsidRDefault="00641559" w:rsidP="00641559">
      <w:pPr>
        <w:widowControl/>
        <w:numPr>
          <w:ilvl w:val="0"/>
          <w:numId w:val="8"/>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Acute Physiology and Chronic Health Evaluation II (APACHE-II) Score:</w:t>
      </w:r>
    </w:p>
    <w:p w14:paraId="5EE32319" w14:textId="77777777" w:rsidR="00641559" w:rsidRPr="0080532C" w:rsidRDefault="00641559" w:rsidP="00641559">
      <w:pPr>
        <w:widowControl/>
        <w:numPr>
          <w:ilvl w:val="1"/>
          <w:numId w:val="8"/>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The APACHE-II score is a general severity scoring system used in critically ill patients.</w:t>
      </w:r>
    </w:p>
    <w:p w14:paraId="4AC66666" w14:textId="77777777" w:rsidR="00641559" w:rsidRPr="0080532C" w:rsidRDefault="00641559" w:rsidP="00641559">
      <w:pPr>
        <w:widowControl/>
        <w:numPr>
          <w:ilvl w:val="1"/>
          <w:numId w:val="8"/>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It evaluates physiological parameters such as temperature, heart rate, blood pressure, respiratory rate, and various laboratory values.</w:t>
      </w:r>
    </w:p>
    <w:p w14:paraId="38533B9C" w14:textId="77777777" w:rsidR="00641559" w:rsidRPr="0080532C" w:rsidRDefault="00641559" w:rsidP="00641559">
      <w:pPr>
        <w:widowControl/>
        <w:numPr>
          <w:ilvl w:val="1"/>
          <w:numId w:val="8"/>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The score ranges from 0 to 71, with higher scores indicating a greater severity of illness.</w:t>
      </w:r>
    </w:p>
    <w:p w14:paraId="6C22A05E" w14:textId="77777777" w:rsidR="00641559" w:rsidRPr="0080532C" w:rsidRDefault="00641559" w:rsidP="00641559">
      <w:pPr>
        <w:widowControl/>
        <w:numPr>
          <w:ilvl w:val="0"/>
          <w:numId w:val="8"/>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Imrie Score:</w:t>
      </w:r>
    </w:p>
    <w:p w14:paraId="076F280B" w14:textId="77777777" w:rsidR="00641559" w:rsidRPr="0080532C" w:rsidRDefault="00641559" w:rsidP="00641559">
      <w:pPr>
        <w:widowControl/>
        <w:numPr>
          <w:ilvl w:val="1"/>
          <w:numId w:val="8"/>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The Imrie score is a simplified version of the Glasgow criteria.</w:t>
      </w:r>
    </w:p>
    <w:p w14:paraId="4E5FE511" w14:textId="77777777" w:rsidR="00641559" w:rsidRPr="0080532C" w:rsidRDefault="00641559" w:rsidP="00641559">
      <w:pPr>
        <w:widowControl/>
        <w:numPr>
          <w:ilvl w:val="1"/>
          <w:numId w:val="8"/>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It includes age, sex, presence of pleural effusion, blood glucose, blood urea nitrogen (BUN), arterial oxygen saturation, serum calcium, hematocrit, and white blood cell count.</w:t>
      </w:r>
    </w:p>
    <w:p w14:paraId="4FE3AA6C" w14:textId="77777777" w:rsidR="00641559" w:rsidRPr="0080532C" w:rsidRDefault="00641559" w:rsidP="00641559">
      <w:pPr>
        <w:widowControl/>
        <w:numPr>
          <w:ilvl w:val="1"/>
          <w:numId w:val="8"/>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The score ranges from 0 to 8, with higher scores indicating a worse prognosis.</w:t>
      </w:r>
    </w:p>
    <w:p w14:paraId="6C0DC4A1" w14:textId="77777777" w:rsidR="00641559" w:rsidRPr="0080532C" w:rsidRDefault="00641559" w:rsidP="00641559">
      <w:pPr>
        <w:widowControl/>
        <w:numPr>
          <w:ilvl w:val="0"/>
          <w:numId w:val="8"/>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Bedside Index for Severity in Acute Pancreatitis (BISAP):</w:t>
      </w:r>
    </w:p>
    <w:p w14:paraId="673D34B2" w14:textId="77777777" w:rsidR="00641559" w:rsidRPr="0080532C" w:rsidRDefault="00641559" w:rsidP="00641559">
      <w:pPr>
        <w:widowControl/>
        <w:numPr>
          <w:ilvl w:val="1"/>
          <w:numId w:val="8"/>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The BISAP score is a simplified scoring system that can be quickly obtained at the bedside.</w:t>
      </w:r>
    </w:p>
    <w:p w14:paraId="321B7332" w14:textId="77777777" w:rsidR="00641559" w:rsidRPr="0080532C" w:rsidRDefault="00641559" w:rsidP="00641559">
      <w:pPr>
        <w:widowControl/>
        <w:numPr>
          <w:ilvl w:val="1"/>
          <w:numId w:val="8"/>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It includes age &gt;60, evidence of systemic inflammatory response syndrome (SIRS), impaired mental status, an elevated BUN, and a low arterial partial pressure of oxygen.</w:t>
      </w:r>
    </w:p>
    <w:p w14:paraId="621F1988" w14:textId="77777777" w:rsidR="00641559" w:rsidRPr="0080532C" w:rsidRDefault="00641559" w:rsidP="00641559">
      <w:pPr>
        <w:widowControl/>
        <w:numPr>
          <w:ilvl w:val="1"/>
          <w:numId w:val="8"/>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The score ranges from 0 to 5, with higher scores indicating an increased risk of mortality.</w:t>
      </w:r>
    </w:p>
    <w:p w14:paraId="5E236479" w14:textId="77777777" w:rsidR="00641559" w:rsidRPr="0080532C" w:rsidRDefault="00641559" w:rsidP="00641559">
      <w:pPr>
        <w:widowControl/>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It's important to note that while these scoring systems provide valuable information, they have limitations and should be interpreted along with clinical assessment and other factors. They can assist in risk stratification but may not always accurately predict individual outcomes. The choice of scoring system may depend on the availability of data and the clinical setting. It is best to use these scoring systems in conjunction with clinical judgment to guide treatment decisions and prognosis.</w:t>
      </w:r>
    </w:p>
    <w:p w14:paraId="366A7AC7" w14:textId="6AB573D5" w:rsidR="00706574" w:rsidRPr="0080532C" w:rsidRDefault="00641559" w:rsidP="00706574">
      <w:pPr>
        <w:widowControl/>
        <w:jc w:val="left"/>
        <w:rPr>
          <w:rFonts w:ascii="Times New Roman" w:eastAsia="宋体" w:hAnsi="Times New Roman" w:cs="Times New Roman"/>
          <w:kern w:val="0"/>
          <w:szCs w:val="21"/>
          <w14:ligatures w14:val="none"/>
        </w:rPr>
      </w:pPr>
      <w:r w:rsidRPr="0080532C">
        <w:rPr>
          <w:rFonts w:ascii="Times New Roman" w:hAnsi="Times New Roman" w:cs="Times New Roman"/>
          <w:b/>
          <w:bCs/>
          <w:szCs w:val="21"/>
        </w:rPr>
        <w:t>9</w:t>
      </w:r>
      <w:r w:rsidRPr="0080532C">
        <w:rPr>
          <w:rFonts w:ascii="Times New Roman" w:hAnsi="Times New Roman" w:cs="Times New Roman"/>
          <w:b/>
          <w:bCs/>
          <w:szCs w:val="21"/>
        </w:rPr>
        <w:t>、</w:t>
      </w:r>
      <w:r w:rsidR="00706574" w:rsidRPr="0080532C">
        <w:rPr>
          <w:rFonts w:ascii="Times New Roman" w:eastAsia="宋体" w:hAnsi="Times New Roman" w:cs="Times New Roman"/>
          <w:b/>
          <w:bCs/>
          <w:kern w:val="0"/>
          <w:szCs w:val="21"/>
          <w14:ligatures w14:val="none"/>
        </w:rPr>
        <w:t xml:space="preserve">In severe acute </w:t>
      </w:r>
      <w:proofErr w:type="spellStart"/>
      <w:r w:rsidR="00706574" w:rsidRPr="0080532C">
        <w:rPr>
          <w:rFonts w:ascii="Times New Roman" w:eastAsia="宋体" w:hAnsi="Times New Roman" w:cs="Times New Roman"/>
          <w:b/>
          <w:bCs/>
          <w:kern w:val="0"/>
          <w:szCs w:val="21"/>
          <w14:ligatures w14:val="none"/>
        </w:rPr>
        <w:t>pancreatitis,what</w:t>
      </w:r>
      <w:proofErr w:type="spellEnd"/>
      <w:r w:rsidR="00706574" w:rsidRPr="0080532C">
        <w:rPr>
          <w:rFonts w:ascii="Times New Roman" w:eastAsia="宋体" w:hAnsi="Times New Roman" w:cs="Times New Roman"/>
          <w:b/>
          <w:bCs/>
          <w:kern w:val="0"/>
          <w:szCs w:val="21"/>
          <w14:ligatures w14:val="none"/>
        </w:rPr>
        <w:t xml:space="preserve"> is the timing for early follow-up imaging?</w:t>
      </w:r>
    </w:p>
    <w:p w14:paraId="2DF507A6" w14:textId="77777777" w:rsidR="00706574" w:rsidRPr="0080532C" w:rsidRDefault="00706574" w:rsidP="00706574">
      <w:pPr>
        <w:widowControl/>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The timing for early follow-up imaging in severe acute pancreatitis is generally within the first 72 hours to 1 week after the onset of symptoms. The specific timing may be influenced by factors such as the clinical severity of pancreatitis, the need for intervention, and the stability of the patient.</w:t>
      </w:r>
    </w:p>
    <w:p w14:paraId="2C333F9A" w14:textId="77777777" w:rsidR="00706574" w:rsidRPr="0080532C" w:rsidRDefault="00706574" w:rsidP="00706574">
      <w:pPr>
        <w:widowControl/>
        <w:jc w:val="left"/>
        <w:outlineLvl w:val="2"/>
        <w:rPr>
          <w:rFonts w:ascii="Times New Roman" w:eastAsia="宋体" w:hAnsi="Times New Roman" w:cs="Times New Roman"/>
          <w:b/>
          <w:bCs/>
          <w:kern w:val="0"/>
          <w:szCs w:val="21"/>
          <w14:ligatures w14:val="none"/>
        </w:rPr>
      </w:pPr>
      <w:r w:rsidRPr="0080532C">
        <w:rPr>
          <w:rFonts w:ascii="Times New Roman" w:eastAsia="宋体" w:hAnsi="Times New Roman" w:cs="Times New Roman"/>
          <w:b/>
          <w:bCs/>
          <w:kern w:val="0"/>
          <w:szCs w:val="21"/>
          <w14:ligatures w14:val="none"/>
        </w:rPr>
        <w:t>Factors Influencing Timing:</w:t>
      </w:r>
    </w:p>
    <w:p w14:paraId="451BB7AF" w14:textId="77777777" w:rsidR="00706574" w:rsidRPr="0080532C" w:rsidRDefault="00706574" w:rsidP="00706574">
      <w:pPr>
        <w:widowControl/>
        <w:numPr>
          <w:ilvl w:val="0"/>
          <w:numId w:val="11"/>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lastRenderedPageBreak/>
        <w:t>Clinical Stability:</w:t>
      </w:r>
    </w:p>
    <w:p w14:paraId="53628C04" w14:textId="77777777" w:rsidR="00706574" w:rsidRPr="0080532C" w:rsidRDefault="00706574" w:rsidP="00706574">
      <w:pPr>
        <w:widowControl/>
        <w:numPr>
          <w:ilvl w:val="1"/>
          <w:numId w:val="11"/>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The timing of early follow-up imaging should be determined based on the patient's clinical stability. Unstable patients may require more immediate interventions, and imaging should not be delayed if it may impact management decisions.</w:t>
      </w:r>
    </w:p>
    <w:p w14:paraId="06A24E52" w14:textId="77777777" w:rsidR="00706574" w:rsidRPr="0080532C" w:rsidRDefault="00706574" w:rsidP="00706574">
      <w:pPr>
        <w:widowControl/>
        <w:numPr>
          <w:ilvl w:val="0"/>
          <w:numId w:val="11"/>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Suspected Complications:</w:t>
      </w:r>
    </w:p>
    <w:p w14:paraId="1BA3639A" w14:textId="77777777" w:rsidR="00706574" w:rsidRPr="0080532C" w:rsidRDefault="00706574" w:rsidP="00706574">
      <w:pPr>
        <w:widowControl/>
        <w:numPr>
          <w:ilvl w:val="1"/>
          <w:numId w:val="11"/>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If there are concerns about complications such as pancreatic necrosis, fluid collections, abscess formation, or pseudocysts, early imaging may be warranted to guide timely interventions.</w:t>
      </w:r>
    </w:p>
    <w:p w14:paraId="6630CD2E" w14:textId="77777777" w:rsidR="00706574" w:rsidRPr="0080532C" w:rsidRDefault="00706574" w:rsidP="00706574">
      <w:pPr>
        <w:widowControl/>
        <w:numPr>
          <w:ilvl w:val="0"/>
          <w:numId w:val="11"/>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Response to Initial Treatment:</w:t>
      </w:r>
    </w:p>
    <w:p w14:paraId="793C4D6D" w14:textId="77777777" w:rsidR="00706574" w:rsidRPr="0080532C" w:rsidRDefault="00706574" w:rsidP="00706574">
      <w:pPr>
        <w:widowControl/>
        <w:numPr>
          <w:ilvl w:val="1"/>
          <w:numId w:val="11"/>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The timing of follow-up imaging may be influenced by the patient's response to initial treatment. If there is a lack of improvement or worsening of symptoms, early imaging can help assess the underlying pathology.</w:t>
      </w:r>
    </w:p>
    <w:p w14:paraId="19734822" w14:textId="77777777" w:rsidR="00706574" w:rsidRPr="0080532C" w:rsidRDefault="00706574" w:rsidP="00706574">
      <w:pPr>
        <w:widowControl/>
        <w:numPr>
          <w:ilvl w:val="0"/>
          <w:numId w:val="11"/>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Multidisciplinary Approach:</w:t>
      </w:r>
    </w:p>
    <w:p w14:paraId="76A30BCD" w14:textId="77777777" w:rsidR="00706574" w:rsidRPr="0080532C" w:rsidRDefault="00706574" w:rsidP="00706574">
      <w:pPr>
        <w:widowControl/>
        <w:numPr>
          <w:ilvl w:val="1"/>
          <w:numId w:val="11"/>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The decision on when to perform early follow-up imaging is often made in collaboration with a multidisciplinary team, including gastroenterologists, radiologists, and surgeons.</w:t>
      </w:r>
    </w:p>
    <w:p w14:paraId="6808B44D" w14:textId="77777777" w:rsidR="00706574" w:rsidRPr="0080532C" w:rsidRDefault="00706574" w:rsidP="00706574">
      <w:pPr>
        <w:widowControl/>
        <w:jc w:val="left"/>
        <w:outlineLvl w:val="2"/>
        <w:rPr>
          <w:rFonts w:ascii="Times New Roman" w:eastAsia="宋体" w:hAnsi="Times New Roman" w:cs="Times New Roman"/>
          <w:b/>
          <w:bCs/>
          <w:kern w:val="0"/>
          <w:szCs w:val="21"/>
          <w14:ligatures w14:val="none"/>
        </w:rPr>
      </w:pPr>
      <w:r w:rsidRPr="0080532C">
        <w:rPr>
          <w:rFonts w:ascii="Times New Roman" w:eastAsia="宋体" w:hAnsi="Times New Roman" w:cs="Times New Roman"/>
          <w:b/>
          <w:bCs/>
          <w:kern w:val="0"/>
          <w:szCs w:val="21"/>
          <w14:ligatures w14:val="none"/>
        </w:rPr>
        <w:t>Imaging Modalities:</w:t>
      </w:r>
    </w:p>
    <w:p w14:paraId="30F9DF7E" w14:textId="77777777" w:rsidR="00706574" w:rsidRPr="0080532C" w:rsidRDefault="00706574" w:rsidP="00706574">
      <w:pPr>
        <w:widowControl/>
        <w:numPr>
          <w:ilvl w:val="0"/>
          <w:numId w:val="12"/>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Contrast-Enhanced Computed Tomography (CECT):</w:t>
      </w:r>
    </w:p>
    <w:p w14:paraId="7CFF9F5D" w14:textId="77777777" w:rsidR="00706574" w:rsidRPr="0080532C" w:rsidRDefault="00706574" w:rsidP="00706574">
      <w:pPr>
        <w:widowControl/>
        <w:numPr>
          <w:ilvl w:val="1"/>
          <w:numId w:val="12"/>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CECT is a common imaging modality for assessing the severity of pancreatitis and identifying complications. It is often performed within the first 72 hours to 1 week after the onset of symptoms.</w:t>
      </w:r>
    </w:p>
    <w:p w14:paraId="7591B4A2" w14:textId="77777777" w:rsidR="00706574" w:rsidRPr="0080532C" w:rsidRDefault="00706574" w:rsidP="00706574">
      <w:pPr>
        <w:widowControl/>
        <w:numPr>
          <w:ilvl w:val="0"/>
          <w:numId w:val="12"/>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Magnetic Resonance Imaging (MRI):</w:t>
      </w:r>
    </w:p>
    <w:p w14:paraId="71CBA2CF" w14:textId="77777777" w:rsidR="00706574" w:rsidRPr="0080532C" w:rsidRDefault="00706574" w:rsidP="00706574">
      <w:pPr>
        <w:widowControl/>
        <w:numPr>
          <w:ilvl w:val="1"/>
          <w:numId w:val="12"/>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MRI may be considered in specific cases, especially if there are contraindications to contrast or concerns about radiation exposure.</w:t>
      </w:r>
    </w:p>
    <w:p w14:paraId="2C31D80F" w14:textId="77777777" w:rsidR="00706574" w:rsidRPr="0080532C" w:rsidRDefault="00706574" w:rsidP="00706574">
      <w:pPr>
        <w:widowControl/>
        <w:numPr>
          <w:ilvl w:val="0"/>
          <w:numId w:val="12"/>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Ultrasound:</w:t>
      </w:r>
    </w:p>
    <w:p w14:paraId="0F3A90D8" w14:textId="77777777" w:rsidR="00706574" w:rsidRPr="0080532C" w:rsidRDefault="00706574" w:rsidP="00706574">
      <w:pPr>
        <w:widowControl/>
        <w:numPr>
          <w:ilvl w:val="1"/>
          <w:numId w:val="12"/>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 xml:space="preserve">Ultrasound can be used early </w:t>
      </w:r>
      <w:proofErr w:type="gramStart"/>
      <w:r w:rsidRPr="0080532C">
        <w:rPr>
          <w:rFonts w:ascii="Times New Roman" w:eastAsia="宋体" w:hAnsi="Times New Roman" w:cs="Times New Roman"/>
          <w:kern w:val="0"/>
          <w:szCs w:val="21"/>
          <w14:ligatures w14:val="none"/>
        </w:rPr>
        <w:t>in the course of</w:t>
      </w:r>
      <w:proofErr w:type="gramEnd"/>
      <w:r w:rsidRPr="0080532C">
        <w:rPr>
          <w:rFonts w:ascii="Times New Roman" w:eastAsia="宋体" w:hAnsi="Times New Roman" w:cs="Times New Roman"/>
          <w:kern w:val="0"/>
          <w:szCs w:val="21"/>
          <w14:ligatures w14:val="none"/>
        </w:rPr>
        <w:t xml:space="preserve"> pancreatitis and may be repeated as needed. It is a non-invasive modality that can help detect fluid collections, pseudocysts, and gallstones.</w:t>
      </w:r>
    </w:p>
    <w:p w14:paraId="54D35654" w14:textId="77777777" w:rsidR="00706574" w:rsidRPr="0080532C" w:rsidRDefault="00706574" w:rsidP="00706574">
      <w:pPr>
        <w:widowControl/>
        <w:jc w:val="left"/>
        <w:outlineLvl w:val="2"/>
        <w:rPr>
          <w:rFonts w:ascii="Times New Roman" w:eastAsia="宋体" w:hAnsi="Times New Roman" w:cs="Times New Roman"/>
          <w:b/>
          <w:bCs/>
          <w:kern w:val="0"/>
          <w:szCs w:val="21"/>
          <w14:ligatures w14:val="none"/>
        </w:rPr>
      </w:pPr>
      <w:r w:rsidRPr="0080532C">
        <w:rPr>
          <w:rFonts w:ascii="Times New Roman" w:eastAsia="宋体" w:hAnsi="Times New Roman" w:cs="Times New Roman"/>
          <w:b/>
          <w:bCs/>
          <w:kern w:val="0"/>
          <w:szCs w:val="21"/>
          <w14:ligatures w14:val="none"/>
        </w:rPr>
        <w:t>Serial Imaging:</w:t>
      </w:r>
    </w:p>
    <w:p w14:paraId="4AA3C6A2" w14:textId="77777777" w:rsidR="00706574" w:rsidRPr="0080532C" w:rsidRDefault="00706574" w:rsidP="00706574">
      <w:pPr>
        <w:widowControl/>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In some cases, serial imaging may be warranted, especially if the patient's clinical condition is evolving or if ongoing interventions are being considered. Serial imaging allows healthcare providers to monitor changes over time and adjust the management plan accordingly.</w:t>
      </w:r>
    </w:p>
    <w:p w14:paraId="080800D5" w14:textId="77777777" w:rsidR="00706574" w:rsidRPr="0080532C" w:rsidRDefault="00706574" w:rsidP="00706574">
      <w:pPr>
        <w:widowControl/>
        <w:jc w:val="left"/>
        <w:outlineLvl w:val="2"/>
        <w:rPr>
          <w:rFonts w:ascii="Times New Roman" w:eastAsia="宋体" w:hAnsi="Times New Roman" w:cs="Times New Roman"/>
          <w:b/>
          <w:bCs/>
          <w:kern w:val="0"/>
          <w:szCs w:val="21"/>
          <w14:ligatures w14:val="none"/>
        </w:rPr>
      </w:pPr>
      <w:r w:rsidRPr="0080532C">
        <w:rPr>
          <w:rFonts w:ascii="Times New Roman" w:eastAsia="宋体" w:hAnsi="Times New Roman" w:cs="Times New Roman"/>
          <w:b/>
          <w:bCs/>
          <w:kern w:val="0"/>
          <w:szCs w:val="21"/>
          <w14:ligatures w14:val="none"/>
        </w:rPr>
        <w:t>Summary:</w:t>
      </w:r>
    </w:p>
    <w:p w14:paraId="3614A5E6" w14:textId="77777777" w:rsidR="00706574" w:rsidRPr="0080532C" w:rsidRDefault="00706574" w:rsidP="00706574">
      <w:pPr>
        <w:widowControl/>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The timing for early follow-up imaging is a dynamic decision that depends on the individual patient's clinical course and the specific clinical scenario. It is crucial for healthcare providers to consider the patient's stability, the presence of complications, and the need for interventions when determining the optimal timing for early follow-up imaging in severe acute pancreatitis.</w:t>
      </w:r>
    </w:p>
    <w:p w14:paraId="6F83BC5B" w14:textId="1B4E8458" w:rsidR="003D305C" w:rsidRPr="0080532C" w:rsidRDefault="001F0F47" w:rsidP="003D305C">
      <w:pPr>
        <w:widowControl/>
        <w:jc w:val="left"/>
        <w:rPr>
          <w:rFonts w:ascii="Times New Roman" w:eastAsia="宋体" w:hAnsi="Times New Roman" w:cs="Times New Roman"/>
          <w:b/>
          <w:bCs/>
          <w:kern w:val="0"/>
          <w:szCs w:val="21"/>
          <w14:ligatures w14:val="none"/>
        </w:rPr>
      </w:pPr>
      <w:r w:rsidRPr="0080532C">
        <w:rPr>
          <w:rFonts w:ascii="Times New Roman" w:hAnsi="Times New Roman" w:cs="Times New Roman"/>
          <w:b/>
          <w:bCs/>
          <w:szCs w:val="21"/>
        </w:rPr>
        <w:t>10</w:t>
      </w:r>
      <w:r w:rsidRPr="0080532C">
        <w:rPr>
          <w:rFonts w:ascii="Times New Roman" w:hAnsi="Times New Roman" w:cs="Times New Roman"/>
          <w:b/>
          <w:bCs/>
          <w:szCs w:val="21"/>
        </w:rPr>
        <w:t>、</w:t>
      </w:r>
      <w:r w:rsidR="003D305C" w:rsidRPr="0080532C">
        <w:rPr>
          <w:rFonts w:ascii="Times New Roman" w:eastAsia="宋体" w:hAnsi="Times New Roman" w:cs="Times New Roman"/>
          <w:b/>
          <w:bCs/>
          <w:kern w:val="0"/>
          <w:szCs w:val="21"/>
          <w14:ligatures w14:val="none"/>
        </w:rPr>
        <w:t>What is the first choice of early follow-up imaging in severe acute pancreatitis? Please provide an option</w:t>
      </w:r>
    </w:p>
    <w:p w14:paraId="2BDDD989" w14:textId="77777777" w:rsidR="003D305C" w:rsidRPr="0080532C" w:rsidRDefault="003D305C" w:rsidP="003D305C">
      <w:pPr>
        <w:widowControl/>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The first choice of early follow-up imaging in severe acute pancreatitis is contrast-enhanced abdominal CT scan.</w:t>
      </w:r>
    </w:p>
    <w:p w14:paraId="6D0FBB31" w14:textId="78EF1497" w:rsidR="00442315" w:rsidRPr="0080532C" w:rsidRDefault="00442315" w:rsidP="003D305C">
      <w:pPr>
        <w:widowControl/>
        <w:jc w:val="left"/>
        <w:rPr>
          <w:rFonts w:ascii="Times New Roman" w:hAnsi="Times New Roman" w:cs="Times New Roman"/>
          <w:szCs w:val="21"/>
        </w:rPr>
      </w:pPr>
    </w:p>
    <w:p w14:paraId="5DA9CB2E" w14:textId="1229FE75" w:rsidR="00AA202B" w:rsidRPr="0080532C" w:rsidRDefault="00AA202B" w:rsidP="00AA202B">
      <w:pPr>
        <w:widowControl/>
        <w:jc w:val="left"/>
        <w:rPr>
          <w:rFonts w:ascii="Times New Roman" w:eastAsia="宋体" w:hAnsi="Times New Roman" w:cs="Times New Roman"/>
          <w:b/>
          <w:bCs/>
          <w:kern w:val="0"/>
          <w:szCs w:val="21"/>
          <w14:ligatures w14:val="none"/>
        </w:rPr>
      </w:pPr>
      <w:r w:rsidRPr="0080532C">
        <w:rPr>
          <w:rFonts w:ascii="Times New Roman" w:hAnsi="Times New Roman" w:cs="Times New Roman"/>
          <w:b/>
          <w:bCs/>
          <w:szCs w:val="21"/>
        </w:rPr>
        <w:lastRenderedPageBreak/>
        <w:t>11</w:t>
      </w:r>
      <w:r w:rsidRPr="0080532C">
        <w:rPr>
          <w:rFonts w:ascii="Times New Roman" w:hAnsi="Times New Roman" w:cs="Times New Roman"/>
          <w:b/>
          <w:bCs/>
          <w:szCs w:val="21"/>
        </w:rPr>
        <w:t>、</w:t>
      </w:r>
      <w:r w:rsidRPr="0080532C">
        <w:rPr>
          <w:rFonts w:ascii="Times New Roman" w:eastAsia="宋体" w:hAnsi="Times New Roman" w:cs="Times New Roman"/>
          <w:b/>
          <w:bCs/>
          <w:kern w:val="0"/>
          <w:szCs w:val="21"/>
          <w14:ligatures w14:val="none"/>
        </w:rPr>
        <w:t>Which are the indications for an antimicrobial therapy in case of severe acute pancreatitis?</w:t>
      </w:r>
    </w:p>
    <w:p w14:paraId="55E49407" w14:textId="77777777" w:rsidR="00AA202B" w:rsidRPr="0080532C" w:rsidRDefault="00AA202B" w:rsidP="00AA202B">
      <w:pPr>
        <w:widowControl/>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Antimicrobial therapy may be indicated in cases of severe acute pancreatitis based on specific clinical scenarios. The decision to initiate antimicrobial treatment is generally guided by the presence of infection or the risk of infection-related complications. Indications for antimicrobial therapy in severe acute pancreatitis include:</w:t>
      </w:r>
    </w:p>
    <w:p w14:paraId="3D0FB519" w14:textId="77777777" w:rsidR="00AA202B" w:rsidRPr="0080532C" w:rsidRDefault="00AA202B" w:rsidP="00AA202B">
      <w:pPr>
        <w:widowControl/>
        <w:numPr>
          <w:ilvl w:val="0"/>
          <w:numId w:val="14"/>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Infected Pancreatic Necrosis (IPN):</w:t>
      </w:r>
    </w:p>
    <w:p w14:paraId="1EA350C8" w14:textId="77777777" w:rsidR="00AA202B" w:rsidRPr="0080532C" w:rsidRDefault="00AA202B" w:rsidP="00AA202B">
      <w:pPr>
        <w:widowControl/>
        <w:numPr>
          <w:ilvl w:val="1"/>
          <w:numId w:val="14"/>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In cases where there is evidence of infected pancreatic necrosis, antimicrobial therapy is typically initiated.</w:t>
      </w:r>
    </w:p>
    <w:p w14:paraId="7A5ED42E" w14:textId="77777777" w:rsidR="00AA202B" w:rsidRPr="0080532C" w:rsidRDefault="00AA202B" w:rsidP="00AA202B">
      <w:pPr>
        <w:widowControl/>
        <w:numPr>
          <w:ilvl w:val="1"/>
          <w:numId w:val="14"/>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Diagnosis is often confirmed through clinical findings, imaging studies, and, when necessary, by fine-needle aspiration of necrotic tissue.</w:t>
      </w:r>
    </w:p>
    <w:p w14:paraId="22FEEC83" w14:textId="77777777" w:rsidR="00AA202B" w:rsidRPr="0080532C" w:rsidRDefault="00AA202B" w:rsidP="00AA202B">
      <w:pPr>
        <w:widowControl/>
        <w:numPr>
          <w:ilvl w:val="0"/>
          <w:numId w:val="14"/>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Suspected or Confirmed Infected Pancreatic Collections:</w:t>
      </w:r>
    </w:p>
    <w:p w14:paraId="28C4248C" w14:textId="77777777" w:rsidR="00AA202B" w:rsidRPr="0080532C" w:rsidRDefault="00AA202B" w:rsidP="00AA202B">
      <w:pPr>
        <w:widowControl/>
        <w:numPr>
          <w:ilvl w:val="1"/>
          <w:numId w:val="14"/>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Infected fluid collections, abscesses, or pseudocysts associated with severe acute pancreatitis may require antimicrobial therapy.</w:t>
      </w:r>
    </w:p>
    <w:p w14:paraId="07BAE93A" w14:textId="77777777" w:rsidR="00AA202B" w:rsidRPr="0080532C" w:rsidRDefault="00AA202B" w:rsidP="00AA202B">
      <w:pPr>
        <w:widowControl/>
        <w:numPr>
          <w:ilvl w:val="1"/>
          <w:numId w:val="14"/>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Drainage of infected collections may also be necessary in conjunction with antibiotics.</w:t>
      </w:r>
    </w:p>
    <w:p w14:paraId="28920BCC" w14:textId="77777777" w:rsidR="00AA202B" w:rsidRPr="0080532C" w:rsidRDefault="00AA202B" w:rsidP="00AA202B">
      <w:pPr>
        <w:widowControl/>
        <w:numPr>
          <w:ilvl w:val="0"/>
          <w:numId w:val="14"/>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Sepsis or Systemic Inflammatory Response Syndrome (SIRS):</w:t>
      </w:r>
    </w:p>
    <w:p w14:paraId="05DB4DA8" w14:textId="77777777" w:rsidR="00AA202B" w:rsidRPr="0080532C" w:rsidRDefault="00AA202B" w:rsidP="00AA202B">
      <w:pPr>
        <w:widowControl/>
        <w:numPr>
          <w:ilvl w:val="1"/>
          <w:numId w:val="14"/>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If there is evidence of sepsis or systemic inflammatory response syndrome, antimicrobial therapy may be initiated.</w:t>
      </w:r>
    </w:p>
    <w:p w14:paraId="493ED084" w14:textId="77777777" w:rsidR="00AA202B" w:rsidRPr="0080532C" w:rsidRDefault="00AA202B" w:rsidP="00AA202B">
      <w:pPr>
        <w:widowControl/>
        <w:numPr>
          <w:ilvl w:val="1"/>
          <w:numId w:val="14"/>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Signs of sepsis include fever, elevated white blood cell count, and hemodynamic instability.</w:t>
      </w:r>
    </w:p>
    <w:p w14:paraId="09D2316C" w14:textId="77777777" w:rsidR="00AA202B" w:rsidRPr="0080532C" w:rsidRDefault="00AA202B" w:rsidP="00AA202B">
      <w:pPr>
        <w:widowControl/>
        <w:numPr>
          <w:ilvl w:val="0"/>
          <w:numId w:val="14"/>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Persistent Organ Failure:</w:t>
      </w:r>
    </w:p>
    <w:p w14:paraId="5FBEAB10" w14:textId="77777777" w:rsidR="00AA202B" w:rsidRPr="0080532C" w:rsidRDefault="00AA202B" w:rsidP="00AA202B">
      <w:pPr>
        <w:widowControl/>
        <w:numPr>
          <w:ilvl w:val="1"/>
          <w:numId w:val="14"/>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In cases of severe acute pancreatitis with persistent organ failure, especially when associated with signs of infection, antimicrobial therapy may be considered.</w:t>
      </w:r>
    </w:p>
    <w:p w14:paraId="30B572CF" w14:textId="77777777" w:rsidR="00AA202B" w:rsidRPr="0080532C" w:rsidRDefault="00AA202B" w:rsidP="00AA202B">
      <w:pPr>
        <w:widowControl/>
        <w:numPr>
          <w:ilvl w:val="0"/>
          <w:numId w:val="14"/>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Prophylaxis in Specific Situations:</w:t>
      </w:r>
    </w:p>
    <w:p w14:paraId="3C023B8D" w14:textId="77777777" w:rsidR="00AA202B" w:rsidRPr="0080532C" w:rsidRDefault="00AA202B" w:rsidP="00AA202B">
      <w:pPr>
        <w:widowControl/>
        <w:numPr>
          <w:ilvl w:val="1"/>
          <w:numId w:val="14"/>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 xml:space="preserve">Antimicrobial prophylaxis may be considered in specific situations, such as in patients with severe acute pancreatitis who undergo </w:t>
      </w:r>
      <w:proofErr w:type="spellStart"/>
      <w:r w:rsidRPr="0080532C">
        <w:rPr>
          <w:rFonts w:ascii="Times New Roman" w:eastAsia="宋体" w:hAnsi="Times New Roman" w:cs="Times New Roman"/>
          <w:kern w:val="0"/>
          <w:szCs w:val="21"/>
          <w14:ligatures w14:val="none"/>
        </w:rPr>
        <w:t>necrosectomy</w:t>
      </w:r>
      <w:proofErr w:type="spellEnd"/>
      <w:r w:rsidRPr="0080532C">
        <w:rPr>
          <w:rFonts w:ascii="Times New Roman" w:eastAsia="宋体" w:hAnsi="Times New Roman" w:cs="Times New Roman"/>
          <w:kern w:val="0"/>
          <w:szCs w:val="21"/>
          <w14:ligatures w14:val="none"/>
        </w:rPr>
        <w:t xml:space="preserve"> or other interventions that carry a high risk of infection.</w:t>
      </w:r>
    </w:p>
    <w:p w14:paraId="3CB36D95" w14:textId="77777777" w:rsidR="00AA202B" w:rsidRPr="0080532C" w:rsidRDefault="00AA202B" w:rsidP="00AA202B">
      <w:pPr>
        <w:widowControl/>
        <w:numPr>
          <w:ilvl w:val="0"/>
          <w:numId w:val="14"/>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Immunocompromised Patients:</w:t>
      </w:r>
    </w:p>
    <w:p w14:paraId="4A7FD368" w14:textId="77777777" w:rsidR="00AA202B" w:rsidRPr="0080532C" w:rsidRDefault="00AA202B" w:rsidP="00AA202B">
      <w:pPr>
        <w:widowControl/>
        <w:numPr>
          <w:ilvl w:val="1"/>
          <w:numId w:val="14"/>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Immunocompromised patients, such as those with neutropenia or other conditions affecting the immune system, may be more susceptible to infections and may require antimicrobial therapy.</w:t>
      </w:r>
    </w:p>
    <w:p w14:paraId="24DE144D" w14:textId="77777777" w:rsidR="00AA202B" w:rsidRPr="0080532C" w:rsidRDefault="00AA202B" w:rsidP="00AA202B">
      <w:pPr>
        <w:widowControl/>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It's crucial for healthcare providers to tailor antimicrobial therapy based on the individual patient's clinical presentation, local antimicrobial resistance patterns, and the results of any microbiological cultures obtained. Empirical broad-spectrum antibiotics are often initiated initially and may be adjusted based on culture results.</w:t>
      </w:r>
    </w:p>
    <w:p w14:paraId="76BD8771" w14:textId="77777777" w:rsidR="00AA202B" w:rsidRPr="0080532C" w:rsidRDefault="00AA202B" w:rsidP="00AA202B">
      <w:pPr>
        <w:widowControl/>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The choice of antibiotics should cover common pathogens associated with pancreatic infections, including gram-negative and anaerobic bacteria. Consultation with infectious disease specialists is often beneficial in managing antimicrobial therapy in complex cases.</w:t>
      </w:r>
    </w:p>
    <w:p w14:paraId="6001E01A" w14:textId="77777777" w:rsidR="00AA202B" w:rsidRPr="0080532C" w:rsidRDefault="00AA202B" w:rsidP="00AA202B">
      <w:pPr>
        <w:widowControl/>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The decision to start antimicrobial therapy should be made judiciously, balancing the potential benefits with the risk of promoting antimicrobial resistance and other adverse effects. Regular reassessment of the patient's clinical status and adjustments to the antimicrobial regimen may be necessary based on ongoing evaluation and culture results.</w:t>
      </w:r>
    </w:p>
    <w:p w14:paraId="382E5EED" w14:textId="06DE7D22" w:rsidR="00AA202B" w:rsidRPr="0080532C" w:rsidRDefault="00AA202B" w:rsidP="00AA202B">
      <w:pPr>
        <w:widowControl/>
        <w:jc w:val="left"/>
        <w:rPr>
          <w:rFonts w:ascii="Times New Roman" w:eastAsia="宋体" w:hAnsi="Times New Roman" w:cs="Times New Roman"/>
          <w:b/>
          <w:bCs/>
          <w:kern w:val="0"/>
          <w:szCs w:val="21"/>
          <w14:ligatures w14:val="none"/>
        </w:rPr>
      </w:pPr>
      <w:r w:rsidRPr="0080532C">
        <w:rPr>
          <w:rFonts w:ascii="Times New Roman" w:hAnsi="Times New Roman" w:cs="Times New Roman"/>
          <w:b/>
          <w:bCs/>
          <w:szCs w:val="21"/>
        </w:rPr>
        <w:lastRenderedPageBreak/>
        <w:t>1</w:t>
      </w:r>
      <w:r w:rsidR="00A524E3">
        <w:rPr>
          <w:rFonts w:ascii="Times New Roman" w:hAnsi="Times New Roman" w:cs="Times New Roman"/>
          <w:b/>
          <w:bCs/>
          <w:szCs w:val="21"/>
        </w:rPr>
        <w:t>2</w:t>
      </w:r>
      <w:r w:rsidRPr="0080532C">
        <w:rPr>
          <w:rFonts w:ascii="Times New Roman" w:hAnsi="Times New Roman" w:cs="Times New Roman"/>
          <w:b/>
          <w:bCs/>
          <w:szCs w:val="21"/>
        </w:rPr>
        <w:t>、</w:t>
      </w:r>
      <w:r w:rsidRPr="0080532C">
        <w:rPr>
          <w:rFonts w:ascii="Times New Roman" w:eastAsia="宋体" w:hAnsi="Times New Roman" w:cs="Times New Roman"/>
          <w:b/>
          <w:bCs/>
          <w:kern w:val="0"/>
          <w:szCs w:val="21"/>
          <w14:ligatures w14:val="none"/>
        </w:rPr>
        <w:t xml:space="preserve">In severe acute </w:t>
      </w:r>
      <w:proofErr w:type="spellStart"/>
      <w:r w:rsidRPr="0080532C">
        <w:rPr>
          <w:rFonts w:ascii="Times New Roman" w:eastAsia="宋体" w:hAnsi="Times New Roman" w:cs="Times New Roman"/>
          <w:b/>
          <w:bCs/>
          <w:kern w:val="0"/>
          <w:szCs w:val="21"/>
          <w14:ligatures w14:val="none"/>
        </w:rPr>
        <w:t>pancreatitis,what</w:t>
      </w:r>
      <w:proofErr w:type="spellEnd"/>
      <w:r w:rsidRPr="0080532C">
        <w:rPr>
          <w:rFonts w:ascii="Times New Roman" w:eastAsia="宋体" w:hAnsi="Times New Roman" w:cs="Times New Roman"/>
          <w:b/>
          <w:bCs/>
          <w:kern w:val="0"/>
          <w:szCs w:val="21"/>
          <w14:ligatures w14:val="none"/>
        </w:rPr>
        <w:t xml:space="preserve"> is the correct timing to introduce an antimicrobial therapy?</w:t>
      </w:r>
    </w:p>
    <w:p w14:paraId="65FC89A1" w14:textId="77777777" w:rsidR="00AA202B" w:rsidRPr="0080532C" w:rsidRDefault="00AA202B" w:rsidP="00AA202B">
      <w:pPr>
        <w:widowControl/>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The timing to introduce antimicrobial therapy in severe acute pancreatitis (SAP) depends on the clinical presentation and the presence of signs or suspicion of infection. The decision to initiate antimicrobial therapy should be made judiciously and in consultation with a healthcare provider. Here are some general considerations regarding the timing of antimicrobial therapy in severe acute pancreatitis:</w:t>
      </w:r>
    </w:p>
    <w:p w14:paraId="2438D608" w14:textId="77777777" w:rsidR="00AA202B" w:rsidRPr="0080532C" w:rsidRDefault="00AA202B" w:rsidP="00AA202B">
      <w:pPr>
        <w:widowControl/>
        <w:numPr>
          <w:ilvl w:val="0"/>
          <w:numId w:val="16"/>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Clinical Signs of Infection:</w:t>
      </w:r>
    </w:p>
    <w:p w14:paraId="3377C401" w14:textId="77777777" w:rsidR="00AA202B" w:rsidRPr="0080532C" w:rsidRDefault="00AA202B" w:rsidP="00AA202B">
      <w:pPr>
        <w:widowControl/>
        <w:numPr>
          <w:ilvl w:val="1"/>
          <w:numId w:val="16"/>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Antimicrobial therapy is typically initiated when there are clinical signs of infection, such as fever, chills, and systemic inflammatory response syndrome (SIRS).</w:t>
      </w:r>
    </w:p>
    <w:p w14:paraId="14A71EB3" w14:textId="77777777" w:rsidR="00AA202B" w:rsidRPr="0080532C" w:rsidRDefault="00AA202B" w:rsidP="00AA202B">
      <w:pPr>
        <w:widowControl/>
        <w:numPr>
          <w:ilvl w:val="1"/>
          <w:numId w:val="16"/>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SIRS criteria include abnormalities in temperature, heart rate, respiratory rate, and white blood cell count.</w:t>
      </w:r>
    </w:p>
    <w:p w14:paraId="6A5185AD" w14:textId="77777777" w:rsidR="00AA202B" w:rsidRPr="0080532C" w:rsidRDefault="00AA202B" w:rsidP="00AA202B">
      <w:pPr>
        <w:widowControl/>
        <w:numPr>
          <w:ilvl w:val="0"/>
          <w:numId w:val="16"/>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Imaging Evidence of Infected Pancreatic Necrosis or Collections:</w:t>
      </w:r>
    </w:p>
    <w:p w14:paraId="54823715" w14:textId="77777777" w:rsidR="00AA202B" w:rsidRPr="0080532C" w:rsidRDefault="00AA202B" w:rsidP="00AA202B">
      <w:pPr>
        <w:widowControl/>
        <w:numPr>
          <w:ilvl w:val="1"/>
          <w:numId w:val="16"/>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If imaging studies, such as contrast-enhanced computed tomography (CECT), suggest the presence of infected pancreatic necrosis or fluid collections, antimicrobial therapy may be initiated.</w:t>
      </w:r>
    </w:p>
    <w:p w14:paraId="2287F66D" w14:textId="77777777" w:rsidR="00AA202B" w:rsidRPr="0080532C" w:rsidRDefault="00AA202B" w:rsidP="00AA202B">
      <w:pPr>
        <w:widowControl/>
        <w:numPr>
          <w:ilvl w:val="0"/>
          <w:numId w:val="16"/>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Positive Microbiological Cultures:</w:t>
      </w:r>
    </w:p>
    <w:p w14:paraId="55056640" w14:textId="77777777" w:rsidR="00AA202B" w:rsidRPr="0080532C" w:rsidRDefault="00AA202B" w:rsidP="00AA202B">
      <w:pPr>
        <w:widowControl/>
        <w:numPr>
          <w:ilvl w:val="1"/>
          <w:numId w:val="16"/>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If microbiological cultures from fine-needle aspiration or other sources confirm the presence of infection, antimicrobial therapy is warranted.</w:t>
      </w:r>
    </w:p>
    <w:p w14:paraId="4B3076FF" w14:textId="77777777" w:rsidR="00AA202B" w:rsidRPr="0080532C" w:rsidRDefault="00AA202B" w:rsidP="00AA202B">
      <w:pPr>
        <w:widowControl/>
        <w:numPr>
          <w:ilvl w:val="1"/>
          <w:numId w:val="16"/>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Cultures may be obtained from drained fluid collections or, if necessary, from the necrotic tissue during interventions.</w:t>
      </w:r>
    </w:p>
    <w:p w14:paraId="1D51F4FF" w14:textId="77777777" w:rsidR="00AA202B" w:rsidRPr="0080532C" w:rsidRDefault="00AA202B" w:rsidP="00AA202B">
      <w:pPr>
        <w:widowControl/>
        <w:numPr>
          <w:ilvl w:val="0"/>
          <w:numId w:val="16"/>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Persistent Organ Failure:</w:t>
      </w:r>
    </w:p>
    <w:p w14:paraId="6C30A4BD" w14:textId="77777777" w:rsidR="00AA202B" w:rsidRPr="0080532C" w:rsidRDefault="00AA202B" w:rsidP="00AA202B">
      <w:pPr>
        <w:widowControl/>
        <w:numPr>
          <w:ilvl w:val="1"/>
          <w:numId w:val="16"/>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Antimicrobial therapy may be considered in patients with severe acute pancreatitis who have persistent organ failure, especially if infection is suspected as a contributing factor.</w:t>
      </w:r>
    </w:p>
    <w:p w14:paraId="212CD927" w14:textId="77777777" w:rsidR="00AA202B" w:rsidRPr="0080532C" w:rsidRDefault="00AA202B" w:rsidP="00AA202B">
      <w:pPr>
        <w:widowControl/>
        <w:numPr>
          <w:ilvl w:val="0"/>
          <w:numId w:val="16"/>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High-Risk Interventions:</w:t>
      </w:r>
    </w:p>
    <w:p w14:paraId="5093759F" w14:textId="77777777" w:rsidR="00AA202B" w:rsidRPr="0080532C" w:rsidRDefault="00AA202B" w:rsidP="00AA202B">
      <w:pPr>
        <w:widowControl/>
        <w:numPr>
          <w:ilvl w:val="1"/>
          <w:numId w:val="16"/>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 xml:space="preserve">In situations where high-risk interventions, such as </w:t>
      </w:r>
      <w:proofErr w:type="spellStart"/>
      <w:r w:rsidRPr="0080532C">
        <w:rPr>
          <w:rFonts w:ascii="Times New Roman" w:eastAsia="宋体" w:hAnsi="Times New Roman" w:cs="Times New Roman"/>
          <w:kern w:val="0"/>
          <w:szCs w:val="21"/>
          <w14:ligatures w14:val="none"/>
        </w:rPr>
        <w:t>necrosectomy</w:t>
      </w:r>
      <w:proofErr w:type="spellEnd"/>
      <w:r w:rsidRPr="0080532C">
        <w:rPr>
          <w:rFonts w:ascii="Times New Roman" w:eastAsia="宋体" w:hAnsi="Times New Roman" w:cs="Times New Roman"/>
          <w:kern w:val="0"/>
          <w:szCs w:val="21"/>
          <w14:ligatures w14:val="none"/>
        </w:rPr>
        <w:t xml:space="preserve"> or drainage procedures, are planned, prophylactic antimicrobial therapy may be initiated before the procedure.</w:t>
      </w:r>
    </w:p>
    <w:p w14:paraId="44144767" w14:textId="77777777" w:rsidR="00AA202B" w:rsidRPr="0080532C" w:rsidRDefault="00AA202B" w:rsidP="00AA202B">
      <w:pPr>
        <w:widowControl/>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It is important to note that the use of antimicrobial therapy in severe acute pancreatitis should be targeted and based on clear indications. Routine prophylactic use of antibiotics in the absence of infection is generally not recommended in the current guidelines.</w:t>
      </w:r>
    </w:p>
    <w:p w14:paraId="590410CF" w14:textId="77777777" w:rsidR="00AA202B" w:rsidRPr="0080532C" w:rsidRDefault="00AA202B" w:rsidP="00AA202B">
      <w:pPr>
        <w:widowControl/>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The choice of antimicrobial agents should be guided by the likely pathogens involved, local resistance patterns, and the severity of the infection. Broad-spectrum antibiotics may be initiated initially and adjusted based on culture results.</w:t>
      </w:r>
    </w:p>
    <w:p w14:paraId="0C05BF9A" w14:textId="77777777" w:rsidR="00AA202B" w:rsidRPr="0080532C" w:rsidRDefault="00AA202B" w:rsidP="00AA202B">
      <w:pPr>
        <w:widowControl/>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Ultimately, the decision to start antimicrobial therapy should be made on an individualized basis, considering the patient's clinical condition, risk factors, and local guidelines. Regular reassessment is crucial, and adjustments to the antimicrobial regimen may be made based on the patient's response and culture results. Consulting with infectious disease specialists can be valuable in complex cases.</w:t>
      </w:r>
    </w:p>
    <w:p w14:paraId="7E6EDFFF" w14:textId="7FBE4F2D" w:rsidR="004C05C6" w:rsidRPr="0080532C" w:rsidRDefault="00AA202B" w:rsidP="004C05C6">
      <w:pPr>
        <w:widowControl/>
        <w:jc w:val="left"/>
        <w:rPr>
          <w:rFonts w:ascii="Times New Roman" w:eastAsia="宋体" w:hAnsi="Times New Roman" w:cs="Times New Roman"/>
          <w:b/>
          <w:bCs/>
          <w:kern w:val="0"/>
          <w:szCs w:val="21"/>
          <w14:ligatures w14:val="none"/>
        </w:rPr>
      </w:pPr>
      <w:r w:rsidRPr="0080532C">
        <w:rPr>
          <w:rFonts w:ascii="Times New Roman" w:hAnsi="Times New Roman" w:cs="Times New Roman"/>
          <w:b/>
          <w:bCs/>
          <w:szCs w:val="21"/>
        </w:rPr>
        <w:t>1</w:t>
      </w:r>
      <w:r w:rsidR="00A524E3">
        <w:rPr>
          <w:rFonts w:ascii="Times New Roman" w:hAnsi="Times New Roman" w:cs="Times New Roman"/>
          <w:b/>
          <w:bCs/>
          <w:szCs w:val="21"/>
        </w:rPr>
        <w:t>3</w:t>
      </w:r>
      <w:r w:rsidRPr="0080532C">
        <w:rPr>
          <w:rFonts w:ascii="Times New Roman" w:hAnsi="Times New Roman" w:cs="Times New Roman"/>
          <w:b/>
          <w:bCs/>
          <w:szCs w:val="21"/>
        </w:rPr>
        <w:t>、</w:t>
      </w:r>
      <w:r w:rsidR="004C05C6" w:rsidRPr="0080532C">
        <w:rPr>
          <w:rFonts w:ascii="Times New Roman" w:eastAsia="宋体" w:hAnsi="Times New Roman" w:cs="Times New Roman"/>
          <w:b/>
          <w:bCs/>
          <w:kern w:val="0"/>
          <w:szCs w:val="21"/>
          <w14:ligatures w14:val="none"/>
        </w:rPr>
        <w:t xml:space="preserve">In severe acute </w:t>
      </w:r>
      <w:proofErr w:type="spellStart"/>
      <w:r w:rsidR="004C05C6" w:rsidRPr="0080532C">
        <w:rPr>
          <w:rFonts w:ascii="Times New Roman" w:eastAsia="宋体" w:hAnsi="Times New Roman" w:cs="Times New Roman"/>
          <w:b/>
          <w:bCs/>
          <w:kern w:val="0"/>
          <w:szCs w:val="21"/>
          <w14:ligatures w14:val="none"/>
        </w:rPr>
        <w:t>pancreatitis,which</w:t>
      </w:r>
      <w:proofErr w:type="spellEnd"/>
      <w:r w:rsidR="004C05C6" w:rsidRPr="0080532C">
        <w:rPr>
          <w:rFonts w:ascii="Times New Roman" w:eastAsia="宋体" w:hAnsi="Times New Roman" w:cs="Times New Roman"/>
          <w:b/>
          <w:bCs/>
          <w:kern w:val="0"/>
          <w:szCs w:val="21"/>
          <w14:ligatures w14:val="none"/>
        </w:rPr>
        <w:t xml:space="preserve"> antimicrobial regimen should be used?</w:t>
      </w:r>
    </w:p>
    <w:p w14:paraId="7E9425E8" w14:textId="77777777" w:rsidR="004C05C6" w:rsidRPr="0080532C" w:rsidRDefault="004C05C6" w:rsidP="004C05C6">
      <w:pPr>
        <w:widowControl/>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 xml:space="preserve">The choice of antimicrobial regimen for severe acute pancreatitis (SAP) should be based on the likely pathogens involved, local resistance patterns, and the severity of the infection. Empirical </w:t>
      </w:r>
      <w:r w:rsidRPr="0080532C">
        <w:rPr>
          <w:rFonts w:ascii="Times New Roman" w:eastAsia="宋体" w:hAnsi="Times New Roman" w:cs="Times New Roman"/>
          <w:kern w:val="0"/>
          <w:szCs w:val="21"/>
          <w14:ligatures w14:val="none"/>
        </w:rPr>
        <w:lastRenderedPageBreak/>
        <w:t>broad-spectrum antibiotics are often initiated initially, and adjustments can be made based on culture results. It's important to note that recommendations may vary, and local guidelines or consultation with infectious disease specialists should be considered. Here is a general guideline for choosing an antimicrobial regimen in severe acute pancreatitis:</w:t>
      </w:r>
    </w:p>
    <w:p w14:paraId="147F2142" w14:textId="77777777" w:rsidR="004C05C6" w:rsidRPr="0080532C" w:rsidRDefault="004C05C6" w:rsidP="004C05C6">
      <w:pPr>
        <w:widowControl/>
        <w:numPr>
          <w:ilvl w:val="0"/>
          <w:numId w:val="17"/>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Empirical Broad-Spectrum Antibiotics:</w:t>
      </w:r>
    </w:p>
    <w:p w14:paraId="6C2B8AB6" w14:textId="77777777" w:rsidR="004C05C6" w:rsidRPr="0080532C" w:rsidRDefault="004C05C6" w:rsidP="004C05C6">
      <w:pPr>
        <w:widowControl/>
        <w:numPr>
          <w:ilvl w:val="1"/>
          <w:numId w:val="17"/>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Initial therapy often includes broad-spectrum antibiotics to cover a range of potential pathogens, including gram-negative and anaerobic bacteria.</w:t>
      </w:r>
    </w:p>
    <w:p w14:paraId="5D7548A0" w14:textId="77777777" w:rsidR="004C05C6" w:rsidRPr="0080532C" w:rsidRDefault="004C05C6" w:rsidP="004C05C6">
      <w:pPr>
        <w:widowControl/>
        <w:numPr>
          <w:ilvl w:val="1"/>
          <w:numId w:val="17"/>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Commonly used antibiotics may include a combination of a beta-lactam/beta-lactamase inhibitor (e.g., piperacillin-tazobactam) or a carbapenem (e.g., meropenem) along with metronidazole.</w:t>
      </w:r>
    </w:p>
    <w:p w14:paraId="776FFA2A" w14:textId="77777777" w:rsidR="004C05C6" w:rsidRPr="0080532C" w:rsidRDefault="004C05C6" w:rsidP="004C05C6">
      <w:pPr>
        <w:widowControl/>
        <w:numPr>
          <w:ilvl w:val="0"/>
          <w:numId w:val="17"/>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Consideration of Local Resistance Patterns:</w:t>
      </w:r>
    </w:p>
    <w:p w14:paraId="1DDD0782" w14:textId="77777777" w:rsidR="004C05C6" w:rsidRPr="0080532C" w:rsidRDefault="004C05C6" w:rsidP="004C05C6">
      <w:pPr>
        <w:widowControl/>
        <w:numPr>
          <w:ilvl w:val="1"/>
          <w:numId w:val="17"/>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 xml:space="preserve">The choice of antibiotics should </w:t>
      </w:r>
      <w:proofErr w:type="gramStart"/>
      <w:r w:rsidRPr="0080532C">
        <w:rPr>
          <w:rFonts w:ascii="Times New Roman" w:eastAsia="宋体" w:hAnsi="Times New Roman" w:cs="Times New Roman"/>
          <w:kern w:val="0"/>
          <w:szCs w:val="21"/>
          <w14:ligatures w14:val="none"/>
        </w:rPr>
        <w:t>take into account</w:t>
      </w:r>
      <w:proofErr w:type="gramEnd"/>
      <w:r w:rsidRPr="0080532C">
        <w:rPr>
          <w:rFonts w:ascii="Times New Roman" w:eastAsia="宋体" w:hAnsi="Times New Roman" w:cs="Times New Roman"/>
          <w:kern w:val="0"/>
          <w:szCs w:val="21"/>
          <w14:ligatures w14:val="none"/>
        </w:rPr>
        <w:t xml:space="preserve"> local resistance patterns to ensure effective treatment.</w:t>
      </w:r>
    </w:p>
    <w:p w14:paraId="4375CF95" w14:textId="77777777" w:rsidR="004C05C6" w:rsidRPr="0080532C" w:rsidRDefault="004C05C6" w:rsidP="004C05C6">
      <w:pPr>
        <w:widowControl/>
        <w:numPr>
          <w:ilvl w:val="1"/>
          <w:numId w:val="17"/>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Consultation with the hospital's infectious disease team or access to local antibiogram data can aid in selecting appropriate antibiotics.</w:t>
      </w:r>
    </w:p>
    <w:p w14:paraId="19A95A4D" w14:textId="77777777" w:rsidR="004C05C6" w:rsidRPr="0080532C" w:rsidRDefault="004C05C6" w:rsidP="004C05C6">
      <w:pPr>
        <w:widowControl/>
        <w:numPr>
          <w:ilvl w:val="0"/>
          <w:numId w:val="17"/>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Adjustments Based on Culture Results:</w:t>
      </w:r>
    </w:p>
    <w:p w14:paraId="10FA0747" w14:textId="77777777" w:rsidR="004C05C6" w:rsidRPr="0080532C" w:rsidRDefault="004C05C6" w:rsidP="004C05C6">
      <w:pPr>
        <w:widowControl/>
        <w:numPr>
          <w:ilvl w:val="1"/>
          <w:numId w:val="17"/>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Once culture results become available, the antimicrobial regimen may be adjusted based on the specific pathogens identified and their susceptibility to antibiotics.</w:t>
      </w:r>
    </w:p>
    <w:p w14:paraId="62F5F752" w14:textId="77777777" w:rsidR="004C05C6" w:rsidRPr="0080532C" w:rsidRDefault="004C05C6" w:rsidP="004C05C6">
      <w:pPr>
        <w:widowControl/>
        <w:numPr>
          <w:ilvl w:val="1"/>
          <w:numId w:val="17"/>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De-escalation to a more targeted antibiotic regimen is preferred to minimize the development of antibiotic resistance.</w:t>
      </w:r>
    </w:p>
    <w:p w14:paraId="111DFE67" w14:textId="77777777" w:rsidR="004C05C6" w:rsidRPr="0080532C" w:rsidRDefault="004C05C6" w:rsidP="004C05C6">
      <w:pPr>
        <w:widowControl/>
        <w:numPr>
          <w:ilvl w:val="0"/>
          <w:numId w:val="17"/>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Duration of Therapy:</w:t>
      </w:r>
    </w:p>
    <w:p w14:paraId="46B56153" w14:textId="77777777" w:rsidR="004C05C6" w:rsidRPr="0080532C" w:rsidRDefault="004C05C6" w:rsidP="004C05C6">
      <w:pPr>
        <w:widowControl/>
        <w:numPr>
          <w:ilvl w:val="1"/>
          <w:numId w:val="17"/>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The duration of antimicrobial therapy is often guided by clinical response and resolution of infection. Prolonged courses may be necessary in the setting of persistent infection or infected pancreatic necrosis.</w:t>
      </w:r>
    </w:p>
    <w:p w14:paraId="376397ED" w14:textId="77777777" w:rsidR="004C05C6" w:rsidRPr="0080532C" w:rsidRDefault="004C05C6" w:rsidP="004C05C6">
      <w:pPr>
        <w:widowControl/>
        <w:numPr>
          <w:ilvl w:val="0"/>
          <w:numId w:val="17"/>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Consideration of Patient Factors:</w:t>
      </w:r>
    </w:p>
    <w:p w14:paraId="02C832B9" w14:textId="77777777" w:rsidR="004C05C6" w:rsidRPr="0080532C" w:rsidRDefault="004C05C6" w:rsidP="004C05C6">
      <w:pPr>
        <w:widowControl/>
        <w:numPr>
          <w:ilvl w:val="1"/>
          <w:numId w:val="17"/>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Individual patient factors, such as allergies, renal function, and comorbidities, should be considered when selecting and dosing antibiotics.</w:t>
      </w:r>
    </w:p>
    <w:p w14:paraId="554E8B98" w14:textId="77777777" w:rsidR="004C05C6" w:rsidRPr="0080532C" w:rsidRDefault="004C05C6" w:rsidP="004C05C6">
      <w:pPr>
        <w:widowControl/>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It's crucial to note that routine prophylactic antibiotic use in the absence of infection is generally not recommended. The decision to initiate antimicrobial therapy should be based on clear indications, such as clinical signs of infection, imaging evidence, or positive microbiological cultures.</w:t>
      </w:r>
    </w:p>
    <w:p w14:paraId="414E1C64" w14:textId="77777777" w:rsidR="004C05C6" w:rsidRPr="0080532C" w:rsidRDefault="004C05C6" w:rsidP="004C05C6">
      <w:pPr>
        <w:widowControl/>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Healthcare providers should stay updated on the latest guidelines and consult with infectious disease specialists to optimize the choice and duration of antimicrobial therapy in severe acute pancreatitis. Regular reassessment of the patient's clinical condition and adjustments to the antimicrobial regimen based on culture results are essential components of effective management.</w:t>
      </w:r>
    </w:p>
    <w:p w14:paraId="3C810AC5" w14:textId="19F6C5F1" w:rsidR="004C05C6" w:rsidRPr="0080532C" w:rsidRDefault="004C05C6" w:rsidP="004C05C6">
      <w:pPr>
        <w:widowControl/>
        <w:jc w:val="left"/>
        <w:rPr>
          <w:rFonts w:ascii="Times New Roman" w:eastAsia="宋体" w:hAnsi="Times New Roman" w:cs="Times New Roman"/>
          <w:b/>
          <w:bCs/>
          <w:kern w:val="0"/>
          <w:szCs w:val="21"/>
          <w14:ligatures w14:val="none"/>
        </w:rPr>
      </w:pPr>
      <w:r w:rsidRPr="0080532C">
        <w:rPr>
          <w:rFonts w:ascii="Times New Roman" w:hAnsi="Times New Roman" w:cs="Times New Roman"/>
          <w:b/>
          <w:bCs/>
          <w:szCs w:val="21"/>
        </w:rPr>
        <w:t>1</w:t>
      </w:r>
      <w:r w:rsidR="00A524E3">
        <w:rPr>
          <w:rFonts w:ascii="Times New Roman" w:hAnsi="Times New Roman" w:cs="Times New Roman"/>
          <w:b/>
          <w:bCs/>
          <w:szCs w:val="21"/>
        </w:rPr>
        <w:t>4</w:t>
      </w:r>
      <w:r w:rsidRPr="0080532C">
        <w:rPr>
          <w:rFonts w:ascii="Times New Roman" w:hAnsi="Times New Roman" w:cs="Times New Roman"/>
          <w:b/>
          <w:bCs/>
          <w:szCs w:val="21"/>
        </w:rPr>
        <w:t>、</w:t>
      </w:r>
      <w:r w:rsidRPr="0080532C">
        <w:rPr>
          <w:rFonts w:ascii="Times New Roman" w:eastAsia="宋体" w:hAnsi="Times New Roman" w:cs="Times New Roman"/>
          <w:b/>
          <w:bCs/>
          <w:kern w:val="0"/>
          <w:szCs w:val="21"/>
          <w14:ligatures w14:val="none"/>
        </w:rPr>
        <w:t xml:space="preserve">For severe acute </w:t>
      </w:r>
      <w:proofErr w:type="spellStart"/>
      <w:r w:rsidRPr="0080532C">
        <w:rPr>
          <w:rFonts w:ascii="Times New Roman" w:eastAsia="宋体" w:hAnsi="Times New Roman" w:cs="Times New Roman"/>
          <w:b/>
          <w:bCs/>
          <w:kern w:val="0"/>
          <w:szCs w:val="21"/>
          <w14:ligatures w14:val="none"/>
        </w:rPr>
        <w:t>pancreatitis,which</w:t>
      </w:r>
      <w:proofErr w:type="spellEnd"/>
      <w:r w:rsidRPr="0080532C">
        <w:rPr>
          <w:rFonts w:ascii="Times New Roman" w:eastAsia="宋体" w:hAnsi="Times New Roman" w:cs="Times New Roman"/>
          <w:b/>
          <w:bCs/>
          <w:kern w:val="0"/>
          <w:szCs w:val="21"/>
          <w14:ligatures w14:val="none"/>
        </w:rPr>
        <w:t xml:space="preserve"> are the indications for intensive care unit (ICU) admission?</w:t>
      </w:r>
    </w:p>
    <w:p w14:paraId="3D86E934" w14:textId="77777777" w:rsidR="004C05C6" w:rsidRPr="0080532C" w:rsidRDefault="004C05C6" w:rsidP="004C05C6">
      <w:pPr>
        <w:widowControl/>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The decision to admit a patient with severe acute pancreatitis (SAP) to the intensive care unit (ICU) is based on several factors related to the severity of the disease and the patient's clinical condition. Indications for ICU admission in severe acute pancreatitis may include:</w:t>
      </w:r>
    </w:p>
    <w:p w14:paraId="7BAD4E39" w14:textId="77777777" w:rsidR="004C05C6" w:rsidRPr="0080532C" w:rsidRDefault="004C05C6" w:rsidP="004C05C6">
      <w:pPr>
        <w:widowControl/>
        <w:numPr>
          <w:ilvl w:val="0"/>
          <w:numId w:val="18"/>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Organ Failure:</w:t>
      </w:r>
    </w:p>
    <w:p w14:paraId="429ED4D9" w14:textId="77777777" w:rsidR="004C05C6" w:rsidRPr="0080532C" w:rsidRDefault="004C05C6" w:rsidP="004C05C6">
      <w:pPr>
        <w:widowControl/>
        <w:numPr>
          <w:ilvl w:val="1"/>
          <w:numId w:val="18"/>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Presence of persistent or worsening organ failure is a strong indication for ICU admission.</w:t>
      </w:r>
    </w:p>
    <w:p w14:paraId="62585149" w14:textId="77777777" w:rsidR="004C05C6" w:rsidRPr="0080532C" w:rsidRDefault="004C05C6" w:rsidP="004C05C6">
      <w:pPr>
        <w:widowControl/>
        <w:numPr>
          <w:ilvl w:val="1"/>
          <w:numId w:val="18"/>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lastRenderedPageBreak/>
        <w:t>Organ failure can involve multiple systems, including respiratory failure, cardiovascular instability, renal failure, or gastrointestinal dysfunction.</w:t>
      </w:r>
    </w:p>
    <w:p w14:paraId="71335028" w14:textId="77777777" w:rsidR="004C05C6" w:rsidRPr="0080532C" w:rsidRDefault="004C05C6" w:rsidP="004C05C6">
      <w:pPr>
        <w:widowControl/>
        <w:numPr>
          <w:ilvl w:val="0"/>
          <w:numId w:val="18"/>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Hemodynamic Instability:</w:t>
      </w:r>
    </w:p>
    <w:p w14:paraId="58970B49" w14:textId="77777777" w:rsidR="004C05C6" w:rsidRPr="0080532C" w:rsidRDefault="004C05C6" w:rsidP="004C05C6">
      <w:pPr>
        <w:widowControl/>
        <w:numPr>
          <w:ilvl w:val="1"/>
          <w:numId w:val="18"/>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Hemodynamic instability, such as hypotension or shock, may necessitate ICU admission for close monitoring and intervention.</w:t>
      </w:r>
    </w:p>
    <w:p w14:paraId="3598D9FE" w14:textId="77777777" w:rsidR="004C05C6" w:rsidRPr="0080532C" w:rsidRDefault="004C05C6" w:rsidP="004C05C6">
      <w:pPr>
        <w:widowControl/>
        <w:numPr>
          <w:ilvl w:val="0"/>
          <w:numId w:val="18"/>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Severe Respiratory Compromise:</w:t>
      </w:r>
    </w:p>
    <w:p w14:paraId="43EFC362" w14:textId="77777777" w:rsidR="004C05C6" w:rsidRPr="0080532C" w:rsidRDefault="004C05C6" w:rsidP="004C05C6">
      <w:pPr>
        <w:widowControl/>
        <w:numPr>
          <w:ilvl w:val="1"/>
          <w:numId w:val="18"/>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Patients with severe acute pancreatitis who develop respiratory failure or acute respiratory distress syndrome (ARDS) may require ICU care for advanced respiratory support and monitoring.</w:t>
      </w:r>
    </w:p>
    <w:p w14:paraId="602765D5" w14:textId="77777777" w:rsidR="004C05C6" w:rsidRPr="0080532C" w:rsidRDefault="004C05C6" w:rsidP="004C05C6">
      <w:pPr>
        <w:widowControl/>
        <w:numPr>
          <w:ilvl w:val="0"/>
          <w:numId w:val="18"/>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Severe Metabolic Disturbances:</w:t>
      </w:r>
    </w:p>
    <w:p w14:paraId="627A9769" w14:textId="77777777" w:rsidR="004C05C6" w:rsidRPr="0080532C" w:rsidRDefault="004C05C6" w:rsidP="004C05C6">
      <w:pPr>
        <w:widowControl/>
        <w:numPr>
          <w:ilvl w:val="1"/>
          <w:numId w:val="18"/>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Profound metabolic disturbances, such as significant electrolyte imbalances, acid-base disorders, or severe hyperglycemia, may warrant ICU admission.</w:t>
      </w:r>
    </w:p>
    <w:p w14:paraId="140F7ABA" w14:textId="77777777" w:rsidR="004C05C6" w:rsidRPr="0080532C" w:rsidRDefault="004C05C6" w:rsidP="004C05C6">
      <w:pPr>
        <w:widowControl/>
        <w:numPr>
          <w:ilvl w:val="0"/>
          <w:numId w:val="18"/>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Severe Pain or Agitation:</w:t>
      </w:r>
    </w:p>
    <w:p w14:paraId="30E3F468" w14:textId="77777777" w:rsidR="004C05C6" w:rsidRPr="0080532C" w:rsidRDefault="004C05C6" w:rsidP="004C05C6">
      <w:pPr>
        <w:widowControl/>
        <w:numPr>
          <w:ilvl w:val="1"/>
          <w:numId w:val="18"/>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In cases where pain management is challenging or if there is severe agitation or delirium, ICU admission may be considered for specialized care.</w:t>
      </w:r>
    </w:p>
    <w:p w14:paraId="34241485" w14:textId="77777777" w:rsidR="004C05C6" w:rsidRPr="0080532C" w:rsidRDefault="004C05C6" w:rsidP="004C05C6">
      <w:pPr>
        <w:widowControl/>
        <w:numPr>
          <w:ilvl w:val="0"/>
          <w:numId w:val="18"/>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Hematologic Complications:</w:t>
      </w:r>
    </w:p>
    <w:p w14:paraId="67340AE1" w14:textId="77777777" w:rsidR="004C05C6" w:rsidRPr="0080532C" w:rsidRDefault="004C05C6" w:rsidP="004C05C6">
      <w:pPr>
        <w:widowControl/>
        <w:numPr>
          <w:ilvl w:val="1"/>
          <w:numId w:val="18"/>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Coagulopathy, thrombocytopenia, or other hematologic complications may necessitate close monitoring and specialized care in the ICU.</w:t>
      </w:r>
    </w:p>
    <w:p w14:paraId="52924E67" w14:textId="77777777" w:rsidR="004C05C6" w:rsidRPr="0080532C" w:rsidRDefault="004C05C6" w:rsidP="004C05C6">
      <w:pPr>
        <w:widowControl/>
        <w:numPr>
          <w:ilvl w:val="0"/>
          <w:numId w:val="18"/>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Complications Requiring Intervention:</w:t>
      </w:r>
    </w:p>
    <w:p w14:paraId="51D69823" w14:textId="77777777" w:rsidR="004C05C6" w:rsidRPr="0080532C" w:rsidRDefault="004C05C6" w:rsidP="004C05C6">
      <w:pPr>
        <w:widowControl/>
        <w:numPr>
          <w:ilvl w:val="1"/>
          <w:numId w:val="18"/>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The presence of complications such as infected pancreatic necrosis, gastrointestinal bleeding, or other conditions requiring invasive interventions may warrant ICU admission.</w:t>
      </w:r>
    </w:p>
    <w:p w14:paraId="309764F0" w14:textId="77777777" w:rsidR="004C05C6" w:rsidRPr="0080532C" w:rsidRDefault="004C05C6" w:rsidP="004C05C6">
      <w:pPr>
        <w:widowControl/>
        <w:numPr>
          <w:ilvl w:val="0"/>
          <w:numId w:val="18"/>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Nutritional Support Challenges:</w:t>
      </w:r>
    </w:p>
    <w:p w14:paraId="3B080615" w14:textId="77777777" w:rsidR="004C05C6" w:rsidRPr="0080532C" w:rsidRDefault="004C05C6" w:rsidP="004C05C6">
      <w:pPr>
        <w:widowControl/>
        <w:numPr>
          <w:ilvl w:val="1"/>
          <w:numId w:val="18"/>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If there are challenges in providing adequate nutritional support, especially in cases of severe malnutrition or difficulty with enteral nutrition, ICU admission may be considered.</w:t>
      </w:r>
    </w:p>
    <w:p w14:paraId="3DDE24A0" w14:textId="77777777" w:rsidR="004C05C6" w:rsidRPr="0080532C" w:rsidRDefault="004C05C6" w:rsidP="004C05C6">
      <w:pPr>
        <w:widowControl/>
        <w:numPr>
          <w:ilvl w:val="0"/>
          <w:numId w:val="18"/>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Unstable Clinical Course:</w:t>
      </w:r>
    </w:p>
    <w:p w14:paraId="0E2FF588" w14:textId="77777777" w:rsidR="004C05C6" w:rsidRPr="0080532C" w:rsidRDefault="004C05C6" w:rsidP="004C05C6">
      <w:pPr>
        <w:widowControl/>
        <w:numPr>
          <w:ilvl w:val="1"/>
          <w:numId w:val="18"/>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Patients with a rapidly deteriorating or unstable clinical course may benefit from the advanced monitoring and interventions available in the ICU.</w:t>
      </w:r>
    </w:p>
    <w:p w14:paraId="60EB08FE" w14:textId="77777777" w:rsidR="004C05C6" w:rsidRPr="0080532C" w:rsidRDefault="004C05C6" w:rsidP="004C05C6">
      <w:pPr>
        <w:widowControl/>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The decision to admit a patient to the ICU is often made on a case-by-case basis, considering the overall clinical picture, the presence of complications, and the potential need for advanced life support measures. Timely and appropriate ICU admission is crucial for optimizing the management of severe acute pancreatitis and improving patient outcomes.</w:t>
      </w:r>
    </w:p>
    <w:p w14:paraId="33C4E705" w14:textId="77777777" w:rsidR="004C05C6" w:rsidRPr="0080532C" w:rsidRDefault="004C05C6" w:rsidP="004C05C6">
      <w:pPr>
        <w:widowControl/>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 xml:space="preserve">It's important to note that the severity of acute pancreatitis is often assessed using scoring systems such as the Revised Atlanta Classification, which </w:t>
      </w:r>
      <w:proofErr w:type="gramStart"/>
      <w:r w:rsidRPr="0080532C">
        <w:rPr>
          <w:rFonts w:ascii="Times New Roman" w:eastAsia="宋体" w:hAnsi="Times New Roman" w:cs="Times New Roman"/>
          <w:kern w:val="0"/>
          <w:szCs w:val="21"/>
          <w14:ligatures w14:val="none"/>
        </w:rPr>
        <w:t>takes into account</w:t>
      </w:r>
      <w:proofErr w:type="gramEnd"/>
      <w:r w:rsidRPr="0080532C">
        <w:rPr>
          <w:rFonts w:ascii="Times New Roman" w:eastAsia="宋体" w:hAnsi="Times New Roman" w:cs="Times New Roman"/>
          <w:kern w:val="0"/>
          <w:szCs w:val="21"/>
          <w14:ligatures w14:val="none"/>
        </w:rPr>
        <w:t xml:space="preserve"> clinical, radiologic, and biochemical parameters. These scoring systems help guide the decision-making process regarding the level of care and intensity of monitoring required for each patient.</w:t>
      </w:r>
    </w:p>
    <w:p w14:paraId="4806F179" w14:textId="4701A3BA" w:rsidR="00512105" w:rsidRPr="0080532C" w:rsidRDefault="004C05C6" w:rsidP="00512105">
      <w:pPr>
        <w:widowControl/>
        <w:jc w:val="left"/>
        <w:rPr>
          <w:rFonts w:ascii="Times New Roman" w:eastAsia="宋体" w:hAnsi="Times New Roman" w:cs="Times New Roman"/>
          <w:b/>
          <w:bCs/>
          <w:kern w:val="0"/>
          <w:szCs w:val="21"/>
          <w14:ligatures w14:val="none"/>
        </w:rPr>
      </w:pPr>
      <w:r w:rsidRPr="0080532C">
        <w:rPr>
          <w:rFonts w:ascii="Times New Roman" w:hAnsi="Times New Roman" w:cs="Times New Roman"/>
          <w:b/>
          <w:bCs/>
          <w:szCs w:val="21"/>
        </w:rPr>
        <w:t>1</w:t>
      </w:r>
      <w:r w:rsidR="00A524E3">
        <w:rPr>
          <w:rFonts w:ascii="Times New Roman" w:hAnsi="Times New Roman" w:cs="Times New Roman"/>
          <w:b/>
          <w:bCs/>
          <w:szCs w:val="21"/>
        </w:rPr>
        <w:t>5</w:t>
      </w:r>
      <w:r w:rsidRPr="0080532C">
        <w:rPr>
          <w:rFonts w:ascii="Times New Roman" w:hAnsi="Times New Roman" w:cs="Times New Roman"/>
          <w:b/>
          <w:bCs/>
          <w:szCs w:val="21"/>
        </w:rPr>
        <w:t>、</w:t>
      </w:r>
      <w:r w:rsidR="00512105" w:rsidRPr="0080532C">
        <w:rPr>
          <w:rFonts w:ascii="Times New Roman" w:eastAsia="宋体" w:hAnsi="Times New Roman" w:cs="Times New Roman"/>
          <w:b/>
          <w:bCs/>
          <w:kern w:val="0"/>
          <w:szCs w:val="21"/>
          <w14:ligatures w14:val="none"/>
        </w:rPr>
        <w:t>When is fluid resuscitation necessary for severe acute pancreatitis?</w:t>
      </w:r>
    </w:p>
    <w:p w14:paraId="4D6A8054" w14:textId="77777777" w:rsidR="00512105" w:rsidRPr="0080532C" w:rsidRDefault="00512105" w:rsidP="00512105">
      <w:pPr>
        <w:widowControl/>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 xml:space="preserve">Fluid resuscitation is necessary for patients with severe acute pancreatitis when they exhibit signs of hypovolemia or inadequate tissue perfusion. These signs may include low blood pressure, decreased urine output, rapid heartbeat, or signs of organ dysfunction. In general, patients with severe acute pancreatitis should receive early aggressive fluid resuscitation to maintain hemodynamic stability and prevent complications such as acute kidney injury or organ failure. The specific fluid resuscitation regimen may vary depending on the patient's condition and </w:t>
      </w:r>
      <w:r w:rsidRPr="0080532C">
        <w:rPr>
          <w:rFonts w:ascii="Times New Roman" w:eastAsia="宋体" w:hAnsi="Times New Roman" w:cs="Times New Roman"/>
          <w:kern w:val="0"/>
          <w:szCs w:val="21"/>
          <w14:ligatures w14:val="none"/>
        </w:rPr>
        <w:lastRenderedPageBreak/>
        <w:t>individual factors, and it is typically managed by a healthcare professional with expertise in critical care or pancreatic disorders.</w:t>
      </w:r>
    </w:p>
    <w:p w14:paraId="558916FC" w14:textId="09C9FA66" w:rsidR="004C05C6" w:rsidRPr="0080532C" w:rsidRDefault="004C05C6" w:rsidP="00512105">
      <w:pPr>
        <w:widowControl/>
        <w:jc w:val="left"/>
        <w:rPr>
          <w:rFonts w:ascii="Times New Roman" w:eastAsia="宋体" w:hAnsi="Times New Roman" w:cs="Times New Roman"/>
          <w:kern w:val="0"/>
          <w:szCs w:val="21"/>
          <w14:ligatures w14:val="none"/>
        </w:rPr>
      </w:pPr>
    </w:p>
    <w:p w14:paraId="06C6D62C" w14:textId="1465BBB2" w:rsidR="00CC7931" w:rsidRPr="0080532C" w:rsidRDefault="00512105" w:rsidP="00CC7931">
      <w:pPr>
        <w:widowControl/>
        <w:jc w:val="left"/>
        <w:rPr>
          <w:rFonts w:ascii="Times New Roman" w:eastAsia="宋体" w:hAnsi="Times New Roman" w:cs="Times New Roman"/>
          <w:b/>
          <w:bCs/>
          <w:kern w:val="0"/>
          <w:szCs w:val="21"/>
          <w14:ligatures w14:val="none"/>
        </w:rPr>
      </w:pPr>
      <w:r w:rsidRPr="0080532C">
        <w:rPr>
          <w:rFonts w:ascii="Times New Roman" w:eastAsia="宋体" w:hAnsi="Times New Roman" w:cs="Times New Roman"/>
          <w:b/>
          <w:bCs/>
          <w:kern w:val="0"/>
          <w:szCs w:val="21"/>
          <w14:ligatures w14:val="none"/>
        </w:rPr>
        <w:t>1</w:t>
      </w:r>
      <w:r w:rsidR="00A524E3">
        <w:rPr>
          <w:rFonts w:ascii="Times New Roman" w:eastAsia="宋体" w:hAnsi="Times New Roman" w:cs="Times New Roman"/>
          <w:b/>
          <w:bCs/>
          <w:kern w:val="0"/>
          <w:szCs w:val="21"/>
          <w14:ligatures w14:val="none"/>
        </w:rPr>
        <w:t>6</w:t>
      </w:r>
      <w:r w:rsidRPr="0080532C">
        <w:rPr>
          <w:rFonts w:ascii="Times New Roman" w:eastAsia="宋体" w:hAnsi="Times New Roman" w:cs="Times New Roman"/>
          <w:b/>
          <w:bCs/>
          <w:kern w:val="0"/>
          <w:szCs w:val="21"/>
          <w14:ligatures w14:val="none"/>
        </w:rPr>
        <w:t>、</w:t>
      </w:r>
      <w:r w:rsidR="00CC7931" w:rsidRPr="0080532C">
        <w:rPr>
          <w:rFonts w:ascii="Times New Roman" w:eastAsia="宋体" w:hAnsi="Times New Roman" w:cs="Times New Roman"/>
          <w:b/>
          <w:bCs/>
          <w:kern w:val="0"/>
          <w:szCs w:val="21"/>
          <w14:ligatures w14:val="none"/>
        </w:rPr>
        <w:t>What is the preferred fluid resuscitation for severe acute pancreatitis?</w:t>
      </w:r>
    </w:p>
    <w:p w14:paraId="15131C6B" w14:textId="77777777" w:rsidR="00CC7931" w:rsidRPr="0080532C" w:rsidRDefault="00CC7931" w:rsidP="00CC7931">
      <w:pPr>
        <w:widowControl/>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The preferred fluid resuscitation for severe acute pancreatitis is typically crystalloid fluids, such as isotonic saline (0.9% sodium chloride) or lactated Ringer's solution. These fluids are readily available, inexpensive, and can help restore intravascular volume and correct any electrolyte imbalances.</w:t>
      </w:r>
    </w:p>
    <w:p w14:paraId="193604D3" w14:textId="77777777" w:rsidR="00CC7931" w:rsidRPr="0080532C" w:rsidRDefault="00CC7931" w:rsidP="00CC7931">
      <w:pPr>
        <w:widowControl/>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 xml:space="preserve">The type and </w:t>
      </w:r>
      <w:proofErr w:type="gramStart"/>
      <w:r w:rsidRPr="0080532C">
        <w:rPr>
          <w:rFonts w:ascii="Times New Roman" w:eastAsia="宋体" w:hAnsi="Times New Roman" w:cs="Times New Roman"/>
          <w:kern w:val="0"/>
          <w:szCs w:val="21"/>
          <w14:ligatures w14:val="none"/>
        </w:rPr>
        <w:t>amount</w:t>
      </w:r>
      <w:proofErr w:type="gramEnd"/>
      <w:r w:rsidRPr="0080532C">
        <w:rPr>
          <w:rFonts w:ascii="Times New Roman" w:eastAsia="宋体" w:hAnsi="Times New Roman" w:cs="Times New Roman"/>
          <w:kern w:val="0"/>
          <w:szCs w:val="21"/>
          <w14:ligatures w14:val="none"/>
        </w:rPr>
        <w:t xml:space="preserve"> of fluids used may vary depending on the patient's specific needs and clinical state. Some studies suggest that aggressive fluid resuscitation with larger volumes (e.g., 250-500 mL/hour) during the first 24-48 hours of severe acute pancreatitis can help improve outcomes by supporting tissue perfusion and preventing complications. However, it is important to monitor the patient's response to fluid therapy closely, as excess fluid administration can lead to fluid overload and other complications.</w:t>
      </w:r>
    </w:p>
    <w:p w14:paraId="4863BEDC" w14:textId="77777777" w:rsidR="00CC7931" w:rsidRPr="0080532C" w:rsidRDefault="00CC7931" w:rsidP="00CC7931">
      <w:pPr>
        <w:widowControl/>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 xml:space="preserve">Decisions regarding fluid resuscitation regimen should be made by a healthcare professional experienced in managing severe acute pancreatitis, </w:t>
      </w:r>
      <w:proofErr w:type="gramStart"/>
      <w:r w:rsidRPr="0080532C">
        <w:rPr>
          <w:rFonts w:ascii="Times New Roman" w:eastAsia="宋体" w:hAnsi="Times New Roman" w:cs="Times New Roman"/>
          <w:kern w:val="0"/>
          <w:szCs w:val="21"/>
          <w14:ligatures w14:val="none"/>
        </w:rPr>
        <w:t>taking into account</w:t>
      </w:r>
      <w:proofErr w:type="gramEnd"/>
      <w:r w:rsidRPr="0080532C">
        <w:rPr>
          <w:rFonts w:ascii="Times New Roman" w:eastAsia="宋体" w:hAnsi="Times New Roman" w:cs="Times New Roman"/>
          <w:kern w:val="0"/>
          <w:szCs w:val="21"/>
          <w14:ligatures w14:val="none"/>
        </w:rPr>
        <w:t xml:space="preserve"> the patient's clinical status, underlying conditions, and any potential contraindications.</w:t>
      </w:r>
    </w:p>
    <w:p w14:paraId="7737543C" w14:textId="359DDE35" w:rsidR="004C05C6" w:rsidRPr="0080532C" w:rsidRDefault="004C05C6" w:rsidP="004C05C6">
      <w:pPr>
        <w:widowControl/>
        <w:jc w:val="left"/>
        <w:rPr>
          <w:rFonts w:ascii="Times New Roman" w:eastAsia="宋体" w:hAnsi="Times New Roman" w:cs="Times New Roman"/>
          <w:kern w:val="0"/>
          <w:szCs w:val="21"/>
          <w14:ligatures w14:val="none"/>
        </w:rPr>
      </w:pPr>
    </w:p>
    <w:p w14:paraId="34FCE507" w14:textId="736C96CF" w:rsidR="00CC7931" w:rsidRPr="0080532C" w:rsidRDefault="004C05C6" w:rsidP="00CC7931">
      <w:pPr>
        <w:widowControl/>
        <w:jc w:val="left"/>
        <w:rPr>
          <w:rFonts w:ascii="Times New Roman" w:eastAsia="宋体" w:hAnsi="Times New Roman" w:cs="Times New Roman"/>
          <w:b/>
          <w:bCs/>
          <w:kern w:val="0"/>
          <w:szCs w:val="21"/>
          <w14:ligatures w14:val="none"/>
        </w:rPr>
      </w:pPr>
      <w:r w:rsidRPr="0080532C">
        <w:rPr>
          <w:rFonts w:ascii="Times New Roman" w:eastAsia="宋体" w:hAnsi="Times New Roman" w:cs="Times New Roman"/>
          <w:b/>
          <w:bCs/>
          <w:kern w:val="0"/>
          <w:szCs w:val="21"/>
          <w14:ligatures w14:val="none"/>
        </w:rPr>
        <w:t>1</w:t>
      </w:r>
      <w:r w:rsidR="00A524E3">
        <w:rPr>
          <w:rFonts w:ascii="Times New Roman" w:eastAsia="宋体" w:hAnsi="Times New Roman" w:cs="Times New Roman"/>
          <w:b/>
          <w:bCs/>
          <w:kern w:val="0"/>
          <w:szCs w:val="21"/>
          <w14:ligatures w14:val="none"/>
        </w:rPr>
        <w:t>7</w:t>
      </w:r>
      <w:r w:rsidR="00CC7931" w:rsidRPr="0080532C">
        <w:rPr>
          <w:rFonts w:ascii="Times New Roman" w:eastAsia="宋体" w:hAnsi="Times New Roman" w:cs="Times New Roman"/>
          <w:b/>
          <w:bCs/>
          <w:kern w:val="0"/>
          <w:szCs w:val="21"/>
          <w14:ligatures w14:val="none"/>
        </w:rPr>
        <w:t>、</w:t>
      </w:r>
      <w:r w:rsidR="00CC7931" w:rsidRPr="0080532C">
        <w:rPr>
          <w:rFonts w:ascii="Times New Roman" w:eastAsia="宋体" w:hAnsi="Times New Roman" w:cs="Times New Roman"/>
          <w:b/>
          <w:bCs/>
          <w:kern w:val="0"/>
          <w:szCs w:val="21"/>
          <w14:ligatures w14:val="none"/>
        </w:rPr>
        <w:t>For severe acute pancreatitis,</w:t>
      </w:r>
      <w:r w:rsidR="00D8039F" w:rsidRPr="0080532C">
        <w:rPr>
          <w:rFonts w:ascii="Times New Roman" w:eastAsia="宋体" w:hAnsi="Times New Roman" w:cs="Times New Roman"/>
          <w:b/>
          <w:bCs/>
          <w:kern w:val="0"/>
          <w:szCs w:val="21"/>
          <w14:ligatures w14:val="none"/>
        </w:rPr>
        <w:t xml:space="preserve"> </w:t>
      </w:r>
      <w:r w:rsidR="00CC7931" w:rsidRPr="0080532C">
        <w:rPr>
          <w:rFonts w:ascii="Times New Roman" w:eastAsia="宋体" w:hAnsi="Times New Roman" w:cs="Times New Roman"/>
          <w:b/>
          <w:bCs/>
          <w:kern w:val="0"/>
          <w:szCs w:val="21"/>
          <w14:ligatures w14:val="none"/>
        </w:rPr>
        <w:t>what is the optimal fluid infusion rate</w:t>
      </w:r>
      <w:r w:rsidR="00CC7931" w:rsidRPr="0080532C">
        <w:rPr>
          <w:rFonts w:ascii="Times New Roman" w:eastAsia="宋体" w:hAnsi="Times New Roman" w:cs="Times New Roman"/>
          <w:b/>
          <w:bCs/>
          <w:kern w:val="0"/>
          <w:szCs w:val="21"/>
          <w14:ligatures w14:val="none"/>
        </w:rPr>
        <w:t>？</w:t>
      </w:r>
    </w:p>
    <w:p w14:paraId="64EB1D39" w14:textId="77777777" w:rsidR="00CC7931" w:rsidRPr="0080532C" w:rsidRDefault="00CC7931" w:rsidP="00CC7931">
      <w:pPr>
        <w:widowControl/>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The optimal fluid infusion rate for severe acute pancreatitis can vary based on the patient's individual condition, the presence of complications, and their response to fluid therapy. However, there are general guidelines and principles often followed in managing fluid resuscitation for severe acute pancreatitis.</w:t>
      </w:r>
    </w:p>
    <w:p w14:paraId="2ACD1230" w14:textId="77777777" w:rsidR="00CC7931" w:rsidRPr="0080532C" w:rsidRDefault="00CC7931" w:rsidP="00CC7931">
      <w:pPr>
        <w:widowControl/>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A common approach involves administering an initial fluid bolus followed by maintenance fluid at a rate that helps maintain adequate tissue perfusion without causing fluid overload. Initial bolus amounts can range from 250 to 500 mL/</w:t>
      </w:r>
      <w:proofErr w:type="spellStart"/>
      <w:r w:rsidRPr="0080532C">
        <w:rPr>
          <w:rFonts w:ascii="Times New Roman" w:eastAsia="宋体" w:hAnsi="Times New Roman" w:cs="Times New Roman"/>
          <w:kern w:val="0"/>
          <w:szCs w:val="21"/>
          <w14:ligatures w14:val="none"/>
        </w:rPr>
        <w:t>hr</w:t>
      </w:r>
      <w:proofErr w:type="spellEnd"/>
      <w:r w:rsidRPr="0080532C">
        <w:rPr>
          <w:rFonts w:ascii="Times New Roman" w:eastAsia="宋体" w:hAnsi="Times New Roman" w:cs="Times New Roman"/>
          <w:kern w:val="0"/>
          <w:szCs w:val="21"/>
          <w14:ligatures w14:val="none"/>
        </w:rPr>
        <w:t xml:space="preserve"> during the first 24-48 hours, aiming to achieve hemodynamic stability and maintain urine output.</w:t>
      </w:r>
    </w:p>
    <w:p w14:paraId="183F864B" w14:textId="77777777" w:rsidR="00CC7931" w:rsidRPr="0080532C" w:rsidRDefault="00CC7931" w:rsidP="00CC7931">
      <w:pPr>
        <w:widowControl/>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There's no universally agreed-upon optimal rate due to variations in patient response and potential risks associated with aggressive fluid administration, such as fluid overload and respiratory issues. Individualized care is crucial, and the fluid infusion rate should be adjusted based on the patient's hemodynamic status, urine output, electrolyte levels, and signs of fluid overload.</w:t>
      </w:r>
    </w:p>
    <w:p w14:paraId="580FB054" w14:textId="77777777" w:rsidR="00CC7931" w:rsidRPr="0080532C" w:rsidRDefault="00CC7931" w:rsidP="00CC7931">
      <w:pPr>
        <w:widowControl/>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Monitoring the patient's response to fluid therapy is key, and adjustments may be made accordingly. This personalized approach is typically managed by healthcare professionals experienced in critical care or pancreatic disorders.</w:t>
      </w:r>
    </w:p>
    <w:p w14:paraId="6CEC727C" w14:textId="77777777" w:rsidR="00CC7931" w:rsidRPr="0080532C" w:rsidRDefault="00CC7931" w:rsidP="00CC7931">
      <w:pPr>
        <w:widowControl/>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Ultimately, the optimal fluid infusion rate should prioritize maintaining adequate tissue perfusion while avoiding complications related to fluid overload, and it's best determined through ongoing assessment and adjustment based on the patient's specific needs and response.</w:t>
      </w:r>
    </w:p>
    <w:p w14:paraId="157216D3" w14:textId="36E942D3" w:rsidR="00CC7931" w:rsidRPr="0080532C" w:rsidRDefault="00CC7931" w:rsidP="00CC7931">
      <w:pPr>
        <w:widowControl/>
        <w:jc w:val="left"/>
        <w:rPr>
          <w:rFonts w:ascii="Times New Roman" w:eastAsia="宋体" w:hAnsi="Times New Roman" w:cs="Times New Roman"/>
          <w:b/>
          <w:bCs/>
          <w:kern w:val="0"/>
          <w:szCs w:val="21"/>
          <w14:ligatures w14:val="none"/>
        </w:rPr>
      </w:pPr>
      <w:r w:rsidRPr="0080532C">
        <w:rPr>
          <w:rFonts w:ascii="Times New Roman" w:eastAsia="宋体" w:hAnsi="Times New Roman" w:cs="Times New Roman"/>
          <w:b/>
          <w:bCs/>
          <w:kern w:val="0"/>
          <w:szCs w:val="21"/>
          <w14:ligatures w14:val="none"/>
        </w:rPr>
        <w:t>1</w:t>
      </w:r>
      <w:r w:rsidR="00A524E3">
        <w:rPr>
          <w:rFonts w:ascii="Times New Roman" w:eastAsia="宋体" w:hAnsi="Times New Roman" w:cs="Times New Roman"/>
          <w:b/>
          <w:bCs/>
          <w:kern w:val="0"/>
          <w:szCs w:val="21"/>
          <w14:ligatures w14:val="none"/>
        </w:rPr>
        <w:t>8</w:t>
      </w:r>
      <w:r w:rsidRPr="0080532C">
        <w:rPr>
          <w:rFonts w:ascii="Times New Roman" w:eastAsia="宋体" w:hAnsi="Times New Roman" w:cs="Times New Roman"/>
          <w:b/>
          <w:bCs/>
          <w:kern w:val="0"/>
          <w:szCs w:val="21"/>
          <w14:ligatures w14:val="none"/>
        </w:rPr>
        <w:t>、</w:t>
      </w:r>
      <w:r w:rsidRPr="0080532C">
        <w:rPr>
          <w:rFonts w:ascii="Times New Roman" w:eastAsia="宋体" w:hAnsi="Times New Roman" w:cs="Times New Roman"/>
          <w:b/>
          <w:bCs/>
          <w:kern w:val="0"/>
          <w:szCs w:val="21"/>
          <w14:ligatures w14:val="none"/>
        </w:rPr>
        <w:t>For severe acute pancreatitis, what is response measurement for initial resuscitation?</w:t>
      </w:r>
    </w:p>
    <w:p w14:paraId="54E26C26" w14:textId="77777777" w:rsidR="00CC7931" w:rsidRPr="0080532C" w:rsidRDefault="00CC7931" w:rsidP="00CC7931">
      <w:pPr>
        <w:widowControl/>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In severe acute pancreatitis, the response to initial resuscitation is typically monitored through various clinical parameters to assess the patient's hemodynamic status, fluid balance, and tissue perfusion. Some of the key measurements and indicators used to evaluate the response to initial resuscitation include:</w:t>
      </w:r>
    </w:p>
    <w:p w14:paraId="0D5BE34C" w14:textId="77777777" w:rsidR="00CC7931" w:rsidRPr="0080532C" w:rsidRDefault="00CC7931" w:rsidP="00CC7931">
      <w:pPr>
        <w:widowControl/>
        <w:numPr>
          <w:ilvl w:val="0"/>
          <w:numId w:val="42"/>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 xml:space="preserve">Hemodynamic parameters: Monitoring blood pressure, heart rate, and central venous pressure (CVP) can provide insights into the patient's hemodynamic status. Improvement </w:t>
      </w:r>
      <w:r w:rsidRPr="0080532C">
        <w:rPr>
          <w:rFonts w:ascii="Times New Roman" w:eastAsia="宋体" w:hAnsi="Times New Roman" w:cs="Times New Roman"/>
          <w:kern w:val="0"/>
          <w:szCs w:val="21"/>
          <w14:ligatures w14:val="none"/>
        </w:rPr>
        <w:lastRenderedPageBreak/>
        <w:t>in blood pressure and heart rate toward normal ranges indicates a positive response to fluid resuscitation.</w:t>
      </w:r>
    </w:p>
    <w:p w14:paraId="192B86E5" w14:textId="77777777" w:rsidR="00CC7931" w:rsidRPr="0080532C" w:rsidRDefault="00CC7931" w:rsidP="00CC7931">
      <w:pPr>
        <w:widowControl/>
        <w:numPr>
          <w:ilvl w:val="0"/>
          <w:numId w:val="42"/>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Urine output: Adequate urine output is an essential indicator of renal perfusion and overall fluid status. Monitoring urine output helps assess kidney function and the effectiveness of fluid resuscitation. A target urine output of around 0.5 to 1 mL/kg/hour is often considered adequate.</w:t>
      </w:r>
    </w:p>
    <w:p w14:paraId="35E2C015" w14:textId="77777777" w:rsidR="00CC7931" w:rsidRPr="0080532C" w:rsidRDefault="00CC7931" w:rsidP="00CC7931">
      <w:pPr>
        <w:widowControl/>
        <w:numPr>
          <w:ilvl w:val="0"/>
          <w:numId w:val="42"/>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Serum lactate levels: Elevated lactate levels may indicate tissue hypoperfusion and inadequate oxygen delivery. Decreasing lactate levels following fluid resuscitation suggest improved tissue perfusion.</w:t>
      </w:r>
    </w:p>
    <w:p w14:paraId="56EFA4A4" w14:textId="77777777" w:rsidR="00CC7931" w:rsidRPr="0080532C" w:rsidRDefault="00CC7931" w:rsidP="00CC7931">
      <w:pPr>
        <w:widowControl/>
        <w:numPr>
          <w:ilvl w:val="0"/>
          <w:numId w:val="42"/>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Clinical assessment: Regular clinical evaluation of the patient's overall condition, including mental status, skin perfusion, capillary refill time, and signs of organ dysfunction, helps in assessing the response to resuscitation.</w:t>
      </w:r>
    </w:p>
    <w:p w14:paraId="428C1E90" w14:textId="77777777" w:rsidR="00CC7931" w:rsidRPr="0080532C" w:rsidRDefault="00CC7931" w:rsidP="00CC7931">
      <w:pPr>
        <w:widowControl/>
        <w:numPr>
          <w:ilvl w:val="0"/>
          <w:numId w:val="42"/>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Laboratory tests: Monitoring electrolyte levels, hematocrit, serum creatinine, and other relevant laboratory parameters can provide valuable information about fluid balance, organ function, and potential complications.</w:t>
      </w:r>
    </w:p>
    <w:p w14:paraId="147D653D" w14:textId="77777777" w:rsidR="00CC7931" w:rsidRPr="0080532C" w:rsidRDefault="00CC7931" w:rsidP="00CC7931">
      <w:pPr>
        <w:widowControl/>
        <w:numPr>
          <w:ilvl w:val="0"/>
          <w:numId w:val="42"/>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Imaging studies: In some cases, imaging studies such as abdominal ultrasound or CT scans may be used to assess pancreatic inflammation, the presence of complications, or changes in fluid collections within the abdomen.</w:t>
      </w:r>
    </w:p>
    <w:p w14:paraId="770630A5" w14:textId="0F67F423" w:rsidR="00CC7931" w:rsidRPr="0080532C" w:rsidRDefault="00CC7931" w:rsidP="004C05C6">
      <w:pPr>
        <w:widowControl/>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Monitoring these parameters allows healthcare providers to assess the patient's response to initial resuscitation and make necessary adjustments to fluid therapy, ensuring adequate perfusion while preventing complications like fluid overload or organ dysfunction. Individualized care and close monitoring are essential in managing severe acute pancreatitis to optimize patient outcomes.</w:t>
      </w:r>
    </w:p>
    <w:p w14:paraId="5CF05612" w14:textId="20698E21" w:rsidR="004F167E" w:rsidRPr="0080532C" w:rsidRDefault="00A524E3" w:rsidP="004F167E">
      <w:pPr>
        <w:widowControl/>
        <w:jc w:val="left"/>
        <w:rPr>
          <w:rFonts w:ascii="Times New Roman" w:eastAsia="宋体" w:hAnsi="Times New Roman" w:cs="Times New Roman"/>
          <w:b/>
          <w:bCs/>
          <w:kern w:val="0"/>
          <w:szCs w:val="21"/>
          <w14:ligatures w14:val="none"/>
        </w:rPr>
      </w:pPr>
      <w:r>
        <w:rPr>
          <w:rFonts w:ascii="Times New Roman" w:hAnsi="Times New Roman" w:cs="Times New Roman"/>
          <w:b/>
          <w:bCs/>
          <w:szCs w:val="21"/>
        </w:rPr>
        <w:t>19</w:t>
      </w:r>
      <w:r w:rsidR="004F167E" w:rsidRPr="0080532C">
        <w:rPr>
          <w:rFonts w:ascii="Times New Roman" w:hAnsi="Times New Roman" w:cs="Times New Roman"/>
          <w:b/>
          <w:bCs/>
          <w:szCs w:val="21"/>
        </w:rPr>
        <w:t>、</w:t>
      </w:r>
      <w:r w:rsidR="004F167E" w:rsidRPr="0080532C">
        <w:rPr>
          <w:rFonts w:ascii="Times New Roman" w:eastAsia="宋体" w:hAnsi="Times New Roman" w:cs="Times New Roman"/>
          <w:b/>
          <w:bCs/>
          <w:kern w:val="0"/>
          <w:szCs w:val="21"/>
          <w14:ligatures w14:val="none"/>
        </w:rPr>
        <w:t>For severe acute pancreatitis,</w:t>
      </w:r>
      <w:r w:rsidR="00D8039F" w:rsidRPr="0080532C">
        <w:rPr>
          <w:rFonts w:ascii="Times New Roman" w:eastAsia="宋体" w:hAnsi="Times New Roman" w:cs="Times New Roman"/>
          <w:b/>
          <w:bCs/>
          <w:kern w:val="0"/>
          <w:szCs w:val="21"/>
          <w14:ligatures w14:val="none"/>
        </w:rPr>
        <w:t xml:space="preserve"> </w:t>
      </w:r>
      <w:r w:rsidR="004F167E" w:rsidRPr="0080532C">
        <w:rPr>
          <w:rFonts w:ascii="Times New Roman" w:eastAsia="宋体" w:hAnsi="Times New Roman" w:cs="Times New Roman"/>
          <w:b/>
          <w:bCs/>
          <w:kern w:val="0"/>
          <w:szCs w:val="21"/>
          <w14:ligatures w14:val="none"/>
        </w:rPr>
        <w:t>what is the preferred pharmacologic approach to persistent shock?</w:t>
      </w:r>
    </w:p>
    <w:p w14:paraId="0B22D3AC" w14:textId="77777777" w:rsidR="004F167E" w:rsidRPr="0080532C" w:rsidRDefault="004F167E" w:rsidP="004F167E">
      <w:pPr>
        <w:widowControl/>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The management of persistent shock in severe acute pancreatitis (SAP) requires a multifaceted approach that addresses the underlying causes while providing supportive care. The pharmacologic approach to persistent shock in SAP involves several key interventions:</w:t>
      </w:r>
    </w:p>
    <w:p w14:paraId="521F2CDF" w14:textId="77777777" w:rsidR="004F167E" w:rsidRPr="0080532C" w:rsidRDefault="004F167E" w:rsidP="004F167E">
      <w:pPr>
        <w:widowControl/>
        <w:numPr>
          <w:ilvl w:val="0"/>
          <w:numId w:val="21"/>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Fluid Resuscitation:</w:t>
      </w:r>
    </w:p>
    <w:p w14:paraId="11095A7B" w14:textId="77777777" w:rsidR="004F167E" w:rsidRPr="0080532C" w:rsidRDefault="004F167E" w:rsidP="004F167E">
      <w:pPr>
        <w:widowControl/>
        <w:numPr>
          <w:ilvl w:val="1"/>
          <w:numId w:val="21"/>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Aggressive fluid resuscitation remains the cornerstone of managing shock in SAP. Intravenous fluids, typically crystalloids like normal saline or balanced solutions, are administered to restore intravascular volume and improve perfusion.</w:t>
      </w:r>
    </w:p>
    <w:p w14:paraId="2EE0D0A4" w14:textId="77777777" w:rsidR="004F167E" w:rsidRPr="0080532C" w:rsidRDefault="004F167E" w:rsidP="004F167E">
      <w:pPr>
        <w:widowControl/>
        <w:numPr>
          <w:ilvl w:val="0"/>
          <w:numId w:val="21"/>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Vasoactive Medications:</w:t>
      </w:r>
    </w:p>
    <w:p w14:paraId="01B0E0A6" w14:textId="77777777" w:rsidR="004F167E" w:rsidRPr="0080532C" w:rsidRDefault="004F167E" w:rsidP="004F167E">
      <w:pPr>
        <w:widowControl/>
        <w:numPr>
          <w:ilvl w:val="1"/>
          <w:numId w:val="21"/>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Vasopressors like norepinephrine are often used as first-line agents to improve blood pressure and tissue perfusion. These medications constrict blood vessels to increase blood pressure.</w:t>
      </w:r>
    </w:p>
    <w:p w14:paraId="79A6F533" w14:textId="77777777" w:rsidR="004F167E" w:rsidRPr="0080532C" w:rsidRDefault="004F167E" w:rsidP="004F167E">
      <w:pPr>
        <w:widowControl/>
        <w:numPr>
          <w:ilvl w:val="0"/>
          <w:numId w:val="21"/>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Inotropic Support:</w:t>
      </w:r>
    </w:p>
    <w:p w14:paraId="1519AEE0" w14:textId="77777777" w:rsidR="004F167E" w:rsidRPr="0080532C" w:rsidRDefault="004F167E" w:rsidP="004F167E">
      <w:pPr>
        <w:widowControl/>
        <w:numPr>
          <w:ilvl w:val="1"/>
          <w:numId w:val="21"/>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Inotropic medications like dobutamine may be considered to enhance heart function and increase cardiac output in cases where myocardial depression is contributing to shock.</w:t>
      </w:r>
    </w:p>
    <w:p w14:paraId="15568FD5" w14:textId="77777777" w:rsidR="004F167E" w:rsidRPr="0080532C" w:rsidRDefault="004F167E" w:rsidP="004F167E">
      <w:pPr>
        <w:widowControl/>
        <w:numPr>
          <w:ilvl w:val="0"/>
          <w:numId w:val="21"/>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Pain Management:</w:t>
      </w:r>
    </w:p>
    <w:p w14:paraId="34D8AAA8" w14:textId="77777777" w:rsidR="004F167E" w:rsidRPr="0080532C" w:rsidRDefault="004F167E" w:rsidP="004F167E">
      <w:pPr>
        <w:widowControl/>
        <w:numPr>
          <w:ilvl w:val="1"/>
          <w:numId w:val="21"/>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Effective pain control is crucial to reduce stress and prevent exacerbation of shock. Opioids are commonly used for pain relief, and their dosages may need adjustment based on the patient's hemodynamic status.</w:t>
      </w:r>
    </w:p>
    <w:p w14:paraId="7717C56C" w14:textId="77777777" w:rsidR="004F167E" w:rsidRPr="0080532C" w:rsidRDefault="004F167E" w:rsidP="004F167E">
      <w:pPr>
        <w:widowControl/>
        <w:numPr>
          <w:ilvl w:val="0"/>
          <w:numId w:val="21"/>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lastRenderedPageBreak/>
        <w:t>Antibiotics:</w:t>
      </w:r>
    </w:p>
    <w:p w14:paraId="65FDAAA1" w14:textId="77777777" w:rsidR="004F167E" w:rsidRPr="0080532C" w:rsidRDefault="004F167E" w:rsidP="004F167E">
      <w:pPr>
        <w:widowControl/>
        <w:numPr>
          <w:ilvl w:val="1"/>
          <w:numId w:val="21"/>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In cases where there is suspected or confirmed infected pancreatic necrosis, broad-spectrum antibiotics are initiated to address potential bacterial infections and prevent further complications.</w:t>
      </w:r>
    </w:p>
    <w:p w14:paraId="4F87DFFE" w14:textId="77777777" w:rsidR="004F167E" w:rsidRPr="0080532C" w:rsidRDefault="004F167E" w:rsidP="004F167E">
      <w:pPr>
        <w:widowControl/>
        <w:numPr>
          <w:ilvl w:val="0"/>
          <w:numId w:val="21"/>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Correction of Coagulopathy:</w:t>
      </w:r>
    </w:p>
    <w:p w14:paraId="2AA8F6A1" w14:textId="77777777" w:rsidR="004F167E" w:rsidRPr="0080532C" w:rsidRDefault="004F167E" w:rsidP="004F167E">
      <w:pPr>
        <w:widowControl/>
        <w:numPr>
          <w:ilvl w:val="1"/>
          <w:numId w:val="21"/>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Coagulopathy, if present, requires correction through appropriate blood component therapy (e.g., fresh frozen plasma, platelets) and vitamin K supplementation.</w:t>
      </w:r>
    </w:p>
    <w:p w14:paraId="2F0A52C9" w14:textId="77777777" w:rsidR="004F167E" w:rsidRPr="0080532C" w:rsidRDefault="004F167E" w:rsidP="004F167E">
      <w:pPr>
        <w:widowControl/>
        <w:numPr>
          <w:ilvl w:val="0"/>
          <w:numId w:val="21"/>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Gastrointestinal Bleeding Management:</w:t>
      </w:r>
    </w:p>
    <w:p w14:paraId="3A16A9C2" w14:textId="77777777" w:rsidR="004F167E" w:rsidRPr="0080532C" w:rsidRDefault="004F167E" w:rsidP="004F167E">
      <w:pPr>
        <w:widowControl/>
        <w:numPr>
          <w:ilvl w:val="1"/>
          <w:numId w:val="21"/>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If shock is related to gastrointestinal bleeding, interventions such as endoscopy or other measures to control bleeding should be considered.</w:t>
      </w:r>
    </w:p>
    <w:p w14:paraId="127B4EEC" w14:textId="77777777" w:rsidR="004F167E" w:rsidRPr="0080532C" w:rsidRDefault="004F167E" w:rsidP="004F167E">
      <w:pPr>
        <w:widowControl/>
        <w:numPr>
          <w:ilvl w:val="0"/>
          <w:numId w:val="21"/>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Consideration of Other Supportive Measures:</w:t>
      </w:r>
    </w:p>
    <w:p w14:paraId="1F8F663D" w14:textId="77777777" w:rsidR="004F167E" w:rsidRPr="0080532C" w:rsidRDefault="004F167E" w:rsidP="004F167E">
      <w:pPr>
        <w:widowControl/>
        <w:numPr>
          <w:ilvl w:val="1"/>
          <w:numId w:val="21"/>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Additional measures, such as renal replacement therapy (e.g., hemodialysis or continuous renal replacement therapy) or respiratory support, may be needed depending on associated organ dysfunction.</w:t>
      </w:r>
    </w:p>
    <w:p w14:paraId="5B51F5F8" w14:textId="77777777" w:rsidR="004F167E" w:rsidRPr="0080532C" w:rsidRDefault="004F167E" w:rsidP="004F167E">
      <w:pPr>
        <w:widowControl/>
        <w:numPr>
          <w:ilvl w:val="0"/>
          <w:numId w:val="21"/>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Multidisciplinary Collaboration:</w:t>
      </w:r>
    </w:p>
    <w:p w14:paraId="725613B1" w14:textId="77777777" w:rsidR="004F167E" w:rsidRPr="0080532C" w:rsidRDefault="004F167E" w:rsidP="004F167E">
      <w:pPr>
        <w:widowControl/>
        <w:numPr>
          <w:ilvl w:val="1"/>
          <w:numId w:val="21"/>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Working closely with a team of critical care specialists, gastroenterologists, surgeons, and other relevant healthcare professionals is essential for comprehensive and coordinated care.</w:t>
      </w:r>
    </w:p>
    <w:p w14:paraId="6B3E5D04" w14:textId="77777777" w:rsidR="004F167E" w:rsidRPr="0080532C" w:rsidRDefault="004F167E" w:rsidP="004F167E">
      <w:pPr>
        <w:widowControl/>
        <w:numPr>
          <w:ilvl w:val="0"/>
          <w:numId w:val="21"/>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Close Monitoring and Reassessment:</w:t>
      </w:r>
    </w:p>
    <w:p w14:paraId="52835C10" w14:textId="77777777" w:rsidR="004F167E" w:rsidRPr="0080532C" w:rsidRDefault="004F167E" w:rsidP="004F167E">
      <w:pPr>
        <w:widowControl/>
        <w:numPr>
          <w:ilvl w:val="0"/>
          <w:numId w:val="22"/>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Regular monitoring of vital signs, laboratory parameters, and the patient's response to treatment is crucial. Adjustments in management should be made based on the patient's evolving clinical condition.</w:t>
      </w:r>
    </w:p>
    <w:p w14:paraId="146FA429" w14:textId="77777777" w:rsidR="004F167E" w:rsidRPr="0080532C" w:rsidRDefault="004F167E" w:rsidP="004F167E">
      <w:pPr>
        <w:widowControl/>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The preferred pharmacologic approach to persistent shock in SAP involves a combination of fluid resuscitation, vasoactive medications, pain management, antibiotic therapy (if indicated), and addressing specific organ dysfunctions. Individualized care, close monitoring, and collaboration among healthcare providers are vital for optimizing outcomes in cases of severe acute pancreatitis complicated by persistent shock.</w:t>
      </w:r>
    </w:p>
    <w:p w14:paraId="1857D478" w14:textId="627F8D1B" w:rsidR="004F167E" w:rsidRPr="0080532C" w:rsidRDefault="00EA4CA7" w:rsidP="004F167E">
      <w:pPr>
        <w:widowControl/>
        <w:jc w:val="left"/>
        <w:rPr>
          <w:rFonts w:ascii="Times New Roman" w:eastAsia="宋体" w:hAnsi="Times New Roman" w:cs="Times New Roman"/>
          <w:b/>
          <w:bCs/>
          <w:kern w:val="0"/>
          <w:szCs w:val="21"/>
          <w14:ligatures w14:val="none"/>
        </w:rPr>
      </w:pPr>
      <w:r w:rsidRPr="0080532C">
        <w:rPr>
          <w:rFonts w:ascii="Times New Roman" w:hAnsi="Times New Roman" w:cs="Times New Roman"/>
          <w:b/>
          <w:bCs/>
          <w:szCs w:val="21"/>
        </w:rPr>
        <w:t>2</w:t>
      </w:r>
      <w:r w:rsidR="00A524E3">
        <w:rPr>
          <w:rFonts w:ascii="Times New Roman" w:hAnsi="Times New Roman" w:cs="Times New Roman"/>
          <w:b/>
          <w:bCs/>
          <w:szCs w:val="21"/>
        </w:rPr>
        <w:t>0</w:t>
      </w:r>
      <w:r w:rsidR="004F167E" w:rsidRPr="0080532C">
        <w:rPr>
          <w:rFonts w:ascii="Times New Roman" w:hAnsi="Times New Roman" w:cs="Times New Roman"/>
          <w:b/>
          <w:bCs/>
          <w:szCs w:val="21"/>
        </w:rPr>
        <w:t>、</w:t>
      </w:r>
      <w:r w:rsidR="004F167E" w:rsidRPr="0080532C">
        <w:rPr>
          <w:rFonts w:ascii="Times New Roman" w:eastAsia="宋体" w:hAnsi="Times New Roman" w:cs="Times New Roman"/>
          <w:b/>
          <w:bCs/>
          <w:kern w:val="0"/>
          <w:szCs w:val="21"/>
          <w14:ligatures w14:val="none"/>
        </w:rPr>
        <w:t>In severe acute pancreatitis, what is the correct approach for pain control?</w:t>
      </w:r>
    </w:p>
    <w:p w14:paraId="7C7EB131" w14:textId="77777777" w:rsidR="004F167E" w:rsidRPr="0080532C" w:rsidRDefault="004F167E" w:rsidP="004F167E">
      <w:pPr>
        <w:widowControl/>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Pain control is a crucial aspect of managing severe acute pancreatitis (SAP) and is typically addressed through a combination of pharmacologic and supportive measures. The goal is to alleviate pain, reduce inflammation, and promote the patient's overall comfort. The correct approach for pain control in severe acute pancreatitis includes the following:</w:t>
      </w:r>
    </w:p>
    <w:p w14:paraId="2360AE72" w14:textId="77777777" w:rsidR="004F167E" w:rsidRPr="0080532C" w:rsidRDefault="004F167E" w:rsidP="004F167E">
      <w:pPr>
        <w:widowControl/>
        <w:numPr>
          <w:ilvl w:val="0"/>
          <w:numId w:val="23"/>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Analgesic Medications:</w:t>
      </w:r>
    </w:p>
    <w:p w14:paraId="4F1118D0" w14:textId="77777777" w:rsidR="004F167E" w:rsidRPr="0080532C" w:rsidRDefault="004F167E" w:rsidP="004F167E">
      <w:pPr>
        <w:widowControl/>
        <w:numPr>
          <w:ilvl w:val="1"/>
          <w:numId w:val="23"/>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Opioids:</w:t>
      </w:r>
      <w:r w:rsidRPr="0080532C">
        <w:rPr>
          <w:rFonts w:ascii="Times New Roman" w:eastAsia="宋体" w:hAnsi="Times New Roman" w:cs="Times New Roman"/>
          <w:kern w:val="0"/>
          <w:szCs w:val="21"/>
          <w14:ligatures w14:val="none"/>
        </w:rPr>
        <w:t> These are the mainstay of pain management in SAP. Medications such as morphine or fentanyl may be used to control severe pain. Dosages should be titrated to achieve adequate pain relief while minimizing side effects.</w:t>
      </w:r>
    </w:p>
    <w:p w14:paraId="5DF1D5C0" w14:textId="77777777" w:rsidR="004F167E" w:rsidRPr="0080532C" w:rsidRDefault="004F167E" w:rsidP="004F167E">
      <w:pPr>
        <w:widowControl/>
        <w:numPr>
          <w:ilvl w:val="1"/>
          <w:numId w:val="23"/>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Patient-Controlled Analgesia (PCA):</w:t>
      </w:r>
      <w:r w:rsidRPr="0080532C">
        <w:rPr>
          <w:rFonts w:ascii="Times New Roman" w:eastAsia="宋体" w:hAnsi="Times New Roman" w:cs="Times New Roman"/>
          <w:kern w:val="0"/>
          <w:szCs w:val="21"/>
          <w14:ligatures w14:val="none"/>
        </w:rPr>
        <w:t> PCA pumps allow patients to self-administer small doses of opioids within preset limits, providing better pain control and reducing the risk of overdose.</w:t>
      </w:r>
    </w:p>
    <w:p w14:paraId="21A22010" w14:textId="77777777" w:rsidR="004F167E" w:rsidRPr="0080532C" w:rsidRDefault="004F167E" w:rsidP="004F167E">
      <w:pPr>
        <w:widowControl/>
        <w:numPr>
          <w:ilvl w:val="0"/>
          <w:numId w:val="23"/>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Non-Opioid Analgesics:</w:t>
      </w:r>
    </w:p>
    <w:p w14:paraId="63B4BC35" w14:textId="77777777" w:rsidR="004F167E" w:rsidRPr="0080532C" w:rsidRDefault="004F167E" w:rsidP="004F167E">
      <w:pPr>
        <w:widowControl/>
        <w:numPr>
          <w:ilvl w:val="1"/>
          <w:numId w:val="23"/>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Nonsteroidal Anti-Inflammatory Drugs (NSAIDs):</w:t>
      </w:r>
      <w:r w:rsidRPr="0080532C">
        <w:rPr>
          <w:rFonts w:ascii="Times New Roman" w:eastAsia="宋体" w:hAnsi="Times New Roman" w:cs="Times New Roman"/>
          <w:kern w:val="0"/>
          <w:szCs w:val="21"/>
          <w14:ligatures w14:val="none"/>
        </w:rPr>
        <w:t xml:space="preserve"> While these are generally effective for pain relief, their use in SAP may be limited due to concerns about potential adverse effects on the gastrointestinal tract and kidney function. The </w:t>
      </w:r>
      <w:r w:rsidRPr="0080532C">
        <w:rPr>
          <w:rFonts w:ascii="Times New Roman" w:eastAsia="宋体" w:hAnsi="Times New Roman" w:cs="Times New Roman"/>
          <w:kern w:val="0"/>
          <w:szCs w:val="21"/>
          <w14:ligatures w14:val="none"/>
        </w:rPr>
        <w:lastRenderedPageBreak/>
        <w:t>decision to use NSAIDs should be made cautiously, considering the patient's overall condition.</w:t>
      </w:r>
    </w:p>
    <w:p w14:paraId="27A53883" w14:textId="77777777" w:rsidR="004F167E" w:rsidRPr="0080532C" w:rsidRDefault="004F167E" w:rsidP="004F167E">
      <w:pPr>
        <w:widowControl/>
        <w:numPr>
          <w:ilvl w:val="1"/>
          <w:numId w:val="23"/>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Acetaminophen (Paracetamol):</w:t>
      </w:r>
      <w:r w:rsidRPr="0080532C">
        <w:rPr>
          <w:rFonts w:ascii="Times New Roman" w:eastAsia="宋体" w:hAnsi="Times New Roman" w:cs="Times New Roman"/>
          <w:kern w:val="0"/>
          <w:szCs w:val="21"/>
          <w14:ligatures w14:val="none"/>
        </w:rPr>
        <w:t> Can be used for mild to moderate pain but is often insufficient as the sole analgesic for severe pancreatitis pain.</w:t>
      </w:r>
    </w:p>
    <w:p w14:paraId="0875CBB7" w14:textId="77777777" w:rsidR="004F167E" w:rsidRPr="0080532C" w:rsidRDefault="004F167E" w:rsidP="004F167E">
      <w:pPr>
        <w:widowControl/>
        <w:numPr>
          <w:ilvl w:val="0"/>
          <w:numId w:val="23"/>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Local Anesthetic Agents:</w:t>
      </w:r>
    </w:p>
    <w:p w14:paraId="2A14E1F4" w14:textId="77777777" w:rsidR="004F167E" w:rsidRPr="0080532C" w:rsidRDefault="004F167E" w:rsidP="004F167E">
      <w:pPr>
        <w:widowControl/>
        <w:numPr>
          <w:ilvl w:val="1"/>
          <w:numId w:val="23"/>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Epidural Analgesia:</w:t>
      </w:r>
      <w:r w:rsidRPr="0080532C">
        <w:rPr>
          <w:rFonts w:ascii="Times New Roman" w:eastAsia="宋体" w:hAnsi="Times New Roman" w:cs="Times New Roman"/>
          <w:kern w:val="0"/>
          <w:szCs w:val="21"/>
          <w14:ligatures w14:val="none"/>
        </w:rPr>
        <w:t> In some cases, epidural analgesia may be considered. This involves the administration of local anesthetic agents into the epidural space for pain relief. However, the benefits and risks should be carefully weighed.</w:t>
      </w:r>
    </w:p>
    <w:p w14:paraId="7E2D2980" w14:textId="77777777" w:rsidR="004F167E" w:rsidRPr="0080532C" w:rsidRDefault="004F167E" w:rsidP="004F167E">
      <w:pPr>
        <w:widowControl/>
        <w:numPr>
          <w:ilvl w:val="0"/>
          <w:numId w:val="23"/>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Adjunctive Therapies:</w:t>
      </w:r>
    </w:p>
    <w:p w14:paraId="259E07DE" w14:textId="77777777" w:rsidR="004F167E" w:rsidRPr="0080532C" w:rsidRDefault="004F167E" w:rsidP="004F167E">
      <w:pPr>
        <w:widowControl/>
        <w:numPr>
          <w:ilvl w:val="1"/>
          <w:numId w:val="23"/>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Antispasmodic Agents:</w:t>
      </w:r>
      <w:r w:rsidRPr="0080532C">
        <w:rPr>
          <w:rFonts w:ascii="Times New Roman" w:eastAsia="宋体" w:hAnsi="Times New Roman" w:cs="Times New Roman"/>
          <w:kern w:val="0"/>
          <w:szCs w:val="21"/>
          <w14:ligatures w14:val="none"/>
        </w:rPr>
        <w:t xml:space="preserve"> Drugs like hyoscine </w:t>
      </w:r>
      <w:proofErr w:type="spellStart"/>
      <w:r w:rsidRPr="0080532C">
        <w:rPr>
          <w:rFonts w:ascii="Times New Roman" w:eastAsia="宋体" w:hAnsi="Times New Roman" w:cs="Times New Roman"/>
          <w:kern w:val="0"/>
          <w:szCs w:val="21"/>
          <w14:ligatures w14:val="none"/>
        </w:rPr>
        <w:t>butylbromide</w:t>
      </w:r>
      <w:proofErr w:type="spellEnd"/>
      <w:r w:rsidRPr="0080532C">
        <w:rPr>
          <w:rFonts w:ascii="Times New Roman" w:eastAsia="宋体" w:hAnsi="Times New Roman" w:cs="Times New Roman"/>
          <w:kern w:val="0"/>
          <w:szCs w:val="21"/>
          <w14:ligatures w14:val="none"/>
        </w:rPr>
        <w:t xml:space="preserve"> may help reduce pancreatic ductal and biliary spasms, contributing to pain relief.</w:t>
      </w:r>
    </w:p>
    <w:p w14:paraId="3AA08692" w14:textId="77777777" w:rsidR="004F167E" w:rsidRPr="0080532C" w:rsidRDefault="004F167E" w:rsidP="004F167E">
      <w:pPr>
        <w:widowControl/>
        <w:numPr>
          <w:ilvl w:val="1"/>
          <w:numId w:val="23"/>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Pancreatic Enzyme Inhibition:</w:t>
      </w:r>
      <w:r w:rsidRPr="0080532C">
        <w:rPr>
          <w:rFonts w:ascii="Times New Roman" w:eastAsia="宋体" w:hAnsi="Times New Roman" w:cs="Times New Roman"/>
          <w:kern w:val="0"/>
          <w:szCs w:val="21"/>
          <w14:ligatures w14:val="none"/>
        </w:rPr>
        <w:t> Octreotide, a somatostatin analogue, may be used to inhibit pancreatic enzyme secretion and reduce pain.</w:t>
      </w:r>
    </w:p>
    <w:p w14:paraId="3B576E59" w14:textId="77777777" w:rsidR="004F167E" w:rsidRPr="0080532C" w:rsidRDefault="004F167E" w:rsidP="004F167E">
      <w:pPr>
        <w:widowControl/>
        <w:numPr>
          <w:ilvl w:val="0"/>
          <w:numId w:val="23"/>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Nutritional Support:</w:t>
      </w:r>
    </w:p>
    <w:p w14:paraId="243127F9" w14:textId="77777777" w:rsidR="004F167E" w:rsidRPr="0080532C" w:rsidRDefault="004F167E" w:rsidP="004F167E">
      <w:pPr>
        <w:widowControl/>
        <w:numPr>
          <w:ilvl w:val="1"/>
          <w:numId w:val="23"/>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Early enteral nutrition may be beneficial not only for nutritional support but also for reducing pancreatic stimulation and potentially minimizing pain.</w:t>
      </w:r>
    </w:p>
    <w:p w14:paraId="0CD7348E" w14:textId="77777777" w:rsidR="004F167E" w:rsidRPr="0080532C" w:rsidRDefault="004F167E" w:rsidP="004F167E">
      <w:pPr>
        <w:widowControl/>
        <w:numPr>
          <w:ilvl w:val="0"/>
          <w:numId w:val="23"/>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Multidisciplinary Approach:</w:t>
      </w:r>
    </w:p>
    <w:p w14:paraId="3707EECC" w14:textId="77777777" w:rsidR="004F167E" w:rsidRPr="0080532C" w:rsidRDefault="004F167E" w:rsidP="004F167E">
      <w:pPr>
        <w:widowControl/>
        <w:numPr>
          <w:ilvl w:val="1"/>
          <w:numId w:val="23"/>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Collaborate with a multidisciplinary team, including pain specialists, to develop a comprehensive pain management plan tailored to the individual patient's needs.</w:t>
      </w:r>
    </w:p>
    <w:p w14:paraId="4660DF53" w14:textId="77777777" w:rsidR="004F167E" w:rsidRPr="0080532C" w:rsidRDefault="004F167E" w:rsidP="004F167E">
      <w:pPr>
        <w:widowControl/>
        <w:numPr>
          <w:ilvl w:val="0"/>
          <w:numId w:val="23"/>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Monitoring and Adjustment:</w:t>
      </w:r>
    </w:p>
    <w:p w14:paraId="0D645D7B" w14:textId="77777777" w:rsidR="004F167E" w:rsidRPr="0080532C" w:rsidRDefault="004F167E" w:rsidP="004F167E">
      <w:pPr>
        <w:widowControl/>
        <w:numPr>
          <w:ilvl w:val="1"/>
          <w:numId w:val="23"/>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Regularly assess pain intensity using validated pain assessment tools. Adjust analgesic therapy based on the patient's response, aiming for effective pain control with minimal side effects.</w:t>
      </w:r>
    </w:p>
    <w:p w14:paraId="5E62E17E" w14:textId="77777777" w:rsidR="004F167E" w:rsidRPr="0080532C" w:rsidRDefault="004F167E" w:rsidP="004F167E">
      <w:pPr>
        <w:widowControl/>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 xml:space="preserve">It's important to note that the management of pain in severe acute pancreatitis should be individualized, </w:t>
      </w:r>
      <w:proofErr w:type="gramStart"/>
      <w:r w:rsidRPr="0080532C">
        <w:rPr>
          <w:rFonts w:ascii="Times New Roman" w:eastAsia="宋体" w:hAnsi="Times New Roman" w:cs="Times New Roman"/>
          <w:kern w:val="0"/>
          <w:szCs w:val="21"/>
          <w14:ligatures w14:val="none"/>
        </w:rPr>
        <w:t>taking into account</w:t>
      </w:r>
      <w:proofErr w:type="gramEnd"/>
      <w:r w:rsidRPr="0080532C">
        <w:rPr>
          <w:rFonts w:ascii="Times New Roman" w:eastAsia="宋体" w:hAnsi="Times New Roman" w:cs="Times New Roman"/>
          <w:kern w:val="0"/>
          <w:szCs w:val="21"/>
          <w14:ligatures w14:val="none"/>
        </w:rPr>
        <w:t xml:space="preserve"> the patient's overall condition, comorbidities, and response to treatment. Additionally, close monitoring for potential side effects of analgesic medications, such as respiratory depression or gastrointestinal complications, is essential. The goal is to provide adequate pain relief while minimizing risks and optimizing overall patient care. Always consult with a healthcare professional for personalized advice and guidance based on the specific circumstances of the patient.</w:t>
      </w:r>
    </w:p>
    <w:p w14:paraId="7CDBADAF" w14:textId="2A73AAB7" w:rsidR="004F167E" w:rsidRPr="0080532C" w:rsidRDefault="004F167E" w:rsidP="004F167E">
      <w:pPr>
        <w:widowControl/>
        <w:jc w:val="left"/>
        <w:rPr>
          <w:rFonts w:ascii="Times New Roman" w:eastAsia="宋体" w:hAnsi="Times New Roman" w:cs="Times New Roman"/>
          <w:b/>
          <w:bCs/>
          <w:kern w:val="0"/>
          <w:szCs w:val="21"/>
          <w14:ligatures w14:val="none"/>
        </w:rPr>
      </w:pPr>
      <w:r w:rsidRPr="0080532C">
        <w:rPr>
          <w:rFonts w:ascii="Times New Roman" w:hAnsi="Times New Roman" w:cs="Times New Roman"/>
          <w:b/>
          <w:bCs/>
          <w:szCs w:val="21"/>
        </w:rPr>
        <w:t>2</w:t>
      </w:r>
      <w:r w:rsidR="00A524E3">
        <w:rPr>
          <w:rFonts w:ascii="Times New Roman" w:hAnsi="Times New Roman" w:cs="Times New Roman"/>
          <w:b/>
          <w:bCs/>
          <w:szCs w:val="21"/>
        </w:rPr>
        <w:t>1</w:t>
      </w:r>
      <w:r w:rsidRPr="0080532C">
        <w:rPr>
          <w:rFonts w:ascii="Times New Roman" w:hAnsi="Times New Roman" w:cs="Times New Roman"/>
          <w:b/>
          <w:bCs/>
          <w:szCs w:val="21"/>
        </w:rPr>
        <w:t>、</w:t>
      </w:r>
      <w:r w:rsidRPr="0080532C">
        <w:rPr>
          <w:rFonts w:ascii="Times New Roman" w:eastAsia="宋体" w:hAnsi="Times New Roman" w:cs="Times New Roman"/>
          <w:b/>
          <w:bCs/>
          <w:kern w:val="0"/>
          <w:szCs w:val="21"/>
          <w14:ligatures w14:val="none"/>
        </w:rPr>
        <w:t xml:space="preserve">In severe acute </w:t>
      </w:r>
      <w:proofErr w:type="spellStart"/>
      <w:r w:rsidRPr="0080532C">
        <w:rPr>
          <w:rFonts w:ascii="Times New Roman" w:eastAsia="宋体" w:hAnsi="Times New Roman" w:cs="Times New Roman"/>
          <w:b/>
          <w:bCs/>
          <w:kern w:val="0"/>
          <w:szCs w:val="21"/>
          <w14:ligatures w14:val="none"/>
        </w:rPr>
        <w:t>pancreatitis,Which</w:t>
      </w:r>
      <w:proofErr w:type="spellEnd"/>
      <w:r w:rsidRPr="0080532C">
        <w:rPr>
          <w:rFonts w:ascii="Times New Roman" w:eastAsia="宋体" w:hAnsi="Times New Roman" w:cs="Times New Roman"/>
          <w:b/>
          <w:bCs/>
          <w:kern w:val="0"/>
          <w:szCs w:val="21"/>
          <w14:ligatures w14:val="none"/>
        </w:rPr>
        <w:t xml:space="preserve"> are the indications for mechanical ventilation?</w:t>
      </w:r>
    </w:p>
    <w:p w14:paraId="12A31387" w14:textId="77777777" w:rsidR="004F167E" w:rsidRPr="0080532C" w:rsidRDefault="004F167E" w:rsidP="004F167E">
      <w:pPr>
        <w:widowControl/>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Mechanical ventilation may be required in cases of severe acute pancreatitis (SAP) when respiratory failure or other complications threaten the patient's ability to maintain adequate oxygenation and ventilation. Indications for mechanical ventilation in SAP include:</w:t>
      </w:r>
    </w:p>
    <w:p w14:paraId="1530ECC0" w14:textId="77777777" w:rsidR="004F167E" w:rsidRPr="0080532C" w:rsidRDefault="004F167E" w:rsidP="004F167E">
      <w:pPr>
        <w:widowControl/>
        <w:numPr>
          <w:ilvl w:val="0"/>
          <w:numId w:val="24"/>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Respiratory Failure:</w:t>
      </w:r>
    </w:p>
    <w:p w14:paraId="10F738E7" w14:textId="77777777" w:rsidR="004F167E" w:rsidRPr="0080532C" w:rsidRDefault="004F167E" w:rsidP="004F167E">
      <w:pPr>
        <w:widowControl/>
        <w:numPr>
          <w:ilvl w:val="1"/>
          <w:numId w:val="24"/>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Severe acute pancreatitis can lead to systemic inflammatory response syndrome (SIRS) and, in some cases, acute respiratory distress syndrome (ARDS). Respiratory failure may result from the development of pulmonary complications, including alveolar edema and impaired gas exchange.</w:t>
      </w:r>
    </w:p>
    <w:p w14:paraId="774E9D67" w14:textId="77777777" w:rsidR="004F167E" w:rsidRPr="0080532C" w:rsidRDefault="004F167E" w:rsidP="004F167E">
      <w:pPr>
        <w:widowControl/>
        <w:numPr>
          <w:ilvl w:val="0"/>
          <w:numId w:val="24"/>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Hypoxemia:</w:t>
      </w:r>
    </w:p>
    <w:p w14:paraId="1DF96E0F" w14:textId="77777777" w:rsidR="004F167E" w:rsidRPr="0080532C" w:rsidRDefault="004F167E" w:rsidP="004F167E">
      <w:pPr>
        <w:widowControl/>
        <w:numPr>
          <w:ilvl w:val="1"/>
          <w:numId w:val="24"/>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In cases where hypoxemia is severe and cannot be adequately corrected with supplemental oxygen, mechanical ventilation may be necessary to ensure sufficient oxygenation of tissues.</w:t>
      </w:r>
    </w:p>
    <w:p w14:paraId="04FFEFD3" w14:textId="77777777" w:rsidR="004F167E" w:rsidRPr="0080532C" w:rsidRDefault="004F167E" w:rsidP="004F167E">
      <w:pPr>
        <w:widowControl/>
        <w:numPr>
          <w:ilvl w:val="0"/>
          <w:numId w:val="24"/>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Hypercapnia:</w:t>
      </w:r>
    </w:p>
    <w:p w14:paraId="69A011DF" w14:textId="77777777" w:rsidR="004F167E" w:rsidRPr="0080532C" w:rsidRDefault="004F167E" w:rsidP="004F167E">
      <w:pPr>
        <w:widowControl/>
        <w:numPr>
          <w:ilvl w:val="1"/>
          <w:numId w:val="24"/>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lastRenderedPageBreak/>
        <w:t>Elevated levels of carbon dioxide (hypercapnia) due to respiratory muscle fatigue or failure may necessitate mechanical ventilation to assist with ventilation and maintain appropriate blood gas levels.</w:t>
      </w:r>
    </w:p>
    <w:p w14:paraId="3CDA75E6" w14:textId="77777777" w:rsidR="004F167E" w:rsidRPr="0080532C" w:rsidRDefault="004F167E" w:rsidP="004F167E">
      <w:pPr>
        <w:widowControl/>
        <w:numPr>
          <w:ilvl w:val="0"/>
          <w:numId w:val="24"/>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Acute Respiratory Distress Syndrome (ARDS):</w:t>
      </w:r>
    </w:p>
    <w:p w14:paraId="23E9C2E3" w14:textId="77777777" w:rsidR="004F167E" w:rsidRPr="0080532C" w:rsidRDefault="004F167E" w:rsidP="004F167E">
      <w:pPr>
        <w:widowControl/>
        <w:numPr>
          <w:ilvl w:val="1"/>
          <w:numId w:val="24"/>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ARDS is a severe form of acute lung injury that can occur as a complication of severe systemic inflammation, including that seen in SAP. Mechanical ventilation may be required to manage ARDS and support respiratory function.</w:t>
      </w:r>
    </w:p>
    <w:p w14:paraId="59E63922" w14:textId="77777777" w:rsidR="004F167E" w:rsidRPr="0080532C" w:rsidRDefault="004F167E" w:rsidP="004F167E">
      <w:pPr>
        <w:widowControl/>
        <w:numPr>
          <w:ilvl w:val="0"/>
          <w:numId w:val="24"/>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Intractable Pain and Agitation:</w:t>
      </w:r>
    </w:p>
    <w:p w14:paraId="702AAFCE" w14:textId="77777777" w:rsidR="004F167E" w:rsidRPr="0080532C" w:rsidRDefault="004F167E" w:rsidP="004F167E">
      <w:pPr>
        <w:widowControl/>
        <w:numPr>
          <w:ilvl w:val="1"/>
          <w:numId w:val="24"/>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Patients with SAP may experience severe pain and agitation, leading to increased oxygen consumption and respiratory distress. Mechanical ventilation may be considered in such cases to facilitate pain management and prevent complications related to increased respiratory effort.</w:t>
      </w:r>
    </w:p>
    <w:p w14:paraId="30A7659A" w14:textId="77777777" w:rsidR="004F167E" w:rsidRPr="0080532C" w:rsidRDefault="004F167E" w:rsidP="004F167E">
      <w:pPr>
        <w:widowControl/>
        <w:numPr>
          <w:ilvl w:val="0"/>
          <w:numId w:val="24"/>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Multiorgan Failure:</w:t>
      </w:r>
    </w:p>
    <w:p w14:paraId="20F190DA" w14:textId="77777777" w:rsidR="004F167E" w:rsidRPr="0080532C" w:rsidRDefault="004F167E" w:rsidP="004F167E">
      <w:pPr>
        <w:widowControl/>
        <w:numPr>
          <w:ilvl w:val="1"/>
          <w:numId w:val="24"/>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In the context of SAP, multiorgan failure may occur, involving not only the pancreas but also the lungs, kidneys, and cardiovascular system. Mechanical ventilation may be needed as part of the overall management of critically ill patients with multiple organ dysfunction.</w:t>
      </w:r>
    </w:p>
    <w:p w14:paraId="6E4EAEBE" w14:textId="77777777" w:rsidR="004F167E" w:rsidRPr="0080532C" w:rsidRDefault="004F167E" w:rsidP="004F167E">
      <w:pPr>
        <w:widowControl/>
        <w:numPr>
          <w:ilvl w:val="0"/>
          <w:numId w:val="24"/>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Sepsis and Septic Shock:</w:t>
      </w:r>
    </w:p>
    <w:p w14:paraId="5B92AE07" w14:textId="77777777" w:rsidR="004F167E" w:rsidRPr="0080532C" w:rsidRDefault="004F167E" w:rsidP="004F167E">
      <w:pPr>
        <w:widowControl/>
        <w:numPr>
          <w:ilvl w:val="1"/>
          <w:numId w:val="24"/>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Patients with SAP are at risk of developing infections, and severe cases may progress to sepsis or septic shock. Mechanical ventilation may be required to support organ function in the face of septic complications.</w:t>
      </w:r>
    </w:p>
    <w:p w14:paraId="252B17E3" w14:textId="77777777" w:rsidR="004F167E" w:rsidRPr="0080532C" w:rsidRDefault="004F167E" w:rsidP="004F167E">
      <w:pPr>
        <w:widowControl/>
        <w:numPr>
          <w:ilvl w:val="0"/>
          <w:numId w:val="24"/>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Gastrointestinal Bleeding:</w:t>
      </w:r>
    </w:p>
    <w:p w14:paraId="01403509" w14:textId="77777777" w:rsidR="004F167E" w:rsidRPr="0080532C" w:rsidRDefault="004F167E" w:rsidP="004F167E">
      <w:pPr>
        <w:widowControl/>
        <w:numPr>
          <w:ilvl w:val="1"/>
          <w:numId w:val="24"/>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In cases of severe SAP with gastrointestinal bleeding, mechanical ventilation may be necessary to stabilize the patient and support respiratory function during interventions to control bleeding.</w:t>
      </w:r>
    </w:p>
    <w:p w14:paraId="173F5E62" w14:textId="77777777" w:rsidR="004F167E" w:rsidRPr="0080532C" w:rsidRDefault="004F167E" w:rsidP="004F167E">
      <w:pPr>
        <w:widowControl/>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The decision to initiate mechanical ventilation in SAP is made based on a thorough assessment of the patient's clinical status, including respiratory parameters, oxygenation, and the presence of systemic complications. Mechanical ventilation is typically initiated in an intensive care unit (ICU) setting by a multidisciplinary team of critical care specialists. The goal is to provide supportive care and optimize the chances of recovery while addressing the underlying causes of respiratory failure and multiorgan dysfunction. The management of SAP and the decision to use mechanical ventilation should be individualized based on the patient's specific clinical condition and response to treatment.</w:t>
      </w:r>
    </w:p>
    <w:p w14:paraId="0AB0304A" w14:textId="0F4EB604" w:rsidR="004F167E" w:rsidRPr="0080532C" w:rsidRDefault="004F167E" w:rsidP="004F167E">
      <w:pPr>
        <w:widowControl/>
        <w:jc w:val="left"/>
        <w:rPr>
          <w:rFonts w:ascii="Times New Roman" w:eastAsia="宋体" w:hAnsi="Times New Roman" w:cs="Times New Roman"/>
          <w:b/>
          <w:bCs/>
          <w:kern w:val="0"/>
          <w:szCs w:val="21"/>
          <w14:ligatures w14:val="none"/>
        </w:rPr>
      </w:pPr>
      <w:r w:rsidRPr="0080532C">
        <w:rPr>
          <w:rFonts w:ascii="Times New Roman" w:hAnsi="Times New Roman" w:cs="Times New Roman"/>
          <w:b/>
          <w:bCs/>
          <w:szCs w:val="21"/>
        </w:rPr>
        <w:t>2</w:t>
      </w:r>
      <w:r w:rsidR="00A524E3">
        <w:rPr>
          <w:rFonts w:ascii="Times New Roman" w:hAnsi="Times New Roman" w:cs="Times New Roman"/>
          <w:b/>
          <w:bCs/>
          <w:szCs w:val="21"/>
        </w:rPr>
        <w:t>2</w:t>
      </w:r>
      <w:r w:rsidRPr="0080532C">
        <w:rPr>
          <w:rFonts w:ascii="Times New Roman" w:hAnsi="Times New Roman" w:cs="Times New Roman"/>
          <w:b/>
          <w:bCs/>
          <w:szCs w:val="21"/>
        </w:rPr>
        <w:t>、</w:t>
      </w:r>
      <w:r w:rsidRPr="0080532C">
        <w:rPr>
          <w:rFonts w:ascii="Times New Roman" w:eastAsia="宋体" w:hAnsi="Times New Roman" w:cs="Times New Roman"/>
          <w:b/>
          <w:bCs/>
          <w:kern w:val="0"/>
          <w:szCs w:val="21"/>
          <w14:ligatures w14:val="none"/>
        </w:rPr>
        <w:t xml:space="preserve">In severe acute </w:t>
      </w:r>
      <w:proofErr w:type="spellStart"/>
      <w:r w:rsidRPr="0080532C">
        <w:rPr>
          <w:rFonts w:ascii="Times New Roman" w:eastAsia="宋体" w:hAnsi="Times New Roman" w:cs="Times New Roman"/>
          <w:b/>
          <w:bCs/>
          <w:kern w:val="0"/>
          <w:szCs w:val="21"/>
          <w14:ligatures w14:val="none"/>
        </w:rPr>
        <w:t>pancreatitis,what</w:t>
      </w:r>
      <w:proofErr w:type="spellEnd"/>
      <w:r w:rsidRPr="0080532C">
        <w:rPr>
          <w:rFonts w:ascii="Times New Roman" w:eastAsia="宋体" w:hAnsi="Times New Roman" w:cs="Times New Roman"/>
          <w:b/>
          <w:bCs/>
          <w:kern w:val="0"/>
          <w:szCs w:val="21"/>
          <w14:ligatures w14:val="none"/>
        </w:rPr>
        <w:t xml:space="preserve"> is the medical approach to the abdominal compartment syndrome?</w:t>
      </w:r>
    </w:p>
    <w:p w14:paraId="24394167" w14:textId="77777777" w:rsidR="004F167E" w:rsidRPr="0080532C" w:rsidRDefault="004F167E" w:rsidP="004F167E">
      <w:pPr>
        <w:widowControl/>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Abdominal compartment syndrome (ACS) is a serious complication that can occur in severe acute pancreatitis (SAP). It is characterized by increased intra-abdominal pressure, which can lead to organ dysfunction and compromise blood flow to various organs. The medical approach to abdominal compartment syndrome in severe acute pancreatitis involves several key strategies:</w:t>
      </w:r>
    </w:p>
    <w:p w14:paraId="438EE0F0" w14:textId="77777777" w:rsidR="004F167E" w:rsidRPr="0080532C" w:rsidRDefault="004F167E" w:rsidP="004F167E">
      <w:pPr>
        <w:widowControl/>
        <w:numPr>
          <w:ilvl w:val="0"/>
          <w:numId w:val="25"/>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Early Recognition and Monitoring:</w:t>
      </w:r>
    </w:p>
    <w:p w14:paraId="5B582CD4" w14:textId="77777777" w:rsidR="004F167E" w:rsidRPr="0080532C" w:rsidRDefault="004F167E" w:rsidP="004F167E">
      <w:pPr>
        <w:widowControl/>
        <w:numPr>
          <w:ilvl w:val="1"/>
          <w:numId w:val="25"/>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Timely recognition of abdominal compartment syndrome is crucial. Continuous monitoring of intra-abdominal pressure (IAP) may be performed in high-risk patients, particularly those with severe SAP.</w:t>
      </w:r>
    </w:p>
    <w:p w14:paraId="60BCB275" w14:textId="77777777" w:rsidR="004F167E" w:rsidRPr="0080532C" w:rsidRDefault="004F167E" w:rsidP="004F167E">
      <w:pPr>
        <w:widowControl/>
        <w:numPr>
          <w:ilvl w:val="0"/>
          <w:numId w:val="25"/>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Conservative Measures:</w:t>
      </w:r>
    </w:p>
    <w:p w14:paraId="42170C7E" w14:textId="77777777" w:rsidR="004F167E" w:rsidRPr="0080532C" w:rsidRDefault="004F167E" w:rsidP="004F167E">
      <w:pPr>
        <w:widowControl/>
        <w:numPr>
          <w:ilvl w:val="1"/>
          <w:numId w:val="25"/>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lastRenderedPageBreak/>
        <w:t>Initial management focuses on conservative measures to reduce intra-abdominal pressure and optimize organ perfusion. These measures may include:</w:t>
      </w:r>
    </w:p>
    <w:p w14:paraId="09471D63" w14:textId="77777777" w:rsidR="004F167E" w:rsidRPr="0080532C" w:rsidRDefault="004F167E" w:rsidP="004F167E">
      <w:pPr>
        <w:widowControl/>
        <w:numPr>
          <w:ilvl w:val="2"/>
          <w:numId w:val="25"/>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Sedation and neuromuscular blockade to reduce abdominal muscle contractions and minimize intra-abdominal pressure.</w:t>
      </w:r>
    </w:p>
    <w:p w14:paraId="083F09C1" w14:textId="77777777" w:rsidR="004F167E" w:rsidRPr="0080532C" w:rsidRDefault="004F167E" w:rsidP="004F167E">
      <w:pPr>
        <w:widowControl/>
        <w:numPr>
          <w:ilvl w:val="2"/>
          <w:numId w:val="25"/>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Nasogastric decompression to reduce gastric and bowel distension.</w:t>
      </w:r>
    </w:p>
    <w:p w14:paraId="7565D9B9" w14:textId="77777777" w:rsidR="004F167E" w:rsidRPr="0080532C" w:rsidRDefault="004F167E" w:rsidP="004F167E">
      <w:pPr>
        <w:widowControl/>
        <w:numPr>
          <w:ilvl w:val="2"/>
          <w:numId w:val="25"/>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Positioning the patient in a semi-recumbent or reverse Trendelenburg position to promote drainage of abdominal contents.</w:t>
      </w:r>
    </w:p>
    <w:p w14:paraId="5F5E7947" w14:textId="77777777" w:rsidR="004F167E" w:rsidRPr="0080532C" w:rsidRDefault="004F167E" w:rsidP="004F167E">
      <w:pPr>
        <w:widowControl/>
        <w:numPr>
          <w:ilvl w:val="0"/>
          <w:numId w:val="25"/>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Fluid Management:</w:t>
      </w:r>
    </w:p>
    <w:p w14:paraId="465F885C" w14:textId="77777777" w:rsidR="004F167E" w:rsidRPr="0080532C" w:rsidRDefault="004F167E" w:rsidP="004F167E">
      <w:pPr>
        <w:widowControl/>
        <w:numPr>
          <w:ilvl w:val="1"/>
          <w:numId w:val="25"/>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Careful fluid management is essential. Aggressive fluid resuscitation can contribute to increased intra-abdominal pressure, so a balanced approach is necessary. Avoiding excessive fluid administration helps prevent fluid accumulation in the abdominal cavity.</w:t>
      </w:r>
    </w:p>
    <w:p w14:paraId="59FF1D05" w14:textId="77777777" w:rsidR="004F167E" w:rsidRPr="0080532C" w:rsidRDefault="004F167E" w:rsidP="004F167E">
      <w:pPr>
        <w:widowControl/>
        <w:numPr>
          <w:ilvl w:val="0"/>
          <w:numId w:val="25"/>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Diuresis and Renal Support:</w:t>
      </w:r>
    </w:p>
    <w:p w14:paraId="2B091C5D" w14:textId="77777777" w:rsidR="004F167E" w:rsidRPr="0080532C" w:rsidRDefault="004F167E" w:rsidP="004F167E">
      <w:pPr>
        <w:widowControl/>
        <w:numPr>
          <w:ilvl w:val="1"/>
          <w:numId w:val="25"/>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Diuretic therapy may be considered to promote urine output and reduce overall fluid volume. Renal replacement therapy (e.g., hemodialysis or continuous renal replacement therapy) may be initiated if there is evidence of renal dysfunction.</w:t>
      </w:r>
    </w:p>
    <w:p w14:paraId="1791E392" w14:textId="77777777" w:rsidR="004F167E" w:rsidRPr="0080532C" w:rsidRDefault="004F167E" w:rsidP="004F167E">
      <w:pPr>
        <w:widowControl/>
        <w:numPr>
          <w:ilvl w:val="0"/>
          <w:numId w:val="25"/>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Optimization of Organ Perfusion:</w:t>
      </w:r>
    </w:p>
    <w:p w14:paraId="52D40BF7" w14:textId="77777777" w:rsidR="004F167E" w:rsidRPr="0080532C" w:rsidRDefault="004F167E" w:rsidP="004F167E">
      <w:pPr>
        <w:widowControl/>
        <w:numPr>
          <w:ilvl w:val="1"/>
          <w:numId w:val="25"/>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Hemodynamic support with vasopressors may be necessary to maintain adequate perfusion to vital organs. Close monitoring of blood pressure, urine output, and other hemodynamic parameters is essential.</w:t>
      </w:r>
    </w:p>
    <w:p w14:paraId="2BDBD7DA" w14:textId="77777777" w:rsidR="004F167E" w:rsidRPr="0080532C" w:rsidRDefault="004F167E" w:rsidP="004F167E">
      <w:pPr>
        <w:widowControl/>
        <w:numPr>
          <w:ilvl w:val="0"/>
          <w:numId w:val="25"/>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Consideration of Surgical Intervention:</w:t>
      </w:r>
    </w:p>
    <w:p w14:paraId="2BF486DC" w14:textId="77777777" w:rsidR="004F167E" w:rsidRPr="0080532C" w:rsidRDefault="004F167E" w:rsidP="004F167E">
      <w:pPr>
        <w:widowControl/>
        <w:numPr>
          <w:ilvl w:val="1"/>
          <w:numId w:val="25"/>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In cases where conservative measures are insufficient, surgical decompression may be required. This involves creating a surgical opening in the abdominal wall (laparostomy) to relieve intra-abdominal pressure. This procedure may be accompanied by temporary closure techniques (e.g., negative pressure wound therapy) until the patient's condition stabilizes.</w:t>
      </w:r>
    </w:p>
    <w:p w14:paraId="5EE67665" w14:textId="77777777" w:rsidR="004F167E" w:rsidRPr="0080532C" w:rsidRDefault="004F167E" w:rsidP="004F167E">
      <w:pPr>
        <w:widowControl/>
        <w:numPr>
          <w:ilvl w:val="0"/>
          <w:numId w:val="25"/>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Management of Underlying Causes:</w:t>
      </w:r>
    </w:p>
    <w:p w14:paraId="4A58DDAD" w14:textId="77777777" w:rsidR="004F167E" w:rsidRPr="0080532C" w:rsidRDefault="004F167E" w:rsidP="004F167E">
      <w:pPr>
        <w:widowControl/>
        <w:numPr>
          <w:ilvl w:val="1"/>
          <w:numId w:val="25"/>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Treating the underlying causes of severe acute pancreatitis, such as necrotizing pancreatitis or infection, is essential to prevent further complications and contribute to the resolution of abdominal compartment syndrome.</w:t>
      </w:r>
    </w:p>
    <w:p w14:paraId="4E3D1FA5" w14:textId="77777777" w:rsidR="004F167E" w:rsidRPr="0080532C" w:rsidRDefault="004F167E" w:rsidP="004F167E">
      <w:pPr>
        <w:widowControl/>
        <w:numPr>
          <w:ilvl w:val="0"/>
          <w:numId w:val="25"/>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Multidisciplinary Approach:</w:t>
      </w:r>
    </w:p>
    <w:p w14:paraId="19F3E911" w14:textId="77777777" w:rsidR="004F167E" w:rsidRPr="0080532C" w:rsidRDefault="004F167E" w:rsidP="004F167E">
      <w:pPr>
        <w:widowControl/>
        <w:numPr>
          <w:ilvl w:val="1"/>
          <w:numId w:val="25"/>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A multidisciplinary team, including intensivists, surgeons, and other specialists, should collaborate in the management of abdominal compartment syndrome to ensure a comprehensive and coordinated approach.</w:t>
      </w:r>
    </w:p>
    <w:p w14:paraId="3D40E8C6" w14:textId="77777777" w:rsidR="004F167E" w:rsidRPr="0080532C" w:rsidRDefault="004F167E" w:rsidP="004F167E">
      <w:pPr>
        <w:widowControl/>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The management of abdominal compartment syndrome in severe acute pancreatitis is complex, and decisions should be individualized based on the patient's clinical condition and response to treatment. Early recognition, close monitoring, and prompt intervention are key elements in optimizing outcomes for patients with this serious complication. Surgical consultation and involvement are often crucial in determining the appropriate timing and method of decompression.</w:t>
      </w:r>
    </w:p>
    <w:p w14:paraId="097BAA0B" w14:textId="5615C000" w:rsidR="004F167E" w:rsidRPr="0080532C" w:rsidRDefault="004F167E" w:rsidP="004F167E">
      <w:pPr>
        <w:widowControl/>
        <w:jc w:val="left"/>
        <w:rPr>
          <w:rFonts w:ascii="Times New Roman" w:eastAsia="宋体" w:hAnsi="Times New Roman" w:cs="Times New Roman"/>
          <w:b/>
          <w:bCs/>
          <w:kern w:val="0"/>
          <w:szCs w:val="21"/>
          <w14:ligatures w14:val="none"/>
        </w:rPr>
      </w:pPr>
      <w:r w:rsidRPr="0080532C">
        <w:rPr>
          <w:rFonts w:ascii="Times New Roman" w:hAnsi="Times New Roman" w:cs="Times New Roman"/>
          <w:b/>
          <w:bCs/>
          <w:szCs w:val="21"/>
        </w:rPr>
        <w:t>2</w:t>
      </w:r>
      <w:r w:rsidR="00A524E3">
        <w:rPr>
          <w:rFonts w:ascii="Times New Roman" w:hAnsi="Times New Roman" w:cs="Times New Roman"/>
          <w:b/>
          <w:bCs/>
          <w:szCs w:val="21"/>
        </w:rPr>
        <w:t>3</w:t>
      </w:r>
      <w:r w:rsidRPr="0080532C">
        <w:rPr>
          <w:rFonts w:ascii="Times New Roman" w:hAnsi="Times New Roman" w:cs="Times New Roman"/>
          <w:b/>
          <w:bCs/>
          <w:szCs w:val="21"/>
        </w:rPr>
        <w:t>、</w:t>
      </w:r>
      <w:r w:rsidRPr="0080532C">
        <w:rPr>
          <w:rFonts w:ascii="Times New Roman" w:eastAsia="宋体" w:hAnsi="Times New Roman" w:cs="Times New Roman"/>
          <w:b/>
          <w:bCs/>
          <w:kern w:val="0"/>
          <w:szCs w:val="21"/>
          <w14:ligatures w14:val="none"/>
        </w:rPr>
        <w:t xml:space="preserve">In severe acute </w:t>
      </w:r>
      <w:proofErr w:type="spellStart"/>
      <w:r w:rsidRPr="0080532C">
        <w:rPr>
          <w:rFonts w:ascii="Times New Roman" w:eastAsia="宋体" w:hAnsi="Times New Roman" w:cs="Times New Roman"/>
          <w:b/>
          <w:bCs/>
          <w:kern w:val="0"/>
          <w:szCs w:val="21"/>
          <w14:ligatures w14:val="none"/>
        </w:rPr>
        <w:t>pancreatitis,what</w:t>
      </w:r>
      <w:proofErr w:type="spellEnd"/>
      <w:r w:rsidRPr="0080532C">
        <w:rPr>
          <w:rFonts w:ascii="Times New Roman" w:eastAsia="宋体" w:hAnsi="Times New Roman" w:cs="Times New Roman"/>
          <w:b/>
          <w:bCs/>
          <w:kern w:val="0"/>
          <w:szCs w:val="21"/>
          <w14:ligatures w14:val="none"/>
        </w:rPr>
        <w:t xml:space="preserve"> is the role of medications such as </w:t>
      </w:r>
      <w:proofErr w:type="spellStart"/>
      <w:r w:rsidRPr="0080532C">
        <w:rPr>
          <w:rFonts w:ascii="Times New Roman" w:eastAsia="宋体" w:hAnsi="Times New Roman" w:cs="Times New Roman"/>
          <w:b/>
          <w:bCs/>
          <w:kern w:val="0"/>
          <w:szCs w:val="21"/>
          <w14:ligatures w14:val="none"/>
        </w:rPr>
        <w:t>Gabexate</w:t>
      </w:r>
      <w:proofErr w:type="spellEnd"/>
      <w:r w:rsidRPr="0080532C">
        <w:rPr>
          <w:rFonts w:ascii="Times New Roman" w:eastAsia="宋体" w:hAnsi="Times New Roman" w:cs="Times New Roman"/>
          <w:b/>
          <w:bCs/>
          <w:kern w:val="0"/>
          <w:szCs w:val="21"/>
          <w14:ligatures w14:val="none"/>
        </w:rPr>
        <w:t xml:space="preserve"> </w:t>
      </w:r>
      <w:proofErr w:type="spellStart"/>
      <w:r w:rsidRPr="0080532C">
        <w:rPr>
          <w:rFonts w:ascii="Times New Roman" w:eastAsia="宋体" w:hAnsi="Times New Roman" w:cs="Times New Roman"/>
          <w:b/>
          <w:bCs/>
          <w:kern w:val="0"/>
          <w:szCs w:val="21"/>
          <w14:ligatures w14:val="none"/>
        </w:rPr>
        <w:t>Mesilate</w:t>
      </w:r>
      <w:proofErr w:type="spellEnd"/>
      <w:r w:rsidRPr="0080532C">
        <w:rPr>
          <w:rFonts w:ascii="Times New Roman" w:eastAsia="宋体" w:hAnsi="Times New Roman" w:cs="Times New Roman"/>
          <w:b/>
          <w:bCs/>
          <w:kern w:val="0"/>
          <w:szCs w:val="21"/>
          <w14:ligatures w14:val="none"/>
        </w:rPr>
        <w:t xml:space="preserve"> and somatostatin analogues?</w:t>
      </w:r>
    </w:p>
    <w:p w14:paraId="68370C7C" w14:textId="77777777" w:rsidR="004F167E" w:rsidRPr="0080532C" w:rsidRDefault="004F167E" w:rsidP="004F167E">
      <w:pPr>
        <w:widowControl/>
        <w:jc w:val="left"/>
        <w:rPr>
          <w:rFonts w:ascii="Times New Roman" w:eastAsia="宋体" w:hAnsi="Times New Roman" w:cs="Times New Roman"/>
          <w:kern w:val="0"/>
          <w:szCs w:val="21"/>
          <w14:ligatures w14:val="none"/>
        </w:rPr>
      </w:pPr>
      <w:proofErr w:type="spellStart"/>
      <w:r w:rsidRPr="0080532C">
        <w:rPr>
          <w:rFonts w:ascii="Times New Roman" w:eastAsia="宋体" w:hAnsi="Times New Roman" w:cs="Times New Roman"/>
          <w:kern w:val="0"/>
          <w:szCs w:val="21"/>
          <w14:ligatures w14:val="none"/>
        </w:rPr>
        <w:t>Gabexate</w:t>
      </w:r>
      <w:proofErr w:type="spellEnd"/>
      <w:r w:rsidRPr="0080532C">
        <w:rPr>
          <w:rFonts w:ascii="Times New Roman" w:eastAsia="宋体" w:hAnsi="Times New Roman" w:cs="Times New Roman"/>
          <w:kern w:val="0"/>
          <w:szCs w:val="21"/>
          <w14:ligatures w14:val="none"/>
        </w:rPr>
        <w:t xml:space="preserve"> </w:t>
      </w:r>
      <w:proofErr w:type="spellStart"/>
      <w:r w:rsidRPr="0080532C">
        <w:rPr>
          <w:rFonts w:ascii="Times New Roman" w:eastAsia="宋体" w:hAnsi="Times New Roman" w:cs="Times New Roman"/>
          <w:kern w:val="0"/>
          <w:szCs w:val="21"/>
          <w14:ligatures w14:val="none"/>
        </w:rPr>
        <w:t>Mesilate</w:t>
      </w:r>
      <w:proofErr w:type="spellEnd"/>
      <w:r w:rsidRPr="0080532C">
        <w:rPr>
          <w:rFonts w:ascii="Times New Roman" w:eastAsia="宋体" w:hAnsi="Times New Roman" w:cs="Times New Roman"/>
          <w:kern w:val="0"/>
          <w:szCs w:val="21"/>
          <w14:ligatures w14:val="none"/>
        </w:rPr>
        <w:t xml:space="preserve"> and somatostatin analogues are medications that have been studied for their potential roles in the management of severe acute pancreatitis (SAP). However, their use and </w:t>
      </w:r>
      <w:r w:rsidRPr="0080532C">
        <w:rPr>
          <w:rFonts w:ascii="Times New Roman" w:eastAsia="宋体" w:hAnsi="Times New Roman" w:cs="Times New Roman"/>
          <w:kern w:val="0"/>
          <w:szCs w:val="21"/>
          <w14:ligatures w14:val="none"/>
        </w:rPr>
        <w:lastRenderedPageBreak/>
        <w:t>efficacy in SAP remain somewhat controversial, and there is no universal consensus on their routine use. Let's explore the roles of these medications in the context of severe acute pancreatitis:</w:t>
      </w:r>
    </w:p>
    <w:p w14:paraId="22E6DC7F" w14:textId="77777777" w:rsidR="004F167E" w:rsidRPr="0080532C" w:rsidRDefault="004F167E" w:rsidP="004F167E">
      <w:pPr>
        <w:widowControl/>
        <w:numPr>
          <w:ilvl w:val="0"/>
          <w:numId w:val="26"/>
        </w:numPr>
        <w:jc w:val="left"/>
        <w:rPr>
          <w:rFonts w:ascii="Times New Roman" w:eastAsia="宋体" w:hAnsi="Times New Roman" w:cs="Times New Roman"/>
          <w:kern w:val="0"/>
          <w:szCs w:val="21"/>
          <w14:ligatures w14:val="none"/>
        </w:rPr>
      </w:pPr>
      <w:proofErr w:type="spellStart"/>
      <w:r w:rsidRPr="0080532C">
        <w:rPr>
          <w:rFonts w:ascii="Times New Roman" w:eastAsia="宋体" w:hAnsi="Times New Roman" w:cs="Times New Roman"/>
          <w:b/>
          <w:bCs/>
          <w:kern w:val="0"/>
          <w:szCs w:val="21"/>
          <w14:ligatures w14:val="none"/>
        </w:rPr>
        <w:t>Gabexate</w:t>
      </w:r>
      <w:proofErr w:type="spellEnd"/>
      <w:r w:rsidRPr="0080532C">
        <w:rPr>
          <w:rFonts w:ascii="Times New Roman" w:eastAsia="宋体" w:hAnsi="Times New Roman" w:cs="Times New Roman"/>
          <w:b/>
          <w:bCs/>
          <w:kern w:val="0"/>
          <w:szCs w:val="21"/>
          <w14:ligatures w14:val="none"/>
        </w:rPr>
        <w:t xml:space="preserve"> </w:t>
      </w:r>
      <w:proofErr w:type="spellStart"/>
      <w:r w:rsidRPr="0080532C">
        <w:rPr>
          <w:rFonts w:ascii="Times New Roman" w:eastAsia="宋体" w:hAnsi="Times New Roman" w:cs="Times New Roman"/>
          <w:b/>
          <w:bCs/>
          <w:kern w:val="0"/>
          <w:szCs w:val="21"/>
          <w14:ligatures w14:val="none"/>
        </w:rPr>
        <w:t>Mesilate</w:t>
      </w:r>
      <w:proofErr w:type="spellEnd"/>
      <w:r w:rsidRPr="0080532C">
        <w:rPr>
          <w:rFonts w:ascii="Times New Roman" w:eastAsia="宋体" w:hAnsi="Times New Roman" w:cs="Times New Roman"/>
          <w:b/>
          <w:bCs/>
          <w:kern w:val="0"/>
          <w:szCs w:val="21"/>
          <w14:ligatures w14:val="none"/>
        </w:rPr>
        <w:t>:</w:t>
      </w:r>
    </w:p>
    <w:p w14:paraId="0DA5B9C0" w14:textId="77777777" w:rsidR="004F167E" w:rsidRPr="0080532C" w:rsidRDefault="004F167E" w:rsidP="004F167E">
      <w:pPr>
        <w:widowControl/>
        <w:numPr>
          <w:ilvl w:val="1"/>
          <w:numId w:val="26"/>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Mechanism of Action:</w:t>
      </w:r>
      <w:r w:rsidRPr="0080532C">
        <w:rPr>
          <w:rFonts w:ascii="Times New Roman" w:eastAsia="宋体" w:hAnsi="Times New Roman" w:cs="Times New Roman"/>
          <w:kern w:val="0"/>
          <w:szCs w:val="21"/>
          <w14:ligatures w14:val="none"/>
        </w:rPr>
        <w:t> </w:t>
      </w:r>
      <w:proofErr w:type="spellStart"/>
      <w:r w:rsidRPr="0080532C">
        <w:rPr>
          <w:rFonts w:ascii="Times New Roman" w:eastAsia="宋体" w:hAnsi="Times New Roman" w:cs="Times New Roman"/>
          <w:kern w:val="0"/>
          <w:szCs w:val="21"/>
          <w14:ligatures w14:val="none"/>
        </w:rPr>
        <w:t>Gabexate</w:t>
      </w:r>
      <w:proofErr w:type="spellEnd"/>
      <w:r w:rsidRPr="0080532C">
        <w:rPr>
          <w:rFonts w:ascii="Times New Roman" w:eastAsia="宋体" w:hAnsi="Times New Roman" w:cs="Times New Roman"/>
          <w:kern w:val="0"/>
          <w:szCs w:val="21"/>
          <w14:ligatures w14:val="none"/>
        </w:rPr>
        <w:t xml:space="preserve"> </w:t>
      </w:r>
      <w:proofErr w:type="spellStart"/>
      <w:r w:rsidRPr="0080532C">
        <w:rPr>
          <w:rFonts w:ascii="Times New Roman" w:eastAsia="宋体" w:hAnsi="Times New Roman" w:cs="Times New Roman"/>
          <w:kern w:val="0"/>
          <w:szCs w:val="21"/>
          <w14:ligatures w14:val="none"/>
        </w:rPr>
        <w:t>mesilate</w:t>
      </w:r>
      <w:proofErr w:type="spellEnd"/>
      <w:r w:rsidRPr="0080532C">
        <w:rPr>
          <w:rFonts w:ascii="Times New Roman" w:eastAsia="宋体" w:hAnsi="Times New Roman" w:cs="Times New Roman"/>
          <w:kern w:val="0"/>
          <w:szCs w:val="21"/>
          <w14:ligatures w14:val="none"/>
        </w:rPr>
        <w:t xml:space="preserve"> is a synthetic protease inhibitor. It is thought to exert its effects by inhibiting various enzymes, including trypsin, which plays a role in the pathogenesis of pancreatitis.</w:t>
      </w:r>
    </w:p>
    <w:p w14:paraId="29D3A469" w14:textId="77777777" w:rsidR="004F167E" w:rsidRPr="0080532C" w:rsidRDefault="004F167E" w:rsidP="004F167E">
      <w:pPr>
        <w:widowControl/>
        <w:numPr>
          <w:ilvl w:val="1"/>
          <w:numId w:val="26"/>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Clinical Studies:</w:t>
      </w:r>
      <w:r w:rsidRPr="0080532C">
        <w:rPr>
          <w:rFonts w:ascii="Times New Roman" w:eastAsia="宋体" w:hAnsi="Times New Roman" w:cs="Times New Roman"/>
          <w:kern w:val="0"/>
          <w:szCs w:val="21"/>
          <w14:ligatures w14:val="none"/>
        </w:rPr>
        <w:t xml:space="preserve"> Some studies have suggested a potential benefit of </w:t>
      </w:r>
      <w:proofErr w:type="spellStart"/>
      <w:r w:rsidRPr="0080532C">
        <w:rPr>
          <w:rFonts w:ascii="Times New Roman" w:eastAsia="宋体" w:hAnsi="Times New Roman" w:cs="Times New Roman"/>
          <w:kern w:val="0"/>
          <w:szCs w:val="21"/>
          <w14:ligatures w14:val="none"/>
        </w:rPr>
        <w:t>gabexate</w:t>
      </w:r>
      <w:proofErr w:type="spellEnd"/>
      <w:r w:rsidRPr="0080532C">
        <w:rPr>
          <w:rFonts w:ascii="Times New Roman" w:eastAsia="宋体" w:hAnsi="Times New Roman" w:cs="Times New Roman"/>
          <w:kern w:val="0"/>
          <w:szCs w:val="21"/>
          <w14:ligatures w14:val="none"/>
        </w:rPr>
        <w:t xml:space="preserve"> </w:t>
      </w:r>
      <w:proofErr w:type="spellStart"/>
      <w:r w:rsidRPr="0080532C">
        <w:rPr>
          <w:rFonts w:ascii="Times New Roman" w:eastAsia="宋体" w:hAnsi="Times New Roman" w:cs="Times New Roman"/>
          <w:kern w:val="0"/>
          <w:szCs w:val="21"/>
          <w14:ligatures w14:val="none"/>
        </w:rPr>
        <w:t>mesilate</w:t>
      </w:r>
      <w:proofErr w:type="spellEnd"/>
      <w:r w:rsidRPr="0080532C">
        <w:rPr>
          <w:rFonts w:ascii="Times New Roman" w:eastAsia="宋体" w:hAnsi="Times New Roman" w:cs="Times New Roman"/>
          <w:kern w:val="0"/>
          <w:szCs w:val="21"/>
          <w14:ligatures w14:val="none"/>
        </w:rPr>
        <w:t xml:space="preserve"> in reducing the severity of pancreatitis and the incidence of complications. However, results from different studies have been mixed, and the overall evidence for its efficacy is not robust.</w:t>
      </w:r>
    </w:p>
    <w:p w14:paraId="375729AF" w14:textId="77777777" w:rsidR="004F167E" w:rsidRPr="0080532C" w:rsidRDefault="004F167E" w:rsidP="004F167E">
      <w:pPr>
        <w:widowControl/>
        <w:numPr>
          <w:ilvl w:val="1"/>
          <w:numId w:val="26"/>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Current Status:</w:t>
      </w:r>
      <w:r w:rsidRPr="0080532C">
        <w:rPr>
          <w:rFonts w:ascii="Times New Roman" w:eastAsia="宋体" w:hAnsi="Times New Roman" w:cs="Times New Roman"/>
          <w:kern w:val="0"/>
          <w:szCs w:val="21"/>
          <w14:ligatures w14:val="none"/>
        </w:rPr>
        <w:t xml:space="preserve"> While </w:t>
      </w:r>
      <w:proofErr w:type="spellStart"/>
      <w:r w:rsidRPr="0080532C">
        <w:rPr>
          <w:rFonts w:ascii="Times New Roman" w:eastAsia="宋体" w:hAnsi="Times New Roman" w:cs="Times New Roman"/>
          <w:kern w:val="0"/>
          <w:szCs w:val="21"/>
          <w14:ligatures w14:val="none"/>
        </w:rPr>
        <w:t>gabexate</w:t>
      </w:r>
      <w:proofErr w:type="spellEnd"/>
      <w:r w:rsidRPr="0080532C">
        <w:rPr>
          <w:rFonts w:ascii="Times New Roman" w:eastAsia="宋体" w:hAnsi="Times New Roman" w:cs="Times New Roman"/>
          <w:kern w:val="0"/>
          <w:szCs w:val="21"/>
          <w14:ligatures w14:val="none"/>
        </w:rPr>
        <w:t xml:space="preserve"> </w:t>
      </w:r>
      <w:proofErr w:type="spellStart"/>
      <w:r w:rsidRPr="0080532C">
        <w:rPr>
          <w:rFonts w:ascii="Times New Roman" w:eastAsia="宋体" w:hAnsi="Times New Roman" w:cs="Times New Roman"/>
          <w:kern w:val="0"/>
          <w:szCs w:val="21"/>
          <w14:ligatures w14:val="none"/>
        </w:rPr>
        <w:t>mesilate</w:t>
      </w:r>
      <w:proofErr w:type="spellEnd"/>
      <w:r w:rsidRPr="0080532C">
        <w:rPr>
          <w:rFonts w:ascii="Times New Roman" w:eastAsia="宋体" w:hAnsi="Times New Roman" w:cs="Times New Roman"/>
          <w:kern w:val="0"/>
          <w:szCs w:val="21"/>
          <w14:ligatures w14:val="none"/>
        </w:rPr>
        <w:t xml:space="preserve"> has been used in some regions, its routine use is not universally recommended, and it may be reserved for specific cases or considered on a case-by-case basis. The decision to use </w:t>
      </w:r>
      <w:proofErr w:type="spellStart"/>
      <w:r w:rsidRPr="0080532C">
        <w:rPr>
          <w:rFonts w:ascii="Times New Roman" w:eastAsia="宋体" w:hAnsi="Times New Roman" w:cs="Times New Roman"/>
          <w:kern w:val="0"/>
          <w:szCs w:val="21"/>
          <w14:ligatures w14:val="none"/>
        </w:rPr>
        <w:t>gabexate</w:t>
      </w:r>
      <w:proofErr w:type="spellEnd"/>
      <w:r w:rsidRPr="0080532C">
        <w:rPr>
          <w:rFonts w:ascii="Times New Roman" w:eastAsia="宋体" w:hAnsi="Times New Roman" w:cs="Times New Roman"/>
          <w:kern w:val="0"/>
          <w:szCs w:val="21"/>
          <w14:ligatures w14:val="none"/>
        </w:rPr>
        <w:t xml:space="preserve"> </w:t>
      </w:r>
      <w:proofErr w:type="spellStart"/>
      <w:r w:rsidRPr="0080532C">
        <w:rPr>
          <w:rFonts w:ascii="Times New Roman" w:eastAsia="宋体" w:hAnsi="Times New Roman" w:cs="Times New Roman"/>
          <w:kern w:val="0"/>
          <w:szCs w:val="21"/>
          <w14:ligatures w14:val="none"/>
        </w:rPr>
        <w:t>mesilate</w:t>
      </w:r>
      <w:proofErr w:type="spellEnd"/>
      <w:r w:rsidRPr="0080532C">
        <w:rPr>
          <w:rFonts w:ascii="Times New Roman" w:eastAsia="宋体" w:hAnsi="Times New Roman" w:cs="Times New Roman"/>
          <w:kern w:val="0"/>
          <w:szCs w:val="21"/>
          <w14:ligatures w14:val="none"/>
        </w:rPr>
        <w:t xml:space="preserve"> should be based on individual patient characteristics, and it is important to weigh potential benefits against the risk of adverse effects.</w:t>
      </w:r>
    </w:p>
    <w:p w14:paraId="25E6FABD" w14:textId="77777777" w:rsidR="004F167E" w:rsidRPr="0080532C" w:rsidRDefault="004F167E" w:rsidP="004F167E">
      <w:pPr>
        <w:widowControl/>
        <w:numPr>
          <w:ilvl w:val="0"/>
          <w:numId w:val="26"/>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Somatostatin Analogues (e.g., Octreotide):</w:t>
      </w:r>
    </w:p>
    <w:p w14:paraId="292DE82C" w14:textId="77777777" w:rsidR="004F167E" w:rsidRPr="0080532C" w:rsidRDefault="004F167E" w:rsidP="004F167E">
      <w:pPr>
        <w:widowControl/>
        <w:numPr>
          <w:ilvl w:val="1"/>
          <w:numId w:val="26"/>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Mechanism of Action:</w:t>
      </w:r>
      <w:r w:rsidRPr="0080532C">
        <w:rPr>
          <w:rFonts w:ascii="Times New Roman" w:eastAsia="宋体" w:hAnsi="Times New Roman" w:cs="Times New Roman"/>
          <w:kern w:val="0"/>
          <w:szCs w:val="21"/>
          <w14:ligatures w14:val="none"/>
        </w:rPr>
        <w:t> Somatostatin and its analogues, such as octreotide, inhibit the release of various hormones, including pancreatic enzymes. By reducing pancreatic secretion, they aim to decrease the stimulation of the pancreas and potentially alleviate symptoms.</w:t>
      </w:r>
    </w:p>
    <w:p w14:paraId="6130ACB6" w14:textId="77777777" w:rsidR="004F167E" w:rsidRPr="0080532C" w:rsidRDefault="004F167E" w:rsidP="004F167E">
      <w:pPr>
        <w:widowControl/>
        <w:numPr>
          <w:ilvl w:val="1"/>
          <w:numId w:val="26"/>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Clinical Studies:</w:t>
      </w:r>
      <w:r w:rsidRPr="0080532C">
        <w:rPr>
          <w:rFonts w:ascii="Times New Roman" w:eastAsia="宋体" w:hAnsi="Times New Roman" w:cs="Times New Roman"/>
          <w:kern w:val="0"/>
          <w:szCs w:val="21"/>
          <w14:ligatures w14:val="none"/>
        </w:rPr>
        <w:t> Studies on the use of somatostatin analogues in severe acute pancreatitis have yielded mixed results. Some trials have suggested a reduction in pancreatic enzyme secretion and improvement in clinical outcomes, while others have not demonstrated a clear benefit.</w:t>
      </w:r>
    </w:p>
    <w:p w14:paraId="235E9BF5" w14:textId="77777777" w:rsidR="004F167E" w:rsidRPr="0080532C" w:rsidRDefault="004F167E" w:rsidP="004F167E">
      <w:pPr>
        <w:widowControl/>
        <w:numPr>
          <w:ilvl w:val="1"/>
          <w:numId w:val="26"/>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Current Status:</w:t>
      </w:r>
      <w:r w:rsidRPr="0080532C">
        <w:rPr>
          <w:rFonts w:ascii="Times New Roman" w:eastAsia="宋体" w:hAnsi="Times New Roman" w:cs="Times New Roman"/>
          <w:kern w:val="0"/>
          <w:szCs w:val="21"/>
          <w14:ligatures w14:val="none"/>
        </w:rPr>
        <w:t> The routine use of somatostatin analogues in severe acute pancreatitis is not universally endorsed. Guidelines may vary, and the decision to use these medications is often based on the clinician's judgment, considering the specific characteristics of the patient and the severity of the pancreatitis.</w:t>
      </w:r>
    </w:p>
    <w:p w14:paraId="7F91D7AC" w14:textId="77777777" w:rsidR="004F167E" w:rsidRPr="0080532C" w:rsidRDefault="004F167E" w:rsidP="004F167E">
      <w:pPr>
        <w:widowControl/>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 xml:space="preserve">In summary, the use of medications such as </w:t>
      </w:r>
      <w:proofErr w:type="spellStart"/>
      <w:r w:rsidRPr="0080532C">
        <w:rPr>
          <w:rFonts w:ascii="Times New Roman" w:eastAsia="宋体" w:hAnsi="Times New Roman" w:cs="Times New Roman"/>
          <w:kern w:val="0"/>
          <w:szCs w:val="21"/>
          <w14:ligatures w14:val="none"/>
        </w:rPr>
        <w:t>Gabexate</w:t>
      </w:r>
      <w:proofErr w:type="spellEnd"/>
      <w:r w:rsidRPr="0080532C">
        <w:rPr>
          <w:rFonts w:ascii="Times New Roman" w:eastAsia="宋体" w:hAnsi="Times New Roman" w:cs="Times New Roman"/>
          <w:kern w:val="0"/>
          <w:szCs w:val="21"/>
          <w14:ligatures w14:val="none"/>
        </w:rPr>
        <w:t xml:space="preserve"> </w:t>
      </w:r>
      <w:proofErr w:type="spellStart"/>
      <w:r w:rsidRPr="0080532C">
        <w:rPr>
          <w:rFonts w:ascii="Times New Roman" w:eastAsia="宋体" w:hAnsi="Times New Roman" w:cs="Times New Roman"/>
          <w:kern w:val="0"/>
          <w:szCs w:val="21"/>
          <w14:ligatures w14:val="none"/>
        </w:rPr>
        <w:t>Mesilate</w:t>
      </w:r>
      <w:proofErr w:type="spellEnd"/>
      <w:r w:rsidRPr="0080532C">
        <w:rPr>
          <w:rFonts w:ascii="Times New Roman" w:eastAsia="宋体" w:hAnsi="Times New Roman" w:cs="Times New Roman"/>
          <w:kern w:val="0"/>
          <w:szCs w:val="21"/>
          <w14:ligatures w14:val="none"/>
        </w:rPr>
        <w:t xml:space="preserve"> and somatostatin analogues in severe acute pancreatitis is not standardized, and their roles are not firmly established. The management of severe acute pancreatitis typically involves supportive care, pain control, nutritional support, and addressing complications such as infected pancreatic necrosis. The decision to use these medications should be made on an individualized basis, </w:t>
      </w:r>
      <w:proofErr w:type="gramStart"/>
      <w:r w:rsidRPr="0080532C">
        <w:rPr>
          <w:rFonts w:ascii="Times New Roman" w:eastAsia="宋体" w:hAnsi="Times New Roman" w:cs="Times New Roman"/>
          <w:kern w:val="0"/>
          <w:szCs w:val="21"/>
          <w14:ligatures w14:val="none"/>
        </w:rPr>
        <w:t>taking into account</w:t>
      </w:r>
      <w:proofErr w:type="gramEnd"/>
      <w:r w:rsidRPr="0080532C">
        <w:rPr>
          <w:rFonts w:ascii="Times New Roman" w:eastAsia="宋体" w:hAnsi="Times New Roman" w:cs="Times New Roman"/>
          <w:kern w:val="0"/>
          <w:szCs w:val="21"/>
          <w14:ligatures w14:val="none"/>
        </w:rPr>
        <w:t xml:space="preserve"> the patient's clinical condition, response to treatment, and potential risks and benefits. It is essential for healthcare providers to stay updated on the latest evidence and guidelines in this evolving field.</w:t>
      </w:r>
    </w:p>
    <w:p w14:paraId="2E0A29F5" w14:textId="3CA5417E" w:rsidR="0076721A" w:rsidRPr="0080532C" w:rsidRDefault="004F167E" w:rsidP="0076721A">
      <w:pPr>
        <w:widowControl/>
        <w:jc w:val="left"/>
        <w:rPr>
          <w:rFonts w:ascii="Times New Roman" w:eastAsia="宋体" w:hAnsi="Times New Roman" w:cs="Times New Roman"/>
          <w:b/>
          <w:bCs/>
          <w:kern w:val="0"/>
          <w:szCs w:val="21"/>
          <w14:ligatures w14:val="none"/>
        </w:rPr>
      </w:pPr>
      <w:r w:rsidRPr="0080532C">
        <w:rPr>
          <w:rFonts w:ascii="Times New Roman" w:hAnsi="Times New Roman" w:cs="Times New Roman"/>
          <w:b/>
          <w:bCs/>
          <w:szCs w:val="21"/>
        </w:rPr>
        <w:t>2</w:t>
      </w:r>
      <w:r w:rsidR="00A524E3">
        <w:rPr>
          <w:rFonts w:ascii="Times New Roman" w:hAnsi="Times New Roman" w:cs="Times New Roman"/>
          <w:b/>
          <w:bCs/>
          <w:szCs w:val="21"/>
        </w:rPr>
        <w:t>4</w:t>
      </w:r>
      <w:r w:rsidRPr="0080532C">
        <w:rPr>
          <w:rFonts w:ascii="Times New Roman" w:hAnsi="Times New Roman" w:cs="Times New Roman"/>
          <w:b/>
          <w:bCs/>
          <w:szCs w:val="21"/>
        </w:rPr>
        <w:t>、</w:t>
      </w:r>
      <w:r w:rsidR="0076721A" w:rsidRPr="0080532C">
        <w:rPr>
          <w:rFonts w:ascii="Times New Roman" w:eastAsia="宋体" w:hAnsi="Times New Roman" w:cs="Times New Roman"/>
          <w:b/>
          <w:bCs/>
          <w:kern w:val="0"/>
          <w:szCs w:val="21"/>
          <w14:ligatures w14:val="none"/>
        </w:rPr>
        <w:t xml:space="preserve">In severe acute </w:t>
      </w:r>
      <w:proofErr w:type="spellStart"/>
      <w:r w:rsidR="0076721A" w:rsidRPr="0080532C">
        <w:rPr>
          <w:rFonts w:ascii="Times New Roman" w:eastAsia="宋体" w:hAnsi="Times New Roman" w:cs="Times New Roman"/>
          <w:b/>
          <w:bCs/>
          <w:kern w:val="0"/>
          <w:szCs w:val="21"/>
          <w14:ligatures w14:val="none"/>
        </w:rPr>
        <w:t>pancreatitis,which</w:t>
      </w:r>
      <w:proofErr w:type="spellEnd"/>
      <w:r w:rsidR="0076721A" w:rsidRPr="0080532C">
        <w:rPr>
          <w:rFonts w:ascii="Times New Roman" w:eastAsia="宋体" w:hAnsi="Times New Roman" w:cs="Times New Roman"/>
          <w:b/>
          <w:bCs/>
          <w:kern w:val="0"/>
          <w:szCs w:val="21"/>
          <w14:ligatures w14:val="none"/>
        </w:rPr>
        <w:t xml:space="preserve"> are the indications for enteral nutrition?</w:t>
      </w:r>
    </w:p>
    <w:p w14:paraId="56F8770A" w14:textId="77777777" w:rsidR="0076721A" w:rsidRPr="0080532C" w:rsidRDefault="0076721A" w:rsidP="0076721A">
      <w:pPr>
        <w:widowControl/>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Enteral nutrition, or the provision of nutrients through the gastrointestinal tract, is generally preferred over parenteral nutrition (intravenous feeding) in the management of severe acute pancreatitis (SAP). Enteral nutrition has been shown to be associated with fewer complications and improved outcomes. The indications for enteral nutrition in severe acute pancreatitis include:</w:t>
      </w:r>
    </w:p>
    <w:p w14:paraId="14FBAF13" w14:textId="77777777" w:rsidR="0076721A" w:rsidRPr="0080532C" w:rsidRDefault="0076721A" w:rsidP="0076721A">
      <w:pPr>
        <w:widowControl/>
        <w:numPr>
          <w:ilvl w:val="0"/>
          <w:numId w:val="27"/>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Early Initiation:</w:t>
      </w:r>
    </w:p>
    <w:p w14:paraId="167829B9" w14:textId="77777777" w:rsidR="0076721A" w:rsidRPr="0080532C" w:rsidRDefault="0076721A" w:rsidP="0076721A">
      <w:pPr>
        <w:widowControl/>
        <w:numPr>
          <w:ilvl w:val="1"/>
          <w:numId w:val="27"/>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 xml:space="preserve">Early initiation of enteral nutrition within 24-48 hours of admission is recommended in patients with severe acute pancreatitis. This helps prevent </w:t>
      </w:r>
      <w:r w:rsidRPr="0080532C">
        <w:rPr>
          <w:rFonts w:ascii="Times New Roman" w:eastAsia="宋体" w:hAnsi="Times New Roman" w:cs="Times New Roman"/>
          <w:kern w:val="0"/>
          <w:szCs w:val="21"/>
          <w14:ligatures w14:val="none"/>
        </w:rPr>
        <w:lastRenderedPageBreak/>
        <w:t>complications associated with prolonged fasting and maintains gut mucosal integrity.</w:t>
      </w:r>
    </w:p>
    <w:p w14:paraId="1AE54C11" w14:textId="77777777" w:rsidR="0076721A" w:rsidRPr="0080532C" w:rsidRDefault="0076721A" w:rsidP="0076721A">
      <w:pPr>
        <w:widowControl/>
        <w:numPr>
          <w:ilvl w:val="0"/>
          <w:numId w:val="27"/>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Prevention of Gut Mucosal Atrophy:</w:t>
      </w:r>
    </w:p>
    <w:p w14:paraId="69A3E1F1" w14:textId="77777777" w:rsidR="0076721A" w:rsidRPr="0080532C" w:rsidRDefault="0076721A" w:rsidP="0076721A">
      <w:pPr>
        <w:widowControl/>
        <w:numPr>
          <w:ilvl w:val="1"/>
          <w:numId w:val="27"/>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Enteral nutrition helps maintain the structural and functional integrity of the gut mucosa, preventing mucosal atrophy and reducing the risk of bacterial translocation.</w:t>
      </w:r>
    </w:p>
    <w:p w14:paraId="4F1FDC7A" w14:textId="77777777" w:rsidR="0076721A" w:rsidRPr="0080532C" w:rsidRDefault="0076721A" w:rsidP="0076721A">
      <w:pPr>
        <w:widowControl/>
        <w:numPr>
          <w:ilvl w:val="0"/>
          <w:numId w:val="27"/>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Reduction of Systemic Inflammatory Response:</w:t>
      </w:r>
    </w:p>
    <w:p w14:paraId="145A0CD0" w14:textId="77777777" w:rsidR="0076721A" w:rsidRPr="0080532C" w:rsidRDefault="0076721A" w:rsidP="0076721A">
      <w:pPr>
        <w:widowControl/>
        <w:numPr>
          <w:ilvl w:val="1"/>
          <w:numId w:val="27"/>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Enteral nutrition may help modulate the systemic inflammatory response associated with severe acute pancreatitis, potentially reducing the risk of complications.</w:t>
      </w:r>
    </w:p>
    <w:p w14:paraId="5DAA4EE5" w14:textId="77777777" w:rsidR="0076721A" w:rsidRPr="0080532C" w:rsidRDefault="0076721A" w:rsidP="0076721A">
      <w:pPr>
        <w:widowControl/>
        <w:numPr>
          <w:ilvl w:val="0"/>
          <w:numId w:val="27"/>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Nutritional Support in Pancreatic Necrosis:</w:t>
      </w:r>
    </w:p>
    <w:p w14:paraId="69A17E08" w14:textId="77777777" w:rsidR="0076721A" w:rsidRPr="0080532C" w:rsidRDefault="0076721A" w:rsidP="0076721A">
      <w:pPr>
        <w:widowControl/>
        <w:numPr>
          <w:ilvl w:val="1"/>
          <w:numId w:val="27"/>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In patients with pancreatic necrosis, enteral nutrition is generally preferred over parenteral nutrition. Enteral nutrition has been associated with a lower rate of infectious complications compared to parenteral nutrition in this population.</w:t>
      </w:r>
    </w:p>
    <w:p w14:paraId="736CE6C0" w14:textId="77777777" w:rsidR="0076721A" w:rsidRPr="0080532C" w:rsidRDefault="0076721A" w:rsidP="0076721A">
      <w:pPr>
        <w:widowControl/>
        <w:numPr>
          <w:ilvl w:val="0"/>
          <w:numId w:val="27"/>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Preservation of Gut Barrier Function:</w:t>
      </w:r>
    </w:p>
    <w:p w14:paraId="33DD3888" w14:textId="77777777" w:rsidR="0076721A" w:rsidRPr="0080532C" w:rsidRDefault="0076721A" w:rsidP="0076721A">
      <w:pPr>
        <w:widowControl/>
        <w:numPr>
          <w:ilvl w:val="1"/>
          <w:numId w:val="27"/>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Enteral nutrition supports the maintenance of gut barrier function, reducing the risk of bacterial translocation and subsequent infections.</w:t>
      </w:r>
    </w:p>
    <w:p w14:paraId="48CE78B8" w14:textId="77777777" w:rsidR="0076721A" w:rsidRPr="0080532C" w:rsidRDefault="0076721A" w:rsidP="0076721A">
      <w:pPr>
        <w:widowControl/>
        <w:numPr>
          <w:ilvl w:val="0"/>
          <w:numId w:val="27"/>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Reduction in Complications:</w:t>
      </w:r>
    </w:p>
    <w:p w14:paraId="33FA1757" w14:textId="77777777" w:rsidR="0076721A" w:rsidRPr="0080532C" w:rsidRDefault="0076721A" w:rsidP="0076721A">
      <w:pPr>
        <w:widowControl/>
        <w:numPr>
          <w:ilvl w:val="1"/>
          <w:numId w:val="27"/>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Enteral nutrition has been associated with a lower risk of infectious complications, including pancreatic infection, compared to parenteral nutrition. It may also reduce the incidence of systemic infections.</w:t>
      </w:r>
    </w:p>
    <w:p w14:paraId="1C5E3F0C" w14:textId="77777777" w:rsidR="0076721A" w:rsidRPr="0080532C" w:rsidRDefault="0076721A" w:rsidP="0076721A">
      <w:pPr>
        <w:widowControl/>
        <w:numPr>
          <w:ilvl w:val="0"/>
          <w:numId w:val="27"/>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Improved Clinical Outcomes:</w:t>
      </w:r>
    </w:p>
    <w:p w14:paraId="66A56C0D" w14:textId="77777777" w:rsidR="0076721A" w:rsidRPr="0080532C" w:rsidRDefault="0076721A" w:rsidP="0076721A">
      <w:pPr>
        <w:widowControl/>
        <w:numPr>
          <w:ilvl w:val="1"/>
          <w:numId w:val="27"/>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Studies have suggested that enteral nutrition is associated with improved clinical outcomes, including a shorter hospital stay, in patients with severe acute pancreatitis.</w:t>
      </w:r>
    </w:p>
    <w:p w14:paraId="732F0D81" w14:textId="77777777" w:rsidR="0076721A" w:rsidRPr="0080532C" w:rsidRDefault="0076721A" w:rsidP="0076721A">
      <w:pPr>
        <w:widowControl/>
        <w:numPr>
          <w:ilvl w:val="0"/>
          <w:numId w:val="27"/>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Tolerance and Safety:</w:t>
      </w:r>
    </w:p>
    <w:p w14:paraId="6F260572" w14:textId="77777777" w:rsidR="0076721A" w:rsidRPr="0080532C" w:rsidRDefault="0076721A" w:rsidP="0076721A">
      <w:pPr>
        <w:widowControl/>
        <w:numPr>
          <w:ilvl w:val="1"/>
          <w:numId w:val="27"/>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Enteral nutrition is generally well-tolerated and safe in patients with severe acute pancreatitis. It is associated with fewer complications than parenteral nutrition, such as catheter-related infections.</w:t>
      </w:r>
    </w:p>
    <w:p w14:paraId="20ABE2B9" w14:textId="77777777" w:rsidR="0076721A" w:rsidRPr="0080532C" w:rsidRDefault="0076721A" w:rsidP="0076721A">
      <w:pPr>
        <w:widowControl/>
        <w:numPr>
          <w:ilvl w:val="0"/>
          <w:numId w:val="27"/>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Individualized Approach:</w:t>
      </w:r>
    </w:p>
    <w:p w14:paraId="7D2593DE" w14:textId="77777777" w:rsidR="0076721A" w:rsidRPr="0080532C" w:rsidRDefault="0076721A" w:rsidP="0076721A">
      <w:pPr>
        <w:widowControl/>
        <w:numPr>
          <w:ilvl w:val="1"/>
          <w:numId w:val="27"/>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The decision to initiate enteral nutrition should be individualized based on the patient's clinical condition, the severity of pancreatitis, and the presence of complications. In some cases, a step-up approach (starting with oral or nasogastric feeding and progressing to jejunal feeding if necessary) may be employed.</w:t>
      </w:r>
    </w:p>
    <w:p w14:paraId="25A6A27D" w14:textId="77777777" w:rsidR="0076721A" w:rsidRPr="0080532C" w:rsidRDefault="0076721A" w:rsidP="0076721A">
      <w:pPr>
        <w:widowControl/>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While enteral nutrition is generally preferred, there may be specific situations where it is contraindicated or not feasible. The decision to use enteral nutrition in severe acute pancreatitis should be made in consultation with a multidisciplinary team, considering the patient's overall clinical status and nutritional needs. Early initiation and careful monitoring are key components of successful enteral nutrition in severe acute pancreatitis.</w:t>
      </w:r>
    </w:p>
    <w:p w14:paraId="7015DB6E" w14:textId="4A91A08A" w:rsidR="0076721A" w:rsidRPr="0080532C" w:rsidRDefault="0076721A" w:rsidP="0076721A">
      <w:pPr>
        <w:widowControl/>
        <w:jc w:val="left"/>
        <w:rPr>
          <w:rFonts w:ascii="Times New Roman" w:eastAsia="宋体" w:hAnsi="Times New Roman" w:cs="Times New Roman"/>
          <w:b/>
          <w:bCs/>
          <w:kern w:val="0"/>
          <w:szCs w:val="21"/>
          <w14:ligatures w14:val="none"/>
        </w:rPr>
      </w:pPr>
      <w:r w:rsidRPr="0080532C">
        <w:rPr>
          <w:rFonts w:ascii="Times New Roman" w:hAnsi="Times New Roman" w:cs="Times New Roman"/>
          <w:b/>
          <w:bCs/>
          <w:szCs w:val="21"/>
        </w:rPr>
        <w:t>2</w:t>
      </w:r>
      <w:r w:rsidR="00A524E3">
        <w:rPr>
          <w:rFonts w:ascii="Times New Roman" w:hAnsi="Times New Roman" w:cs="Times New Roman"/>
          <w:b/>
          <w:bCs/>
          <w:szCs w:val="21"/>
        </w:rPr>
        <w:t>5</w:t>
      </w:r>
      <w:r w:rsidRPr="0080532C">
        <w:rPr>
          <w:rFonts w:ascii="Times New Roman" w:hAnsi="Times New Roman" w:cs="Times New Roman"/>
          <w:b/>
          <w:bCs/>
          <w:szCs w:val="21"/>
        </w:rPr>
        <w:t>、</w:t>
      </w:r>
      <w:r w:rsidRPr="0080532C">
        <w:rPr>
          <w:rFonts w:ascii="Times New Roman" w:eastAsia="宋体" w:hAnsi="Times New Roman" w:cs="Times New Roman"/>
          <w:b/>
          <w:bCs/>
          <w:kern w:val="0"/>
          <w:szCs w:val="21"/>
          <w14:ligatures w14:val="none"/>
        </w:rPr>
        <w:t>What type of nutrient solution should be used in enteral nutrition for severe acute pancreatitis?</w:t>
      </w:r>
    </w:p>
    <w:p w14:paraId="11900300" w14:textId="77777777" w:rsidR="0076721A" w:rsidRPr="0080532C" w:rsidRDefault="0076721A" w:rsidP="0076721A">
      <w:pPr>
        <w:widowControl/>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lastRenderedPageBreak/>
        <w:t>The choice of nutrient solution for enteral nutrition in severe acute pancreatitis (SAP) depends on several factors, including the patient's clinical condition, nutritional requirements, and tolerance. Here are some considerations and recommendations for nutrient solutions in SAP:</w:t>
      </w:r>
    </w:p>
    <w:p w14:paraId="5CCFCA2D" w14:textId="77777777" w:rsidR="0076721A" w:rsidRPr="0080532C" w:rsidRDefault="0076721A" w:rsidP="0076721A">
      <w:pPr>
        <w:widowControl/>
        <w:numPr>
          <w:ilvl w:val="0"/>
          <w:numId w:val="28"/>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Standard Polymeric Formula:</w:t>
      </w:r>
    </w:p>
    <w:p w14:paraId="2A8BFC83" w14:textId="77777777" w:rsidR="0076721A" w:rsidRPr="0080532C" w:rsidRDefault="0076721A" w:rsidP="0076721A">
      <w:pPr>
        <w:widowControl/>
        <w:numPr>
          <w:ilvl w:val="1"/>
          <w:numId w:val="28"/>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Description:</w:t>
      </w:r>
      <w:r w:rsidRPr="0080532C">
        <w:rPr>
          <w:rFonts w:ascii="Times New Roman" w:eastAsia="宋体" w:hAnsi="Times New Roman" w:cs="Times New Roman"/>
          <w:kern w:val="0"/>
          <w:szCs w:val="21"/>
          <w14:ligatures w14:val="none"/>
        </w:rPr>
        <w:t> Standard polymeric formulas contain intact proteins and are well-balanced in macronutrients (carbohydrates, proteins, and fats).</w:t>
      </w:r>
    </w:p>
    <w:p w14:paraId="5762F119" w14:textId="77777777" w:rsidR="0076721A" w:rsidRPr="0080532C" w:rsidRDefault="0076721A" w:rsidP="0076721A">
      <w:pPr>
        <w:widowControl/>
        <w:numPr>
          <w:ilvl w:val="1"/>
          <w:numId w:val="28"/>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Indications:</w:t>
      </w:r>
      <w:r w:rsidRPr="0080532C">
        <w:rPr>
          <w:rFonts w:ascii="Times New Roman" w:eastAsia="宋体" w:hAnsi="Times New Roman" w:cs="Times New Roman"/>
          <w:kern w:val="0"/>
          <w:szCs w:val="21"/>
          <w14:ligatures w14:val="none"/>
        </w:rPr>
        <w:t> Standard polymeric formulas are generally suitable for most patients with SAP who do not have specific contraindications or intolerances. They provide complete nutrition and can meet the nutritional needs of the patient.</w:t>
      </w:r>
    </w:p>
    <w:p w14:paraId="09C83F2D" w14:textId="77777777" w:rsidR="0076721A" w:rsidRPr="0080532C" w:rsidRDefault="0076721A" w:rsidP="0076721A">
      <w:pPr>
        <w:widowControl/>
        <w:numPr>
          <w:ilvl w:val="0"/>
          <w:numId w:val="28"/>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Elemental or Semi-Elemental Formulas:</w:t>
      </w:r>
    </w:p>
    <w:p w14:paraId="622C54D2" w14:textId="77777777" w:rsidR="0076721A" w:rsidRPr="0080532C" w:rsidRDefault="0076721A" w:rsidP="0076721A">
      <w:pPr>
        <w:widowControl/>
        <w:numPr>
          <w:ilvl w:val="1"/>
          <w:numId w:val="28"/>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Description:</w:t>
      </w:r>
      <w:r w:rsidRPr="0080532C">
        <w:rPr>
          <w:rFonts w:ascii="Times New Roman" w:eastAsia="宋体" w:hAnsi="Times New Roman" w:cs="Times New Roman"/>
          <w:kern w:val="0"/>
          <w:szCs w:val="21"/>
          <w14:ligatures w14:val="none"/>
        </w:rPr>
        <w:t> Elemental and semi-elemental formulas contain partially or fully hydrolyzed nutrients, which may be easier to absorb and require less pancreatic enzyme activity for digestion.</w:t>
      </w:r>
    </w:p>
    <w:p w14:paraId="59BEF453" w14:textId="77777777" w:rsidR="0076721A" w:rsidRPr="0080532C" w:rsidRDefault="0076721A" w:rsidP="0076721A">
      <w:pPr>
        <w:widowControl/>
        <w:numPr>
          <w:ilvl w:val="1"/>
          <w:numId w:val="28"/>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Indications:</w:t>
      </w:r>
      <w:r w:rsidRPr="0080532C">
        <w:rPr>
          <w:rFonts w:ascii="Times New Roman" w:eastAsia="宋体" w:hAnsi="Times New Roman" w:cs="Times New Roman"/>
          <w:kern w:val="0"/>
          <w:szCs w:val="21"/>
          <w14:ligatures w14:val="none"/>
        </w:rPr>
        <w:t> These specialized formulas may be considered in patients with compromised gastrointestinal function or those who have difficulty tolerating standard polymeric formulas. They can be especially useful if there is concern about malabsorption.</w:t>
      </w:r>
    </w:p>
    <w:p w14:paraId="0DAFED8C" w14:textId="77777777" w:rsidR="0076721A" w:rsidRPr="0080532C" w:rsidRDefault="0076721A" w:rsidP="0076721A">
      <w:pPr>
        <w:widowControl/>
        <w:numPr>
          <w:ilvl w:val="0"/>
          <w:numId w:val="28"/>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Dietary Fat Content:</w:t>
      </w:r>
    </w:p>
    <w:p w14:paraId="3138BBB9" w14:textId="77777777" w:rsidR="0076721A" w:rsidRPr="0080532C" w:rsidRDefault="0076721A" w:rsidP="0076721A">
      <w:pPr>
        <w:widowControl/>
        <w:numPr>
          <w:ilvl w:val="1"/>
          <w:numId w:val="28"/>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Low-Fat Formulas:</w:t>
      </w:r>
      <w:r w:rsidRPr="0080532C">
        <w:rPr>
          <w:rFonts w:ascii="Times New Roman" w:eastAsia="宋体" w:hAnsi="Times New Roman" w:cs="Times New Roman"/>
          <w:kern w:val="0"/>
          <w:szCs w:val="21"/>
          <w14:ligatures w14:val="none"/>
        </w:rPr>
        <w:t> In some cases, especially if there is evidence of fat malabsorption or intolerance, low-fat enteral formulas may be considered to reduce the load on the pancreas.</w:t>
      </w:r>
    </w:p>
    <w:p w14:paraId="688673F5" w14:textId="77777777" w:rsidR="0076721A" w:rsidRPr="0080532C" w:rsidRDefault="0076721A" w:rsidP="0076721A">
      <w:pPr>
        <w:widowControl/>
        <w:numPr>
          <w:ilvl w:val="0"/>
          <w:numId w:val="28"/>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Nutritional Content:</w:t>
      </w:r>
    </w:p>
    <w:p w14:paraId="091B7059" w14:textId="77777777" w:rsidR="0076721A" w:rsidRPr="0080532C" w:rsidRDefault="0076721A" w:rsidP="0076721A">
      <w:pPr>
        <w:widowControl/>
        <w:numPr>
          <w:ilvl w:val="1"/>
          <w:numId w:val="28"/>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 xml:space="preserve">The nutrient content of the enteral formula should be tailored to the patient's specific nutritional requirements, </w:t>
      </w:r>
      <w:proofErr w:type="gramStart"/>
      <w:r w:rsidRPr="0080532C">
        <w:rPr>
          <w:rFonts w:ascii="Times New Roman" w:eastAsia="宋体" w:hAnsi="Times New Roman" w:cs="Times New Roman"/>
          <w:kern w:val="0"/>
          <w:szCs w:val="21"/>
          <w14:ligatures w14:val="none"/>
        </w:rPr>
        <w:t>taking into account</w:t>
      </w:r>
      <w:proofErr w:type="gramEnd"/>
      <w:r w:rsidRPr="0080532C">
        <w:rPr>
          <w:rFonts w:ascii="Times New Roman" w:eastAsia="宋体" w:hAnsi="Times New Roman" w:cs="Times New Roman"/>
          <w:kern w:val="0"/>
          <w:szCs w:val="21"/>
          <w14:ligatures w14:val="none"/>
        </w:rPr>
        <w:t xml:space="preserve"> factors such as energy expenditure, protein needs, and micronutrient requirements.</w:t>
      </w:r>
    </w:p>
    <w:p w14:paraId="7CB1C0D9" w14:textId="77777777" w:rsidR="0076721A" w:rsidRPr="0080532C" w:rsidRDefault="0076721A" w:rsidP="0076721A">
      <w:pPr>
        <w:widowControl/>
        <w:numPr>
          <w:ilvl w:val="0"/>
          <w:numId w:val="28"/>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Modular Nutrition:</w:t>
      </w:r>
      <w:r w:rsidRPr="0080532C">
        <w:rPr>
          <w:rFonts w:ascii="Times New Roman" w:eastAsia="宋体" w:hAnsi="Times New Roman" w:cs="Times New Roman"/>
          <w:kern w:val="0"/>
          <w:szCs w:val="21"/>
          <w14:ligatures w14:val="none"/>
        </w:rPr>
        <w:t> In some cases, healthcare providers may choose to use modular nutrition, where individual macronutrients (protein, carbohydrates, fats) are provided separately. This allows for more precise adjustment of nutrient composition to meet the patient's needs.</w:t>
      </w:r>
    </w:p>
    <w:p w14:paraId="4A403FB7" w14:textId="77777777" w:rsidR="0076721A" w:rsidRPr="0080532C" w:rsidRDefault="0076721A" w:rsidP="0076721A">
      <w:pPr>
        <w:widowControl/>
        <w:numPr>
          <w:ilvl w:val="0"/>
          <w:numId w:val="28"/>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Vitamins and Minerals:</w:t>
      </w:r>
      <w:r w:rsidRPr="0080532C">
        <w:rPr>
          <w:rFonts w:ascii="Times New Roman" w:eastAsia="宋体" w:hAnsi="Times New Roman" w:cs="Times New Roman"/>
          <w:kern w:val="0"/>
          <w:szCs w:val="21"/>
          <w14:ligatures w14:val="none"/>
        </w:rPr>
        <w:t> Ensure that the chosen enteral formula or nutrient solution contains an appropriate balance of vitamins and minerals. SAP patients may have specific nutrient deficiencies or requirements that need to be addressed.</w:t>
      </w:r>
    </w:p>
    <w:p w14:paraId="1DD92520" w14:textId="77777777" w:rsidR="0076721A" w:rsidRPr="0080532C" w:rsidRDefault="0076721A" w:rsidP="0076721A">
      <w:pPr>
        <w:widowControl/>
        <w:numPr>
          <w:ilvl w:val="0"/>
          <w:numId w:val="28"/>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Specialized Nutrient Solutions:</w:t>
      </w:r>
      <w:r w:rsidRPr="0080532C">
        <w:rPr>
          <w:rFonts w:ascii="Times New Roman" w:eastAsia="宋体" w:hAnsi="Times New Roman" w:cs="Times New Roman"/>
          <w:kern w:val="0"/>
          <w:szCs w:val="21"/>
          <w14:ligatures w14:val="none"/>
        </w:rPr>
        <w:t> Depending on the patient's clinical course and specific needs, specialized nutrient solutions, such as immune-enhancing formulas or high-protein formulas, may be considered. These should be chosen based on clinical judgment and nutritional assessment.</w:t>
      </w:r>
    </w:p>
    <w:p w14:paraId="2E7207B4" w14:textId="77777777" w:rsidR="0076721A" w:rsidRPr="0080532C" w:rsidRDefault="0076721A" w:rsidP="0076721A">
      <w:pPr>
        <w:widowControl/>
        <w:numPr>
          <w:ilvl w:val="0"/>
          <w:numId w:val="28"/>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Avoidance of Lactose-Containing Formulas:</w:t>
      </w:r>
      <w:r w:rsidRPr="0080532C">
        <w:rPr>
          <w:rFonts w:ascii="Times New Roman" w:eastAsia="宋体" w:hAnsi="Times New Roman" w:cs="Times New Roman"/>
          <w:kern w:val="0"/>
          <w:szCs w:val="21"/>
          <w14:ligatures w14:val="none"/>
        </w:rPr>
        <w:t> In patients with lactose intolerance, it is essential to use lactose-free enteral formulas to prevent gastrointestinal symptoms.</w:t>
      </w:r>
    </w:p>
    <w:p w14:paraId="679E5E61" w14:textId="77777777" w:rsidR="0076721A" w:rsidRPr="0080532C" w:rsidRDefault="0076721A" w:rsidP="0076721A">
      <w:pPr>
        <w:widowControl/>
        <w:numPr>
          <w:ilvl w:val="0"/>
          <w:numId w:val="28"/>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Fiber Content:</w:t>
      </w:r>
      <w:r w:rsidRPr="0080532C">
        <w:rPr>
          <w:rFonts w:ascii="Times New Roman" w:eastAsia="宋体" w:hAnsi="Times New Roman" w:cs="Times New Roman"/>
          <w:kern w:val="0"/>
          <w:szCs w:val="21"/>
          <w14:ligatures w14:val="none"/>
        </w:rPr>
        <w:t> The fiber content of the formula should be assessed. In some cases, low-fiber or fiber-free formulas may be indicated to reduce the risk of gastrointestinal complications.</w:t>
      </w:r>
    </w:p>
    <w:p w14:paraId="41978ED9" w14:textId="77777777" w:rsidR="0076721A" w:rsidRPr="0080532C" w:rsidRDefault="0076721A" w:rsidP="0076721A">
      <w:pPr>
        <w:widowControl/>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 xml:space="preserve">The choice of nutrient solution should be individualized and based on a careful assessment of the patient's nutritional status and clinical condition. It is essential to involve a registered dietitian or nutritionist as part of the healthcare team to tailor the enteral nutrition plan to the patient's needs, </w:t>
      </w:r>
      <w:r w:rsidRPr="0080532C">
        <w:rPr>
          <w:rFonts w:ascii="Times New Roman" w:eastAsia="宋体" w:hAnsi="Times New Roman" w:cs="Times New Roman"/>
          <w:kern w:val="0"/>
          <w:szCs w:val="21"/>
          <w14:ligatures w14:val="none"/>
        </w:rPr>
        <w:lastRenderedPageBreak/>
        <w:t>monitor for any signs of intolerance or complications, and make necessary adjustments throughout the course of treatment. Regular monitoring and evaluation of the patient's response to enteral nutrition are critical for optimizing outcomes in severe acute pancreatitis.</w:t>
      </w:r>
    </w:p>
    <w:p w14:paraId="515369D6" w14:textId="6319C803" w:rsidR="00267777" w:rsidRPr="0080532C" w:rsidRDefault="0076721A" w:rsidP="00267777">
      <w:pPr>
        <w:widowControl/>
        <w:jc w:val="left"/>
        <w:rPr>
          <w:rFonts w:ascii="Times New Roman" w:eastAsia="宋体" w:hAnsi="Times New Roman" w:cs="Times New Roman"/>
          <w:b/>
          <w:bCs/>
          <w:kern w:val="0"/>
          <w:szCs w:val="21"/>
          <w14:ligatures w14:val="none"/>
        </w:rPr>
      </w:pPr>
      <w:r w:rsidRPr="0080532C">
        <w:rPr>
          <w:rFonts w:ascii="Times New Roman" w:hAnsi="Times New Roman" w:cs="Times New Roman"/>
          <w:b/>
          <w:bCs/>
          <w:szCs w:val="21"/>
        </w:rPr>
        <w:t>2</w:t>
      </w:r>
      <w:r w:rsidR="00A524E3">
        <w:rPr>
          <w:rFonts w:ascii="Times New Roman" w:hAnsi="Times New Roman" w:cs="Times New Roman"/>
          <w:b/>
          <w:bCs/>
          <w:szCs w:val="21"/>
        </w:rPr>
        <w:t>6</w:t>
      </w:r>
      <w:r w:rsidRPr="0080532C">
        <w:rPr>
          <w:rFonts w:ascii="Times New Roman" w:hAnsi="Times New Roman" w:cs="Times New Roman"/>
          <w:b/>
          <w:bCs/>
          <w:szCs w:val="21"/>
        </w:rPr>
        <w:t>、</w:t>
      </w:r>
      <w:r w:rsidR="00267777" w:rsidRPr="0080532C">
        <w:rPr>
          <w:rFonts w:ascii="Times New Roman" w:eastAsia="宋体" w:hAnsi="Times New Roman" w:cs="Times New Roman"/>
          <w:b/>
          <w:bCs/>
          <w:kern w:val="0"/>
          <w:szCs w:val="21"/>
          <w14:ligatures w14:val="none"/>
        </w:rPr>
        <w:t>In severe acute pancreatitis</w:t>
      </w:r>
      <w:r w:rsidR="00267777" w:rsidRPr="0080532C">
        <w:rPr>
          <w:rFonts w:ascii="Times New Roman" w:eastAsia="宋体" w:hAnsi="Times New Roman" w:cs="Times New Roman"/>
          <w:b/>
          <w:bCs/>
          <w:kern w:val="0"/>
          <w:szCs w:val="21"/>
          <w14:ligatures w14:val="none"/>
        </w:rPr>
        <w:t>，</w:t>
      </w:r>
      <w:r w:rsidR="00267777" w:rsidRPr="0080532C">
        <w:rPr>
          <w:rFonts w:ascii="Times New Roman" w:eastAsia="宋体" w:hAnsi="Times New Roman" w:cs="Times New Roman"/>
          <w:b/>
          <w:bCs/>
          <w:kern w:val="0"/>
          <w:szCs w:val="21"/>
          <w14:ligatures w14:val="none"/>
        </w:rPr>
        <w:t>which is the best way to administer enteral nutrition? gastric or jejunal feeding?</w:t>
      </w:r>
    </w:p>
    <w:p w14:paraId="08102ACF" w14:textId="77777777" w:rsidR="00267777" w:rsidRPr="0080532C" w:rsidRDefault="00267777" w:rsidP="00267777">
      <w:pPr>
        <w:widowControl/>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In severe acute pancreatitis, the preferred route for enteral nutrition is often through jejunal feeding rather than gastric feeding. This is because severe acute pancreatitis can lead to gastrointestinal dysfunction, and delivering nutrition directly into the jejunum can bypass the compromised gastric function.</w:t>
      </w:r>
    </w:p>
    <w:p w14:paraId="6F470889" w14:textId="77777777" w:rsidR="00267777" w:rsidRPr="0080532C" w:rsidRDefault="00267777" w:rsidP="00267777">
      <w:pPr>
        <w:widowControl/>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The advantages of jejunal feeding in severe acute pancreatitis include:</w:t>
      </w:r>
    </w:p>
    <w:p w14:paraId="131F5899" w14:textId="77777777" w:rsidR="00267777" w:rsidRPr="0080532C" w:rsidRDefault="00267777" w:rsidP="00267777">
      <w:pPr>
        <w:widowControl/>
        <w:numPr>
          <w:ilvl w:val="0"/>
          <w:numId w:val="44"/>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Reduced pancreatic stimulation:</w:t>
      </w:r>
      <w:r w:rsidRPr="0080532C">
        <w:rPr>
          <w:rFonts w:ascii="Times New Roman" w:eastAsia="宋体" w:hAnsi="Times New Roman" w:cs="Times New Roman"/>
          <w:kern w:val="0"/>
          <w:szCs w:val="21"/>
          <w14:ligatures w14:val="none"/>
        </w:rPr>
        <w:t> Jejunal feeding can help reduce the stimulation of the pancreas compared to gastric feeding, which may be important in cases of acute pancreatitis where pancreatic inflammation is a concern.</w:t>
      </w:r>
    </w:p>
    <w:p w14:paraId="34969D8E" w14:textId="77777777" w:rsidR="00267777" w:rsidRPr="0080532C" w:rsidRDefault="00267777" w:rsidP="00267777">
      <w:pPr>
        <w:widowControl/>
        <w:numPr>
          <w:ilvl w:val="0"/>
          <w:numId w:val="44"/>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Decreased risk of aspiration:</w:t>
      </w:r>
      <w:r w:rsidRPr="0080532C">
        <w:rPr>
          <w:rFonts w:ascii="Times New Roman" w:eastAsia="宋体" w:hAnsi="Times New Roman" w:cs="Times New Roman"/>
          <w:kern w:val="0"/>
          <w:szCs w:val="21"/>
          <w14:ligatures w14:val="none"/>
        </w:rPr>
        <w:t> Patients with severe acute pancreatitis may have impaired gastric motility, and gastric feeding can increase the risk of aspiration. Jejunal feeding, being distal to the pylorus, reduces the risk of gastric reflux and aspiration.</w:t>
      </w:r>
    </w:p>
    <w:p w14:paraId="11271E5D" w14:textId="77777777" w:rsidR="00267777" w:rsidRPr="0080532C" w:rsidRDefault="00267777" w:rsidP="00267777">
      <w:pPr>
        <w:widowControl/>
        <w:numPr>
          <w:ilvl w:val="0"/>
          <w:numId w:val="44"/>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Improved tolerance:</w:t>
      </w:r>
      <w:r w:rsidRPr="0080532C">
        <w:rPr>
          <w:rFonts w:ascii="Times New Roman" w:eastAsia="宋体" w:hAnsi="Times New Roman" w:cs="Times New Roman"/>
          <w:kern w:val="0"/>
          <w:szCs w:val="21"/>
          <w14:ligatures w14:val="none"/>
        </w:rPr>
        <w:t> Jejunal feeding is often better tolerated in patients with severe pancreatitis, as it avoids the potentially irritating effects of feeding directly into the stomach.</w:t>
      </w:r>
    </w:p>
    <w:p w14:paraId="24C49E18" w14:textId="77777777" w:rsidR="00267777" w:rsidRPr="0080532C" w:rsidRDefault="00267777" w:rsidP="00267777">
      <w:pPr>
        <w:widowControl/>
        <w:numPr>
          <w:ilvl w:val="0"/>
          <w:numId w:val="44"/>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Optimal nutrient absorption:</w:t>
      </w:r>
      <w:r w:rsidRPr="0080532C">
        <w:rPr>
          <w:rFonts w:ascii="Times New Roman" w:eastAsia="宋体" w:hAnsi="Times New Roman" w:cs="Times New Roman"/>
          <w:kern w:val="0"/>
          <w:szCs w:val="21"/>
          <w14:ligatures w14:val="none"/>
        </w:rPr>
        <w:t> Delivering nutrition directly into the jejunum allows for optimal nutrient absorption, which can be compromised in patients with severe acute pancreatitis.</w:t>
      </w:r>
    </w:p>
    <w:p w14:paraId="25F1BD10" w14:textId="77777777" w:rsidR="00267777" w:rsidRPr="0080532C" w:rsidRDefault="00267777" w:rsidP="00267777">
      <w:pPr>
        <w:widowControl/>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However, the choice between gastric and jejunal feeding should be individualized based on the patient's specific condition, the severity of pancreatitis, and other clinical factors. The decision may be influenced by factors such as the presence of gastrointestinal symptoms, intolerance to gastric feeding, or the need for early initiation of enteral nutrition. A multidisciplinary team, including gastroenterologists, nutritionists, and intensivists, should be involved in determining the most appropriate enteral nutrition strategy for each patient.</w:t>
      </w:r>
    </w:p>
    <w:p w14:paraId="28A4C4A3" w14:textId="45EEC715" w:rsidR="0076721A" w:rsidRPr="0080532C" w:rsidRDefault="0076721A" w:rsidP="00267777">
      <w:pPr>
        <w:widowControl/>
        <w:jc w:val="left"/>
        <w:rPr>
          <w:rFonts w:ascii="Times New Roman" w:eastAsia="宋体" w:hAnsi="Times New Roman" w:cs="Times New Roman"/>
          <w:kern w:val="0"/>
          <w:szCs w:val="21"/>
          <w14:ligatures w14:val="none"/>
        </w:rPr>
      </w:pPr>
    </w:p>
    <w:p w14:paraId="12FBD732" w14:textId="791BF5A7" w:rsidR="00CF3AE4" w:rsidRPr="0080532C" w:rsidRDefault="0076721A" w:rsidP="00CF3AE4">
      <w:pPr>
        <w:pStyle w:val="a3"/>
        <w:spacing w:before="0" w:beforeAutospacing="0" w:after="0" w:afterAutospacing="0"/>
        <w:rPr>
          <w:rFonts w:ascii="Times New Roman" w:hAnsi="Times New Roman" w:cs="Times New Roman"/>
          <w:b/>
          <w:bCs/>
          <w:sz w:val="21"/>
          <w:szCs w:val="21"/>
        </w:rPr>
      </w:pPr>
      <w:r w:rsidRPr="0080532C">
        <w:rPr>
          <w:rFonts w:ascii="Times New Roman" w:hAnsi="Times New Roman" w:cs="Times New Roman"/>
          <w:b/>
          <w:bCs/>
          <w:sz w:val="21"/>
          <w:szCs w:val="21"/>
        </w:rPr>
        <w:t>2</w:t>
      </w:r>
      <w:r w:rsidR="00A524E3">
        <w:rPr>
          <w:rFonts w:ascii="Times New Roman" w:hAnsi="Times New Roman" w:cs="Times New Roman"/>
          <w:b/>
          <w:bCs/>
          <w:sz w:val="21"/>
          <w:szCs w:val="21"/>
        </w:rPr>
        <w:t>7</w:t>
      </w:r>
      <w:r w:rsidRPr="0080532C">
        <w:rPr>
          <w:rFonts w:ascii="Times New Roman" w:hAnsi="Times New Roman" w:cs="Times New Roman"/>
          <w:b/>
          <w:bCs/>
          <w:sz w:val="21"/>
          <w:szCs w:val="21"/>
        </w:rPr>
        <w:t>、</w:t>
      </w:r>
      <w:r w:rsidR="00CF3AE4" w:rsidRPr="0080532C">
        <w:rPr>
          <w:rFonts w:ascii="Times New Roman" w:hAnsi="Times New Roman" w:cs="Times New Roman"/>
          <w:b/>
          <w:bCs/>
          <w:sz w:val="21"/>
          <w:szCs w:val="21"/>
        </w:rPr>
        <w:t>Which are the indications for emergent ERCP in</w:t>
      </w:r>
      <w:r w:rsidR="00CF3AE4" w:rsidRPr="0080532C">
        <w:rPr>
          <w:rFonts w:ascii="Times New Roman" w:hAnsi="Times New Roman" w:cs="Times New Roman"/>
          <w:b/>
          <w:bCs/>
          <w:sz w:val="21"/>
          <w:szCs w:val="21"/>
        </w:rPr>
        <w:br/>
        <w:t>case of severe acute pancreatitis?</w:t>
      </w:r>
    </w:p>
    <w:p w14:paraId="627B5900" w14:textId="77777777" w:rsidR="00CF3AE4" w:rsidRPr="0080532C" w:rsidRDefault="00CF3AE4" w:rsidP="00CF3AE4">
      <w:pPr>
        <w:widowControl/>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In severe acute pancreatitis (SAP), emergent endoscopic retrograde cholangiopancreatography (ERCP) may be indicated in certain situations to address specific complications or conditions. Here are some indications for emergent ERCP in SAP:</w:t>
      </w:r>
    </w:p>
    <w:p w14:paraId="31124BEA" w14:textId="77777777" w:rsidR="00CF3AE4" w:rsidRPr="0080532C" w:rsidRDefault="00CF3AE4" w:rsidP="00CF3AE4">
      <w:pPr>
        <w:widowControl/>
        <w:numPr>
          <w:ilvl w:val="0"/>
          <w:numId w:val="31"/>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Biliary Obstruction:</w:t>
      </w:r>
      <w:r w:rsidRPr="0080532C">
        <w:rPr>
          <w:rFonts w:ascii="Times New Roman" w:eastAsia="宋体" w:hAnsi="Times New Roman" w:cs="Times New Roman"/>
          <w:kern w:val="0"/>
          <w:szCs w:val="21"/>
          <w14:ligatures w14:val="none"/>
        </w:rPr>
        <w:t> If severe pancreatitis is associated with biliary obstruction, such as due to a gallstone lodged in the common bile duct, emergent ERCP may be necessary. Prompt clearance of the obstruction can help alleviate symptoms, reduce inflammation, and prevent complications like cholangitis or worsening pancreatitis.</w:t>
      </w:r>
    </w:p>
    <w:p w14:paraId="25F70D9A" w14:textId="77777777" w:rsidR="00CF3AE4" w:rsidRPr="0080532C" w:rsidRDefault="00CF3AE4" w:rsidP="00CF3AE4">
      <w:pPr>
        <w:widowControl/>
        <w:numPr>
          <w:ilvl w:val="0"/>
          <w:numId w:val="31"/>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Cholangitis:</w:t>
      </w:r>
      <w:r w:rsidRPr="0080532C">
        <w:rPr>
          <w:rFonts w:ascii="Times New Roman" w:eastAsia="宋体" w:hAnsi="Times New Roman" w:cs="Times New Roman"/>
          <w:kern w:val="0"/>
          <w:szCs w:val="21"/>
          <w14:ligatures w14:val="none"/>
        </w:rPr>
        <w:t> Cholangitis is an infection of the common bile duct that can occur when there is biliary obstruction. In SAP, cholangitis can lead to significant morbidity and mortality. Emergent ERCP is indicated in cases of severe acute cholangitis to decompress the biliary system, remove the obstruction, and administer antibiotics.</w:t>
      </w:r>
    </w:p>
    <w:p w14:paraId="11D18C43" w14:textId="77777777" w:rsidR="00CF3AE4" w:rsidRPr="0080532C" w:rsidRDefault="00CF3AE4" w:rsidP="00CF3AE4">
      <w:pPr>
        <w:widowControl/>
        <w:numPr>
          <w:ilvl w:val="0"/>
          <w:numId w:val="31"/>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Gallstone-Induced Pancreatitis:</w:t>
      </w:r>
      <w:r w:rsidRPr="0080532C">
        <w:rPr>
          <w:rFonts w:ascii="Times New Roman" w:eastAsia="宋体" w:hAnsi="Times New Roman" w:cs="Times New Roman"/>
          <w:kern w:val="0"/>
          <w:szCs w:val="21"/>
          <w14:ligatures w14:val="none"/>
        </w:rPr>
        <w:t xml:space="preserve"> If SAP is caused by a gallstone that has passed into the common bile duct and led to pancreatitis, emergent ERCP may be performed to identify </w:t>
      </w:r>
      <w:r w:rsidRPr="0080532C">
        <w:rPr>
          <w:rFonts w:ascii="Times New Roman" w:eastAsia="宋体" w:hAnsi="Times New Roman" w:cs="Times New Roman"/>
          <w:kern w:val="0"/>
          <w:szCs w:val="21"/>
          <w14:ligatures w14:val="none"/>
        </w:rPr>
        <w:lastRenderedPageBreak/>
        <w:t>and remove the stone. This can help prevent further pancreatitis episodes and complications.</w:t>
      </w:r>
    </w:p>
    <w:p w14:paraId="2EFEAC79" w14:textId="77777777" w:rsidR="00CF3AE4" w:rsidRPr="0080532C" w:rsidRDefault="00CF3AE4" w:rsidP="00CF3AE4">
      <w:pPr>
        <w:widowControl/>
        <w:numPr>
          <w:ilvl w:val="0"/>
          <w:numId w:val="31"/>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Biliary Stricture or Leaks:</w:t>
      </w:r>
      <w:r w:rsidRPr="0080532C">
        <w:rPr>
          <w:rFonts w:ascii="Times New Roman" w:eastAsia="宋体" w:hAnsi="Times New Roman" w:cs="Times New Roman"/>
          <w:kern w:val="0"/>
          <w:szCs w:val="21"/>
          <w14:ligatures w14:val="none"/>
        </w:rPr>
        <w:t> In some cases, severe acute pancreatitis can cause biliary strictures or leaks. Emergent ERCP can be performed to diagnose and manage these conditions, including the placement of stents or other interventions to relieve the obstruction or seal the leak.</w:t>
      </w:r>
    </w:p>
    <w:p w14:paraId="7B2B7864" w14:textId="77777777" w:rsidR="00CF3AE4" w:rsidRPr="0080532C" w:rsidRDefault="00CF3AE4" w:rsidP="00CF3AE4">
      <w:pPr>
        <w:widowControl/>
        <w:numPr>
          <w:ilvl w:val="0"/>
          <w:numId w:val="31"/>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Pseudocysts with Signs of Infection or Obstruction:</w:t>
      </w:r>
      <w:r w:rsidRPr="0080532C">
        <w:rPr>
          <w:rFonts w:ascii="Times New Roman" w:eastAsia="宋体" w:hAnsi="Times New Roman" w:cs="Times New Roman"/>
          <w:kern w:val="0"/>
          <w:szCs w:val="21"/>
          <w14:ligatures w14:val="none"/>
        </w:rPr>
        <w:t> Pseudocysts are fluid-filled collections often seen in SAP. If a pseudocyst becomes infected or obstructs a nearby structure, such as the common bile duct or duodenum, emergent ERCP may be necessary. ERCP can help drain the pseudocyst or place stents to alleviate the obstruction.</w:t>
      </w:r>
    </w:p>
    <w:p w14:paraId="4DB69DBF" w14:textId="77777777" w:rsidR="00CF3AE4" w:rsidRPr="0080532C" w:rsidRDefault="00CF3AE4" w:rsidP="00CF3AE4">
      <w:pPr>
        <w:widowControl/>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It is crucial to emphasize that the decision to perform emergent ERCP in SAP should consider the patient's overall clinical status, severity of pancreatitis, and the expertise available. A multidisciplinary team, typically involving gastroenterologists, surgeons, and radiologists, should be involved in assessing the specific indications and risks associated with emergent ERCP. The procedure should be performed by an experienced endoscopist in an appropriate facility, considering the patient's stability and the availability of necessary resources for potential complications.</w:t>
      </w:r>
    </w:p>
    <w:p w14:paraId="0E756D08" w14:textId="2460349F" w:rsidR="00267777" w:rsidRPr="0080532C" w:rsidRDefault="00CF3AE4" w:rsidP="00267777">
      <w:pPr>
        <w:widowControl/>
        <w:jc w:val="left"/>
        <w:rPr>
          <w:rFonts w:ascii="Times New Roman" w:eastAsia="宋体" w:hAnsi="Times New Roman" w:cs="Times New Roman"/>
          <w:b/>
          <w:bCs/>
          <w:kern w:val="0"/>
          <w:szCs w:val="21"/>
          <w14:ligatures w14:val="none"/>
        </w:rPr>
      </w:pPr>
      <w:r w:rsidRPr="0080532C">
        <w:rPr>
          <w:rFonts w:ascii="Times New Roman" w:hAnsi="Times New Roman" w:cs="Times New Roman"/>
          <w:b/>
          <w:bCs/>
          <w:szCs w:val="21"/>
        </w:rPr>
        <w:t>2</w:t>
      </w:r>
      <w:r w:rsidR="00A524E3">
        <w:rPr>
          <w:rFonts w:ascii="Times New Roman" w:hAnsi="Times New Roman" w:cs="Times New Roman"/>
          <w:b/>
          <w:bCs/>
          <w:szCs w:val="21"/>
        </w:rPr>
        <w:t>8</w:t>
      </w:r>
      <w:r w:rsidRPr="0080532C">
        <w:rPr>
          <w:rFonts w:ascii="Times New Roman" w:hAnsi="Times New Roman" w:cs="Times New Roman"/>
          <w:b/>
          <w:bCs/>
          <w:szCs w:val="21"/>
        </w:rPr>
        <w:t>、</w:t>
      </w:r>
      <w:r w:rsidR="00267777" w:rsidRPr="0080532C">
        <w:rPr>
          <w:rFonts w:ascii="Times New Roman" w:eastAsia="宋体" w:hAnsi="Times New Roman" w:cs="Times New Roman"/>
          <w:b/>
          <w:bCs/>
          <w:kern w:val="0"/>
          <w:szCs w:val="21"/>
          <w14:ligatures w14:val="none"/>
        </w:rPr>
        <w:t>What is the preferred surgical strategy for infectious pancreatic necrosis in severe acute pancreatitis?</w:t>
      </w:r>
    </w:p>
    <w:p w14:paraId="49E48C58" w14:textId="77777777" w:rsidR="00267777" w:rsidRPr="0080532C" w:rsidRDefault="00267777" w:rsidP="00267777">
      <w:pPr>
        <w:widowControl/>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The preferred surgical strategy for infectious pancreatic necrosis (IPN) in severe acute pancreatitis is still a topic of debate and will depend on the individual patient's condition and the expertise of the surgical team. However, there are a few surgical options that may be considered:</w:t>
      </w:r>
    </w:p>
    <w:p w14:paraId="5FE8EDE6" w14:textId="77777777" w:rsidR="00267777" w:rsidRPr="0080532C" w:rsidRDefault="00267777" w:rsidP="00267777">
      <w:pPr>
        <w:widowControl/>
        <w:numPr>
          <w:ilvl w:val="0"/>
          <w:numId w:val="43"/>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 xml:space="preserve">Pancreatic </w:t>
      </w:r>
      <w:proofErr w:type="spellStart"/>
      <w:r w:rsidRPr="0080532C">
        <w:rPr>
          <w:rFonts w:ascii="Times New Roman" w:eastAsia="宋体" w:hAnsi="Times New Roman" w:cs="Times New Roman"/>
          <w:kern w:val="0"/>
          <w:szCs w:val="21"/>
          <w14:ligatures w14:val="none"/>
        </w:rPr>
        <w:t>necrosectomy</w:t>
      </w:r>
      <w:proofErr w:type="spellEnd"/>
      <w:r w:rsidRPr="0080532C">
        <w:rPr>
          <w:rFonts w:ascii="Times New Roman" w:eastAsia="宋体" w:hAnsi="Times New Roman" w:cs="Times New Roman"/>
          <w:kern w:val="0"/>
          <w:szCs w:val="21"/>
          <w14:ligatures w14:val="none"/>
        </w:rPr>
        <w:t xml:space="preserve">: This involves the removal of the necrotic (dead) tissue from the pancreas. It may be performed via an open surgical approach or minimally invasive techniques such as laparoscopy or endoscopic retrograde cholangiopancreatography (ERCP). The timing of the </w:t>
      </w:r>
      <w:proofErr w:type="spellStart"/>
      <w:r w:rsidRPr="0080532C">
        <w:rPr>
          <w:rFonts w:ascii="Times New Roman" w:eastAsia="宋体" w:hAnsi="Times New Roman" w:cs="Times New Roman"/>
          <w:kern w:val="0"/>
          <w:szCs w:val="21"/>
          <w14:ligatures w14:val="none"/>
        </w:rPr>
        <w:t>necrosectomy</w:t>
      </w:r>
      <w:proofErr w:type="spellEnd"/>
      <w:r w:rsidRPr="0080532C">
        <w:rPr>
          <w:rFonts w:ascii="Times New Roman" w:eastAsia="宋体" w:hAnsi="Times New Roman" w:cs="Times New Roman"/>
          <w:kern w:val="0"/>
          <w:szCs w:val="21"/>
          <w14:ligatures w14:val="none"/>
        </w:rPr>
        <w:t xml:space="preserve"> is critical and early intervention may be necessary in severe cases.</w:t>
      </w:r>
    </w:p>
    <w:p w14:paraId="05FB79E8" w14:textId="77777777" w:rsidR="00267777" w:rsidRPr="0080532C" w:rsidRDefault="00267777" w:rsidP="00267777">
      <w:pPr>
        <w:widowControl/>
        <w:numPr>
          <w:ilvl w:val="0"/>
          <w:numId w:val="43"/>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 xml:space="preserve">Step-up approach: This strategy involves initially using minimally invasive techniques such as percutaneous drainage or minimally invasive </w:t>
      </w:r>
      <w:proofErr w:type="spellStart"/>
      <w:r w:rsidRPr="0080532C">
        <w:rPr>
          <w:rFonts w:ascii="Times New Roman" w:eastAsia="宋体" w:hAnsi="Times New Roman" w:cs="Times New Roman"/>
          <w:kern w:val="0"/>
          <w:szCs w:val="21"/>
          <w14:ligatures w14:val="none"/>
        </w:rPr>
        <w:t>necrosectomy</w:t>
      </w:r>
      <w:proofErr w:type="spellEnd"/>
      <w:r w:rsidRPr="0080532C">
        <w:rPr>
          <w:rFonts w:ascii="Times New Roman" w:eastAsia="宋体" w:hAnsi="Times New Roman" w:cs="Times New Roman"/>
          <w:kern w:val="0"/>
          <w:szCs w:val="21"/>
          <w14:ligatures w14:val="none"/>
        </w:rPr>
        <w:t>. If these methods are unsuccessful or the patient's condition worsens, a more invasive surgical approach may be considered.</w:t>
      </w:r>
    </w:p>
    <w:p w14:paraId="1B807B98" w14:textId="77777777" w:rsidR="00267777" w:rsidRPr="0080532C" w:rsidRDefault="00267777" w:rsidP="00267777">
      <w:pPr>
        <w:widowControl/>
        <w:numPr>
          <w:ilvl w:val="0"/>
          <w:numId w:val="43"/>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Open surgical approaches: In some cases, an open surgical approach may be necessary, particularly if there are extensive necrotic areas or if there are complications such as abscesses or fistulas. The specific procedure performed may depend on the individual patient's case and the surgeon's experience.</w:t>
      </w:r>
    </w:p>
    <w:p w14:paraId="2B12468B" w14:textId="77777777" w:rsidR="00267777" w:rsidRPr="0080532C" w:rsidRDefault="00267777" w:rsidP="00267777">
      <w:pPr>
        <w:widowControl/>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It is important for a multidisciplinary team including gastroenterologists, intensivists, and surgeons to evaluate each patient's condition and discuss the best surgical strategy to optimize outcomes.</w:t>
      </w:r>
    </w:p>
    <w:p w14:paraId="1D0EC193" w14:textId="7729118B" w:rsidR="00EC2F8E" w:rsidRPr="0080532C" w:rsidRDefault="00EC2F8E" w:rsidP="00267777">
      <w:pPr>
        <w:widowControl/>
        <w:jc w:val="left"/>
        <w:rPr>
          <w:rFonts w:ascii="Times New Roman" w:hAnsi="Times New Roman" w:cs="Times New Roman"/>
          <w:szCs w:val="21"/>
        </w:rPr>
      </w:pPr>
    </w:p>
    <w:p w14:paraId="246C0F68" w14:textId="6CB887F9" w:rsidR="00CF3AE4" w:rsidRPr="0080532C" w:rsidRDefault="00A524E3" w:rsidP="00CF3AE4">
      <w:pPr>
        <w:widowControl/>
        <w:jc w:val="left"/>
        <w:rPr>
          <w:rFonts w:ascii="Times New Roman" w:eastAsia="宋体" w:hAnsi="Times New Roman" w:cs="Times New Roman"/>
          <w:b/>
          <w:bCs/>
          <w:kern w:val="0"/>
          <w:szCs w:val="21"/>
          <w14:ligatures w14:val="none"/>
        </w:rPr>
      </w:pPr>
      <w:r>
        <w:rPr>
          <w:rFonts w:ascii="Times New Roman" w:hAnsi="Times New Roman" w:cs="Times New Roman"/>
          <w:b/>
          <w:bCs/>
          <w:szCs w:val="21"/>
        </w:rPr>
        <w:t>29</w:t>
      </w:r>
      <w:r w:rsidR="00CF3AE4" w:rsidRPr="0080532C">
        <w:rPr>
          <w:rFonts w:ascii="Times New Roman" w:hAnsi="Times New Roman" w:cs="Times New Roman"/>
          <w:b/>
          <w:bCs/>
          <w:szCs w:val="21"/>
        </w:rPr>
        <w:t>、</w:t>
      </w:r>
      <w:r w:rsidR="00CF3AE4" w:rsidRPr="0080532C">
        <w:rPr>
          <w:rFonts w:ascii="Times New Roman" w:eastAsia="宋体" w:hAnsi="Times New Roman" w:cs="Times New Roman"/>
          <w:b/>
          <w:bCs/>
          <w:kern w:val="0"/>
          <w:szCs w:val="21"/>
          <w14:ligatures w14:val="none"/>
        </w:rPr>
        <w:t xml:space="preserve">In severe acute </w:t>
      </w:r>
      <w:proofErr w:type="spellStart"/>
      <w:r w:rsidR="00CF3AE4" w:rsidRPr="0080532C">
        <w:rPr>
          <w:rFonts w:ascii="Times New Roman" w:eastAsia="宋体" w:hAnsi="Times New Roman" w:cs="Times New Roman"/>
          <w:b/>
          <w:bCs/>
          <w:kern w:val="0"/>
          <w:szCs w:val="21"/>
          <w14:ligatures w14:val="none"/>
        </w:rPr>
        <w:t>pancreatitis,which</w:t>
      </w:r>
      <w:proofErr w:type="spellEnd"/>
      <w:r w:rsidR="00CF3AE4" w:rsidRPr="0080532C">
        <w:rPr>
          <w:rFonts w:ascii="Times New Roman" w:eastAsia="宋体" w:hAnsi="Times New Roman" w:cs="Times New Roman"/>
          <w:b/>
          <w:bCs/>
          <w:kern w:val="0"/>
          <w:szCs w:val="21"/>
          <w14:ligatures w14:val="none"/>
        </w:rPr>
        <w:t xml:space="preserve"> are the indications for percutaneous/endoscopic drainage of pancreatic collections (</w:t>
      </w:r>
      <w:proofErr w:type="spellStart"/>
      <w:r w:rsidR="00CF3AE4" w:rsidRPr="0080532C">
        <w:rPr>
          <w:rFonts w:ascii="Times New Roman" w:eastAsia="宋体" w:hAnsi="Times New Roman" w:cs="Times New Roman"/>
          <w:b/>
          <w:bCs/>
          <w:kern w:val="0"/>
          <w:szCs w:val="21"/>
          <w14:ligatures w14:val="none"/>
        </w:rPr>
        <w:t>i.e.,sterile</w:t>
      </w:r>
      <w:proofErr w:type="spellEnd"/>
      <w:r w:rsidR="00CF3AE4" w:rsidRPr="0080532C">
        <w:rPr>
          <w:rFonts w:ascii="Times New Roman" w:eastAsia="宋体" w:hAnsi="Times New Roman" w:cs="Times New Roman"/>
          <w:b/>
          <w:bCs/>
          <w:kern w:val="0"/>
          <w:szCs w:val="21"/>
          <w14:ligatures w14:val="none"/>
        </w:rPr>
        <w:t xml:space="preserve"> necrosis, infected necrosis, others)?</w:t>
      </w:r>
    </w:p>
    <w:p w14:paraId="6097D5F5" w14:textId="77777777" w:rsidR="00CF3AE4" w:rsidRPr="0080532C" w:rsidRDefault="00CF3AE4" w:rsidP="00CF3AE4">
      <w:pPr>
        <w:widowControl/>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 xml:space="preserve">In severe acute pancreatitis (SAP), the indications for percutaneous or endoscopic drainage of pancreatic collections, including sterile necrosis and infected necrosis, depend on various factors. The decision to proceed with drainage is typically based on the patient's clinical condition, the </w:t>
      </w:r>
      <w:r w:rsidRPr="0080532C">
        <w:rPr>
          <w:rFonts w:ascii="Times New Roman" w:eastAsia="宋体" w:hAnsi="Times New Roman" w:cs="Times New Roman"/>
          <w:kern w:val="0"/>
          <w:szCs w:val="21"/>
          <w14:ligatures w14:val="none"/>
        </w:rPr>
        <w:lastRenderedPageBreak/>
        <w:t>nature of the pancreatic collection, associated complications, and the expertise available. Here are some indications for percutaneous or endoscopic drainage:</w:t>
      </w:r>
    </w:p>
    <w:p w14:paraId="3BF80C4B" w14:textId="77777777" w:rsidR="00CF3AE4" w:rsidRPr="0080532C" w:rsidRDefault="00CF3AE4" w:rsidP="00CF3AE4">
      <w:pPr>
        <w:widowControl/>
        <w:numPr>
          <w:ilvl w:val="0"/>
          <w:numId w:val="33"/>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Infected Pancreatic Necrosis (IPN):</w:t>
      </w:r>
    </w:p>
    <w:p w14:paraId="35FC6F7D" w14:textId="77777777" w:rsidR="00CF3AE4" w:rsidRPr="0080532C" w:rsidRDefault="00CF3AE4" w:rsidP="00CF3AE4">
      <w:pPr>
        <w:widowControl/>
        <w:numPr>
          <w:ilvl w:val="1"/>
          <w:numId w:val="33"/>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Indication:</w:t>
      </w:r>
      <w:r w:rsidRPr="0080532C">
        <w:rPr>
          <w:rFonts w:ascii="Times New Roman" w:eastAsia="宋体" w:hAnsi="Times New Roman" w:cs="Times New Roman"/>
          <w:kern w:val="0"/>
          <w:szCs w:val="21"/>
          <w14:ligatures w14:val="none"/>
        </w:rPr>
        <w:t> If there is evidence of infected pancreatic necrosis, characterized by clinical signs of infection (such as fever, elevated white blood cell count) and radiologic evidence of gas bubbles or infected fluid collections on imaging (CT scan), drainage is typically indicated.</w:t>
      </w:r>
    </w:p>
    <w:p w14:paraId="304DEADF" w14:textId="77777777" w:rsidR="00CF3AE4" w:rsidRPr="0080532C" w:rsidRDefault="00CF3AE4" w:rsidP="00CF3AE4">
      <w:pPr>
        <w:widowControl/>
        <w:numPr>
          <w:ilvl w:val="1"/>
          <w:numId w:val="33"/>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Approach:</w:t>
      </w:r>
      <w:r w:rsidRPr="0080532C">
        <w:rPr>
          <w:rFonts w:ascii="Times New Roman" w:eastAsia="宋体" w:hAnsi="Times New Roman" w:cs="Times New Roman"/>
          <w:kern w:val="0"/>
          <w:szCs w:val="21"/>
          <w14:ligatures w14:val="none"/>
        </w:rPr>
        <w:t> Percutaneous or endoscopic drainage can be employed. This involves inserting a catheter or stent into the infected collection to facilitate drainage and removal of infected material.</w:t>
      </w:r>
    </w:p>
    <w:p w14:paraId="38384C65" w14:textId="77777777" w:rsidR="00CF3AE4" w:rsidRPr="0080532C" w:rsidRDefault="00CF3AE4" w:rsidP="00CF3AE4">
      <w:pPr>
        <w:widowControl/>
        <w:numPr>
          <w:ilvl w:val="0"/>
          <w:numId w:val="33"/>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Symptomatic Pancreatic Pseudocysts:</w:t>
      </w:r>
    </w:p>
    <w:p w14:paraId="62D7A14C" w14:textId="77777777" w:rsidR="00CF3AE4" w:rsidRPr="0080532C" w:rsidRDefault="00CF3AE4" w:rsidP="00CF3AE4">
      <w:pPr>
        <w:widowControl/>
        <w:numPr>
          <w:ilvl w:val="1"/>
          <w:numId w:val="33"/>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Indication:</w:t>
      </w:r>
      <w:r w:rsidRPr="0080532C">
        <w:rPr>
          <w:rFonts w:ascii="Times New Roman" w:eastAsia="宋体" w:hAnsi="Times New Roman" w:cs="Times New Roman"/>
          <w:kern w:val="0"/>
          <w:szCs w:val="21"/>
          <w14:ligatures w14:val="none"/>
        </w:rPr>
        <w:t> Symptomatic pseudocysts that cause persistent pain, gastric outlet or biliary obstruction, or infection may require drainage.</w:t>
      </w:r>
    </w:p>
    <w:p w14:paraId="0553BBF3" w14:textId="77777777" w:rsidR="00CF3AE4" w:rsidRPr="0080532C" w:rsidRDefault="00CF3AE4" w:rsidP="00CF3AE4">
      <w:pPr>
        <w:widowControl/>
        <w:numPr>
          <w:ilvl w:val="1"/>
          <w:numId w:val="33"/>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Approach:</w:t>
      </w:r>
      <w:r w:rsidRPr="0080532C">
        <w:rPr>
          <w:rFonts w:ascii="Times New Roman" w:eastAsia="宋体" w:hAnsi="Times New Roman" w:cs="Times New Roman"/>
          <w:kern w:val="0"/>
          <w:szCs w:val="21"/>
          <w14:ligatures w14:val="none"/>
        </w:rPr>
        <w:t> Percutaneous or endoscopic drainage can be used to drain the pseudocyst, either through the skin or by creating an internal connection with the gastrointestinal tract (</w:t>
      </w:r>
      <w:proofErr w:type="spellStart"/>
      <w:r w:rsidRPr="0080532C">
        <w:rPr>
          <w:rFonts w:ascii="Times New Roman" w:eastAsia="宋体" w:hAnsi="Times New Roman" w:cs="Times New Roman"/>
          <w:kern w:val="0"/>
          <w:szCs w:val="21"/>
          <w14:ligatures w14:val="none"/>
        </w:rPr>
        <w:t>cystogastrostomy</w:t>
      </w:r>
      <w:proofErr w:type="spellEnd"/>
      <w:r w:rsidRPr="0080532C">
        <w:rPr>
          <w:rFonts w:ascii="Times New Roman" w:eastAsia="宋体" w:hAnsi="Times New Roman" w:cs="Times New Roman"/>
          <w:kern w:val="0"/>
          <w:szCs w:val="21"/>
          <w14:ligatures w14:val="none"/>
        </w:rPr>
        <w:t xml:space="preserve"> or </w:t>
      </w:r>
      <w:proofErr w:type="spellStart"/>
      <w:r w:rsidRPr="0080532C">
        <w:rPr>
          <w:rFonts w:ascii="Times New Roman" w:eastAsia="宋体" w:hAnsi="Times New Roman" w:cs="Times New Roman"/>
          <w:kern w:val="0"/>
          <w:szCs w:val="21"/>
          <w14:ligatures w14:val="none"/>
        </w:rPr>
        <w:t>cystojejunostomy</w:t>
      </w:r>
      <w:proofErr w:type="spellEnd"/>
      <w:r w:rsidRPr="0080532C">
        <w:rPr>
          <w:rFonts w:ascii="Times New Roman" w:eastAsia="宋体" w:hAnsi="Times New Roman" w:cs="Times New Roman"/>
          <w:kern w:val="0"/>
          <w:szCs w:val="21"/>
          <w14:ligatures w14:val="none"/>
        </w:rPr>
        <w:t>).</w:t>
      </w:r>
    </w:p>
    <w:p w14:paraId="785E1CDC" w14:textId="77777777" w:rsidR="00CF3AE4" w:rsidRPr="0080532C" w:rsidRDefault="00CF3AE4" w:rsidP="00CF3AE4">
      <w:pPr>
        <w:widowControl/>
        <w:numPr>
          <w:ilvl w:val="0"/>
          <w:numId w:val="33"/>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Abdominal Compartment Syndrome:</w:t>
      </w:r>
    </w:p>
    <w:p w14:paraId="4D861DFB" w14:textId="77777777" w:rsidR="00CF3AE4" w:rsidRPr="0080532C" w:rsidRDefault="00CF3AE4" w:rsidP="00CF3AE4">
      <w:pPr>
        <w:widowControl/>
        <w:numPr>
          <w:ilvl w:val="1"/>
          <w:numId w:val="33"/>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Indication:</w:t>
      </w:r>
      <w:r w:rsidRPr="0080532C">
        <w:rPr>
          <w:rFonts w:ascii="Times New Roman" w:eastAsia="宋体" w:hAnsi="Times New Roman" w:cs="Times New Roman"/>
          <w:kern w:val="0"/>
          <w:szCs w:val="21"/>
          <w14:ligatures w14:val="none"/>
        </w:rPr>
        <w:t> Severe acute pancreatitis can lead to abdominal compartment syndrome, which is characterized by increased intra-abdominal pressure causing organ dysfunction. In such cases, drainage may be considered.</w:t>
      </w:r>
    </w:p>
    <w:p w14:paraId="2D38FBFA" w14:textId="77777777" w:rsidR="00CF3AE4" w:rsidRPr="0080532C" w:rsidRDefault="00CF3AE4" w:rsidP="00CF3AE4">
      <w:pPr>
        <w:widowControl/>
        <w:numPr>
          <w:ilvl w:val="1"/>
          <w:numId w:val="33"/>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Approach:</w:t>
      </w:r>
      <w:r w:rsidRPr="0080532C">
        <w:rPr>
          <w:rFonts w:ascii="Times New Roman" w:eastAsia="宋体" w:hAnsi="Times New Roman" w:cs="Times New Roman"/>
          <w:kern w:val="0"/>
          <w:szCs w:val="21"/>
          <w14:ligatures w14:val="none"/>
        </w:rPr>
        <w:t> Decompressive measures, including percutaneous drainage of fluid collections contributing to increased intra-abdominal pressure, may be employed.</w:t>
      </w:r>
    </w:p>
    <w:p w14:paraId="7E277ED5" w14:textId="77777777" w:rsidR="00CF3AE4" w:rsidRPr="0080532C" w:rsidRDefault="00CF3AE4" w:rsidP="00CF3AE4">
      <w:pPr>
        <w:widowControl/>
        <w:numPr>
          <w:ilvl w:val="0"/>
          <w:numId w:val="33"/>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Persistent Organ Failure Despite Maximal Medical Therapy:</w:t>
      </w:r>
    </w:p>
    <w:p w14:paraId="4C39A97D" w14:textId="77777777" w:rsidR="00CF3AE4" w:rsidRPr="0080532C" w:rsidRDefault="00CF3AE4" w:rsidP="00CF3AE4">
      <w:pPr>
        <w:widowControl/>
        <w:numPr>
          <w:ilvl w:val="1"/>
          <w:numId w:val="33"/>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Indication:</w:t>
      </w:r>
      <w:r w:rsidRPr="0080532C">
        <w:rPr>
          <w:rFonts w:ascii="Times New Roman" w:eastAsia="宋体" w:hAnsi="Times New Roman" w:cs="Times New Roman"/>
          <w:kern w:val="0"/>
          <w:szCs w:val="21"/>
          <w14:ligatures w14:val="none"/>
        </w:rPr>
        <w:t> If a patient with SAP continues to experience persistent organ failure despite optimal medical management, drainage of collections contributing to ongoing inflammation may be considered.</w:t>
      </w:r>
    </w:p>
    <w:p w14:paraId="5B2800D7" w14:textId="77777777" w:rsidR="00CF3AE4" w:rsidRPr="0080532C" w:rsidRDefault="00CF3AE4" w:rsidP="00CF3AE4">
      <w:pPr>
        <w:widowControl/>
        <w:numPr>
          <w:ilvl w:val="1"/>
          <w:numId w:val="33"/>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Approach:</w:t>
      </w:r>
      <w:r w:rsidRPr="0080532C">
        <w:rPr>
          <w:rFonts w:ascii="Times New Roman" w:eastAsia="宋体" w:hAnsi="Times New Roman" w:cs="Times New Roman"/>
          <w:kern w:val="0"/>
          <w:szCs w:val="21"/>
          <w14:ligatures w14:val="none"/>
        </w:rPr>
        <w:t> Percutaneous or endoscopic drainage can be used to remove necrotic material and alleviate pressure on surrounding structures.</w:t>
      </w:r>
    </w:p>
    <w:p w14:paraId="28B52F8B" w14:textId="77777777" w:rsidR="00CF3AE4" w:rsidRPr="0080532C" w:rsidRDefault="00CF3AE4" w:rsidP="00CF3AE4">
      <w:pPr>
        <w:widowControl/>
        <w:numPr>
          <w:ilvl w:val="0"/>
          <w:numId w:val="33"/>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Large Pancreatic Collections with Symptoms:</w:t>
      </w:r>
    </w:p>
    <w:p w14:paraId="49EDAF80" w14:textId="77777777" w:rsidR="00CF3AE4" w:rsidRPr="0080532C" w:rsidRDefault="00CF3AE4" w:rsidP="00CF3AE4">
      <w:pPr>
        <w:widowControl/>
        <w:numPr>
          <w:ilvl w:val="1"/>
          <w:numId w:val="33"/>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Indication:</w:t>
      </w:r>
      <w:r w:rsidRPr="0080532C">
        <w:rPr>
          <w:rFonts w:ascii="Times New Roman" w:eastAsia="宋体" w:hAnsi="Times New Roman" w:cs="Times New Roman"/>
          <w:kern w:val="0"/>
          <w:szCs w:val="21"/>
          <w14:ligatures w14:val="none"/>
        </w:rPr>
        <w:t> Large fluid collections in or around the pancreas causing symptoms such as pain, nausea, or abdominal fullness may warrant drainage.</w:t>
      </w:r>
    </w:p>
    <w:p w14:paraId="3E72B0B2" w14:textId="77777777" w:rsidR="00CF3AE4" w:rsidRPr="0080532C" w:rsidRDefault="00CF3AE4" w:rsidP="00CF3AE4">
      <w:pPr>
        <w:widowControl/>
        <w:numPr>
          <w:ilvl w:val="1"/>
          <w:numId w:val="33"/>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Approach:</w:t>
      </w:r>
      <w:r w:rsidRPr="0080532C">
        <w:rPr>
          <w:rFonts w:ascii="Times New Roman" w:eastAsia="宋体" w:hAnsi="Times New Roman" w:cs="Times New Roman"/>
          <w:kern w:val="0"/>
          <w:szCs w:val="21"/>
          <w14:ligatures w14:val="none"/>
        </w:rPr>
        <w:t> Percutaneous or endoscopic drainage can be considered to alleviate symptoms and prevent complications.</w:t>
      </w:r>
    </w:p>
    <w:p w14:paraId="50F1656B" w14:textId="77777777" w:rsidR="00CF3AE4" w:rsidRPr="0080532C" w:rsidRDefault="00CF3AE4" w:rsidP="00CF3AE4">
      <w:pPr>
        <w:widowControl/>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It's important to note that the decision to perform drainage procedures in SAP requires careful consideration of the patient's overall clinical status and the expertise available. The choice between percutaneous and endoscopic drainage depends on factors such as the location and accessibility of the collection, as well as the experience of the medical team. The approach may be individualized based on the specific circumstances of each patient.</w:t>
      </w:r>
    </w:p>
    <w:p w14:paraId="0BDAEA3C" w14:textId="451F5C9F" w:rsidR="00CF3AE4" w:rsidRPr="0080532C" w:rsidRDefault="00EA4CA7" w:rsidP="00CF3AE4">
      <w:pPr>
        <w:widowControl/>
        <w:jc w:val="left"/>
        <w:rPr>
          <w:rFonts w:ascii="Times New Roman" w:eastAsia="宋体" w:hAnsi="Times New Roman" w:cs="Times New Roman"/>
          <w:b/>
          <w:bCs/>
          <w:kern w:val="0"/>
          <w:szCs w:val="21"/>
          <w14:ligatures w14:val="none"/>
        </w:rPr>
      </w:pPr>
      <w:r w:rsidRPr="0080532C">
        <w:rPr>
          <w:rFonts w:ascii="Times New Roman" w:hAnsi="Times New Roman" w:cs="Times New Roman"/>
          <w:b/>
          <w:bCs/>
          <w:szCs w:val="21"/>
        </w:rPr>
        <w:t>3</w:t>
      </w:r>
      <w:r w:rsidR="00A524E3">
        <w:rPr>
          <w:rFonts w:ascii="Times New Roman" w:hAnsi="Times New Roman" w:cs="Times New Roman"/>
          <w:b/>
          <w:bCs/>
          <w:szCs w:val="21"/>
        </w:rPr>
        <w:t>0</w:t>
      </w:r>
      <w:r w:rsidR="00CF3AE4" w:rsidRPr="0080532C">
        <w:rPr>
          <w:rFonts w:ascii="Times New Roman" w:hAnsi="Times New Roman" w:cs="Times New Roman"/>
          <w:b/>
          <w:bCs/>
          <w:szCs w:val="21"/>
        </w:rPr>
        <w:t>、</w:t>
      </w:r>
      <w:r w:rsidR="00CF3AE4" w:rsidRPr="0080532C">
        <w:rPr>
          <w:rFonts w:ascii="Times New Roman" w:eastAsia="宋体" w:hAnsi="Times New Roman" w:cs="Times New Roman"/>
          <w:b/>
          <w:bCs/>
          <w:kern w:val="0"/>
          <w:szCs w:val="21"/>
          <w14:ligatures w14:val="none"/>
        </w:rPr>
        <w:t xml:space="preserve">In severe acute </w:t>
      </w:r>
      <w:proofErr w:type="spellStart"/>
      <w:r w:rsidR="00CF3AE4" w:rsidRPr="0080532C">
        <w:rPr>
          <w:rFonts w:ascii="Times New Roman" w:eastAsia="宋体" w:hAnsi="Times New Roman" w:cs="Times New Roman"/>
          <w:b/>
          <w:bCs/>
          <w:kern w:val="0"/>
          <w:szCs w:val="21"/>
          <w14:ligatures w14:val="none"/>
        </w:rPr>
        <w:t>pancreatitis,which</w:t>
      </w:r>
      <w:proofErr w:type="spellEnd"/>
      <w:r w:rsidR="00CF3AE4" w:rsidRPr="0080532C">
        <w:rPr>
          <w:rFonts w:ascii="Times New Roman" w:eastAsia="宋体" w:hAnsi="Times New Roman" w:cs="Times New Roman"/>
          <w:b/>
          <w:bCs/>
          <w:kern w:val="0"/>
          <w:szCs w:val="21"/>
          <w14:ligatures w14:val="none"/>
        </w:rPr>
        <w:t xml:space="preserve"> are the indications for surgical intervention?</w:t>
      </w:r>
    </w:p>
    <w:p w14:paraId="6858C6AD" w14:textId="77777777" w:rsidR="00CF3AE4" w:rsidRPr="0080532C" w:rsidRDefault="00CF3AE4" w:rsidP="00CF3AE4">
      <w:pPr>
        <w:widowControl/>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 xml:space="preserve">In severe acute pancreatitis (SAP), surgical intervention is typically reserved for specific indications where conservative management has </w:t>
      </w:r>
      <w:proofErr w:type="gramStart"/>
      <w:r w:rsidRPr="0080532C">
        <w:rPr>
          <w:rFonts w:ascii="Times New Roman" w:eastAsia="宋体" w:hAnsi="Times New Roman" w:cs="Times New Roman"/>
          <w:kern w:val="0"/>
          <w:szCs w:val="21"/>
          <w14:ligatures w14:val="none"/>
        </w:rPr>
        <w:t>failed</w:t>
      </w:r>
      <w:proofErr w:type="gramEnd"/>
      <w:r w:rsidRPr="0080532C">
        <w:rPr>
          <w:rFonts w:ascii="Times New Roman" w:eastAsia="宋体" w:hAnsi="Times New Roman" w:cs="Times New Roman"/>
          <w:kern w:val="0"/>
          <w:szCs w:val="21"/>
          <w14:ligatures w14:val="none"/>
        </w:rPr>
        <w:t xml:space="preserve"> or complications necessitate surgical intervention. The decision for surgical intervention is made on an individual basis, considering the patient's clinical condition, severity of pancreatitis, and presence of complications. Here are some common indications for surgical intervention in SAP:</w:t>
      </w:r>
    </w:p>
    <w:p w14:paraId="30CAD49B" w14:textId="77777777" w:rsidR="00CF3AE4" w:rsidRPr="0080532C" w:rsidRDefault="00CF3AE4" w:rsidP="00CF3AE4">
      <w:pPr>
        <w:widowControl/>
        <w:numPr>
          <w:ilvl w:val="0"/>
          <w:numId w:val="34"/>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lastRenderedPageBreak/>
        <w:t>Infected Pancreatic Necrosis (IPN):</w:t>
      </w:r>
    </w:p>
    <w:p w14:paraId="704B1E84" w14:textId="77777777" w:rsidR="00CF3AE4" w:rsidRPr="0080532C" w:rsidRDefault="00CF3AE4" w:rsidP="00CF3AE4">
      <w:pPr>
        <w:widowControl/>
        <w:numPr>
          <w:ilvl w:val="1"/>
          <w:numId w:val="34"/>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Indication:</w:t>
      </w:r>
      <w:r w:rsidRPr="0080532C">
        <w:rPr>
          <w:rFonts w:ascii="Times New Roman" w:eastAsia="宋体" w:hAnsi="Times New Roman" w:cs="Times New Roman"/>
          <w:kern w:val="0"/>
          <w:szCs w:val="21"/>
          <w14:ligatures w14:val="none"/>
        </w:rPr>
        <w:t> If there is evidence of infected pancreatic necrosis with clinical signs of infection, such as persistent fever, elevated white blood cell count, and systemic signs of sepsis, surgical intervention may be necessary.</w:t>
      </w:r>
    </w:p>
    <w:p w14:paraId="0CDE907D" w14:textId="77777777" w:rsidR="00CF3AE4" w:rsidRPr="0080532C" w:rsidRDefault="00CF3AE4" w:rsidP="00CF3AE4">
      <w:pPr>
        <w:widowControl/>
        <w:numPr>
          <w:ilvl w:val="1"/>
          <w:numId w:val="34"/>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Approach:</w:t>
      </w:r>
      <w:r w:rsidRPr="0080532C">
        <w:rPr>
          <w:rFonts w:ascii="Times New Roman" w:eastAsia="宋体" w:hAnsi="Times New Roman" w:cs="Times New Roman"/>
          <w:kern w:val="0"/>
          <w:szCs w:val="21"/>
          <w14:ligatures w14:val="none"/>
        </w:rPr>
        <w:t> Surgical debridement and removal of the infected/necrotic pancreatic tissue is typically performed, often through a minimally invasive approach such as laparoscopy or open surgery.</w:t>
      </w:r>
    </w:p>
    <w:p w14:paraId="5159B97E" w14:textId="77777777" w:rsidR="00CF3AE4" w:rsidRPr="0080532C" w:rsidRDefault="00CF3AE4" w:rsidP="00CF3AE4">
      <w:pPr>
        <w:widowControl/>
        <w:numPr>
          <w:ilvl w:val="0"/>
          <w:numId w:val="34"/>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Persistent Organ Failure Despite Maximal Medical Therapy:</w:t>
      </w:r>
    </w:p>
    <w:p w14:paraId="7A2DE572" w14:textId="77777777" w:rsidR="00CF3AE4" w:rsidRPr="0080532C" w:rsidRDefault="00CF3AE4" w:rsidP="00CF3AE4">
      <w:pPr>
        <w:widowControl/>
        <w:numPr>
          <w:ilvl w:val="1"/>
          <w:numId w:val="34"/>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Indication:</w:t>
      </w:r>
      <w:r w:rsidRPr="0080532C">
        <w:rPr>
          <w:rFonts w:ascii="Times New Roman" w:eastAsia="宋体" w:hAnsi="Times New Roman" w:cs="Times New Roman"/>
          <w:kern w:val="0"/>
          <w:szCs w:val="21"/>
          <w14:ligatures w14:val="none"/>
        </w:rPr>
        <w:t> If a patient with SAP experiences persistent organ failure despite optimal medical management, surgical intervention may be considered.</w:t>
      </w:r>
    </w:p>
    <w:p w14:paraId="4DC83BFA" w14:textId="77777777" w:rsidR="00CF3AE4" w:rsidRPr="0080532C" w:rsidRDefault="00CF3AE4" w:rsidP="00CF3AE4">
      <w:pPr>
        <w:widowControl/>
        <w:numPr>
          <w:ilvl w:val="1"/>
          <w:numId w:val="34"/>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Approach:</w:t>
      </w:r>
      <w:r w:rsidRPr="0080532C">
        <w:rPr>
          <w:rFonts w:ascii="Times New Roman" w:eastAsia="宋体" w:hAnsi="Times New Roman" w:cs="Times New Roman"/>
          <w:kern w:val="0"/>
          <w:szCs w:val="21"/>
          <w14:ligatures w14:val="none"/>
        </w:rPr>
        <w:t xml:space="preserve"> The surgical strategy aims to address the underlying cause of organ failure, such as infected necrotic tissue, obstruction, or compartment syndrome. Procedures such as </w:t>
      </w:r>
      <w:proofErr w:type="spellStart"/>
      <w:r w:rsidRPr="0080532C">
        <w:rPr>
          <w:rFonts w:ascii="Times New Roman" w:eastAsia="宋体" w:hAnsi="Times New Roman" w:cs="Times New Roman"/>
          <w:kern w:val="0"/>
          <w:szCs w:val="21"/>
          <w14:ligatures w14:val="none"/>
        </w:rPr>
        <w:t>necrosectomy</w:t>
      </w:r>
      <w:proofErr w:type="spellEnd"/>
      <w:r w:rsidRPr="0080532C">
        <w:rPr>
          <w:rFonts w:ascii="Times New Roman" w:eastAsia="宋体" w:hAnsi="Times New Roman" w:cs="Times New Roman"/>
          <w:kern w:val="0"/>
          <w:szCs w:val="21"/>
          <w14:ligatures w14:val="none"/>
        </w:rPr>
        <w:t>, debridement, and drainage may be performed.</w:t>
      </w:r>
    </w:p>
    <w:p w14:paraId="15B1BF83" w14:textId="77777777" w:rsidR="00CF3AE4" w:rsidRPr="0080532C" w:rsidRDefault="00CF3AE4" w:rsidP="00CF3AE4">
      <w:pPr>
        <w:widowControl/>
        <w:numPr>
          <w:ilvl w:val="0"/>
          <w:numId w:val="34"/>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Development of Complications:</w:t>
      </w:r>
    </w:p>
    <w:p w14:paraId="5F0CC853" w14:textId="77777777" w:rsidR="00CF3AE4" w:rsidRPr="0080532C" w:rsidRDefault="00CF3AE4" w:rsidP="00CF3AE4">
      <w:pPr>
        <w:widowControl/>
        <w:numPr>
          <w:ilvl w:val="1"/>
          <w:numId w:val="34"/>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Indication:</w:t>
      </w:r>
      <w:r w:rsidRPr="0080532C">
        <w:rPr>
          <w:rFonts w:ascii="Times New Roman" w:eastAsia="宋体" w:hAnsi="Times New Roman" w:cs="Times New Roman"/>
          <w:kern w:val="0"/>
          <w:szCs w:val="21"/>
          <w14:ligatures w14:val="none"/>
        </w:rPr>
        <w:t> Certain complications of SAP may necessitate surgical intervention. These complications may include infected pseudocysts, biliary obstruction, gastrointestinal obstruction, or abdominal compartment syndrome.</w:t>
      </w:r>
    </w:p>
    <w:p w14:paraId="086DF9CA" w14:textId="77777777" w:rsidR="00CF3AE4" w:rsidRPr="0080532C" w:rsidRDefault="00CF3AE4" w:rsidP="00CF3AE4">
      <w:pPr>
        <w:widowControl/>
        <w:numPr>
          <w:ilvl w:val="1"/>
          <w:numId w:val="34"/>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Approach:</w:t>
      </w:r>
      <w:r w:rsidRPr="0080532C">
        <w:rPr>
          <w:rFonts w:ascii="Times New Roman" w:eastAsia="宋体" w:hAnsi="Times New Roman" w:cs="Times New Roman"/>
          <w:kern w:val="0"/>
          <w:szCs w:val="21"/>
          <w14:ligatures w14:val="none"/>
        </w:rPr>
        <w:t xml:space="preserve"> Surgical procedures to address complications may include </w:t>
      </w:r>
      <w:proofErr w:type="spellStart"/>
      <w:r w:rsidRPr="0080532C">
        <w:rPr>
          <w:rFonts w:ascii="Times New Roman" w:eastAsia="宋体" w:hAnsi="Times New Roman" w:cs="Times New Roman"/>
          <w:kern w:val="0"/>
          <w:szCs w:val="21"/>
          <w14:ligatures w14:val="none"/>
        </w:rPr>
        <w:t>cystogastrostomy</w:t>
      </w:r>
      <w:proofErr w:type="spellEnd"/>
      <w:r w:rsidRPr="0080532C">
        <w:rPr>
          <w:rFonts w:ascii="Times New Roman" w:eastAsia="宋体" w:hAnsi="Times New Roman" w:cs="Times New Roman"/>
          <w:kern w:val="0"/>
          <w:szCs w:val="21"/>
          <w14:ligatures w14:val="none"/>
        </w:rPr>
        <w:t xml:space="preserve"> or </w:t>
      </w:r>
      <w:proofErr w:type="spellStart"/>
      <w:r w:rsidRPr="0080532C">
        <w:rPr>
          <w:rFonts w:ascii="Times New Roman" w:eastAsia="宋体" w:hAnsi="Times New Roman" w:cs="Times New Roman"/>
          <w:kern w:val="0"/>
          <w:szCs w:val="21"/>
          <w14:ligatures w14:val="none"/>
        </w:rPr>
        <w:t>cystojejunostomy</w:t>
      </w:r>
      <w:proofErr w:type="spellEnd"/>
      <w:r w:rsidRPr="0080532C">
        <w:rPr>
          <w:rFonts w:ascii="Times New Roman" w:eastAsia="宋体" w:hAnsi="Times New Roman" w:cs="Times New Roman"/>
          <w:kern w:val="0"/>
          <w:szCs w:val="21"/>
          <w14:ligatures w14:val="none"/>
        </w:rPr>
        <w:t xml:space="preserve"> for infected pseudocysts, surgical exploration with internal drainage for biliary obstruction, bowel resection or bypass for gastrointestinal obstruction, and decompressive measures for abdominal compartment syndrome.</w:t>
      </w:r>
    </w:p>
    <w:p w14:paraId="7E14617E" w14:textId="77777777" w:rsidR="00CF3AE4" w:rsidRPr="0080532C" w:rsidRDefault="00CF3AE4" w:rsidP="00CF3AE4">
      <w:pPr>
        <w:widowControl/>
        <w:numPr>
          <w:ilvl w:val="0"/>
          <w:numId w:val="34"/>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Hemorrhage or Vascular Compromise:</w:t>
      </w:r>
    </w:p>
    <w:p w14:paraId="6EED17EE" w14:textId="77777777" w:rsidR="00CF3AE4" w:rsidRPr="0080532C" w:rsidRDefault="00CF3AE4" w:rsidP="00CF3AE4">
      <w:pPr>
        <w:widowControl/>
        <w:numPr>
          <w:ilvl w:val="1"/>
          <w:numId w:val="34"/>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Indication:</w:t>
      </w:r>
      <w:r w:rsidRPr="0080532C">
        <w:rPr>
          <w:rFonts w:ascii="Times New Roman" w:eastAsia="宋体" w:hAnsi="Times New Roman" w:cs="Times New Roman"/>
          <w:kern w:val="0"/>
          <w:szCs w:val="21"/>
          <w14:ligatures w14:val="none"/>
        </w:rPr>
        <w:t> In cases where hemorrhage occurs due to vessel erosion or thrombosis leading to compromised blood flow, surgical intervention may be required.</w:t>
      </w:r>
    </w:p>
    <w:p w14:paraId="18BBFABA" w14:textId="77777777" w:rsidR="00CF3AE4" w:rsidRPr="0080532C" w:rsidRDefault="00CF3AE4" w:rsidP="00CF3AE4">
      <w:pPr>
        <w:widowControl/>
        <w:numPr>
          <w:ilvl w:val="1"/>
          <w:numId w:val="34"/>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Approach:</w:t>
      </w:r>
      <w:r w:rsidRPr="0080532C">
        <w:rPr>
          <w:rFonts w:ascii="Times New Roman" w:eastAsia="宋体" w:hAnsi="Times New Roman" w:cs="Times New Roman"/>
          <w:kern w:val="0"/>
          <w:szCs w:val="21"/>
          <w14:ligatures w14:val="none"/>
        </w:rPr>
        <w:t> Surgical exploration and intervention to control bleeding, repair vessel defects, or restore blood flow to compromised areas may be necessary.</w:t>
      </w:r>
    </w:p>
    <w:p w14:paraId="7E8E6F62" w14:textId="77777777" w:rsidR="00CF3AE4" w:rsidRPr="0080532C" w:rsidRDefault="00CF3AE4" w:rsidP="00CF3AE4">
      <w:pPr>
        <w:widowControl/>
        <w:numPr>
          <w:ilvl w:val="0"/>
          <w:numId w:val="34"/>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Failure of Non-Surgical Interventions:</w:t>
      </w:r>
    </w:p>
    <w:p w14:paraId="3953FD2F" w14:textId="77777777" w:rsidR="00CF3AE4" w:rsidRPr="0080532C" w:rsidRDefault="00CF3AE4" w:rsidP="00CF3AE4">
      <w:pPr>
        <w:widowControl/>
        <w:numPr>
          <w:ilvl w:val="1"/>
          <w:numId w:val="34"/>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Indication:</w:t>
      </w:r>
      <w:r w:rsidRPr="0080532C">
        <w:rPr>
          <w:rFonts w:ascii="Times New Roman" w:eastAsia="宋体" w:hAnsi="Times New Roman" w:cs="Times New Roman"/>
          <w:kern w:val="0"/>
          <w:szCs w:val="21"/>
          <w14:ligatures w14:val="none"/>
        </w:rPr>
        <w:t> If non-surgical interventions, such as percutaneous drainage or endoscopic interventions, fail to adequately address the complications or control the disease progression, surgical intervention may be indicated.</w:t>
      </w:r>
    </w:p>
    <w:p w14:paraId="6624D435" w14:textId="77777777" w:rsidR="00CF3AE4" w:rsidRPr="0080532C" w:rsidRDefault="00CF3AE4" w:rsidP="00CF3AE4">
      <w:pPr>
        <w:widowControl/>
        <w:numPr>
          <w:ilvl w:val="1"/>
          <w:numId w:val="34"/>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Approach:</w:t>
      </w:r>
      <w:r w:rsidRPr="0080532C">
        <w:rPr>
          <w:rFonts w:ascii="Times New Roman" w:eastAsia="宋体" w:hAnsi="Times New Roman" w:cs="Times New Roman"/>
          <w:kern w:val="0"/>
          <w:szCs w:val="21"/>
          <w14:ligatures w14:val="none"/>
        </w:rPr>
        <w:t> Surgical procedures may involve more extensive debridement, removal of necrotic tissue, and drainage to effectively manage the complications.</w:t>
      </w:r>
    </w:p>
    <w:p w14:paraId="2DEDD0D1" w14:textId="77777777" w:rsidR="00CF3AE4" w:rsidRPr="0080532C" w:rsidRDefault="00CF3AE4" w:rsidP="00CF3AE4">
      <w:pPr>
        <w:widowControl/>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It is important to note that surgical intervention in SAP carries significant risks, and the decision to proceed with surgery should involve a multidisciplinary team of experienced surgeons, gastroenterologists, intensivists, and radiologists. Regular reassessment of the patient's condition, response to treatment, and consideration of less invasive interventions should guide the surgical strategy in severe acute pancreatitis.</w:t>
      </w:r>
    </w:p>
    <w:p w14:paraId="4F044DB0" w14:textId="7B9E645F" w:rsidR="00267777" w:rsidRPr="0080532C" w:rsidRDefault="00CF3AE4" w:rsidP="00267777">
      <w:pPr>
        <w:widowControl/>
        <w:jc w:val="left"/>
        <w:rPr>
          <w:rFonts w:ascii="Times New Roman" w:eastAsia="宋体" w:hAnsi="Times New Roman" w:cs="Times New Roman"/>
          <w:b/>
          <w:bCs/>
          <w:kern w:val="0"/>
          <w:szCs w:val="21"/>
          <w14:ligatures w14:val="none"/>
        </w:rPr>
      </w:pPr>
      <w:r w:rsidRPr="0080532C">
        <w:rPr>
          <w:rFonts w:ascii="Times New Roman" w:hAnsi="Times New Roman" w:cs="Times New Roman"/>
          <w:b/>
          <w:bCs/>
          <w:szCs w:val="21"/>
        </w:rPr>
        <w:t>3</w:t>
      </w:r>
      <w:r w:rsidR="00A524E3">
        <w:rPr>
          <w:rFonts w:ascii="Times New Roman" w:hAnsi="Times New Roman" w:cs="Times New Roman"/>
          <w:b/>
          <w:bCs/>
          <w:szCs w:val="21"/>
        </w:rPr>
        <w:t>1</w:t>
      </w:r>
      <w:r w:rsidRPr="0080532C">
        <w:rPr>
          <w:rFonts w:ascii="Times New Roman" w:hAnsi="Times New Roman" w:cs="Times New Roman"/>
          <w:b/>
          <w:bCs/>
          <w:szCs w:val="21"/>
        </w:rPr>
        <w:t>、</w:t>
      </w:r>
      <w:r w:rsidR="00267777" w:rsidRPr="0080532C">
        <w:rPr>
          <w:rFonts w:ascii="Times New Roman" w:eastAsia="宋体" w:hAnsi="Times New Roman" w:cs="Times New Roman"/>
          <w:b/>
          <w:bCs/>
          <w:kern w:val="0"/>
          <w:szCs w:val="21"/>
          <w14:ligatures w14:val="none"/>
        </w:rPr>
        <w:t>When is the right time to operate in severe acute pancreatitis with infectious pancreatic necrosis? Early or late?</w:t>
      </w:r>
    </w:p>
    <w:p w14:paraId="73253146" w14:textId="77777777" w:rsidR="00267777" w:rsidRPr="0080532C" w:rsidRDefault="00267777" w:rsidP="00267777">
      <w:pPr>
        <w:widowControl/>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Determining the optimal timing for surgery in severe acute pancreatitis with infectious pancreatic necrosis remains a subject of debate. However, based on current clinical guidelines and practice, early intervention is often favored.</w:t>
      </w:r>
    </w:p>
    <w:p w14:paraId="74E0508C" w14:textId="77777777" w:rsidR="00267777" w:rsidRPr="0080532C" w:rsidRDefault="00267777" w:rsidP="00267777">
      <w:pPr>
        <w:widowControl/>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lastRenderedPageBreak/>
        <w:t>The primary goal of early surgical intervention is to remove necrotic tissue, mitigate the progression of infectious inflammation, and prevent severe complications. Early surgical intervention can better control the infection, reduce the burden of necrotic tissue, and offer a better chance for patient recovery.</w:t>
      </w:r>
    </w:p>
    <w:p w14:paraId="5C7F1075" w14:textId="77777777" w:rsidR="00267777" w:rsidRPr="0080532C" w:rsidRDefault="00267777" w:rsidP="00267777">
      <w:pPr>
        <w:widowControl/>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Specifically, some guidelines and research suggest considering early surgical intervention when:</w:t>
      </w:r>
    </w:p>
    <w:p w14:paraId="11A72D40" w14:textId="77777777" w:rsidR="00267777" w:rsidRPr="0080532C" w:rsidRDefault="00267777" w:rsidP="00267777">
      <w:pPr>
        <w:widowControl/>
        <w:numPr>
          <w:ilvl w:val="0"/>
          <w:numId w:val="45"/>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Clinical signs of infected necrosis are present:</w:t>
      </w:r>
      <w:r w:rsidRPr="0080532C">
        <w:rPr>
          <w:rFonts w:ascii="Times New Roman" w:eastAsia="宋体" w:hAnsi="Times New Roman" w:cs="Times New Roman"/>
          <w:kern w:val="0"/>
          <w:szCs w:val="21"/>
          <w14:ligatures w14:val="none"/>
        </w:rPr>
        <w:t> Patients show clinical signs of infected pancreatic necrosis, such as persistent fever, elevated markers of systemic inflammatory response syndrome in the blood, etc.</w:t>
      </w:r>
    </w:p>
    <w:p w14:paraId="557FB46F" w14:textId="77777777" w:rsidR="00267777" w:rsidRPr="0080532C" w:rsidRDefault="00267777" w:rsidP="00267777">
      <w:pPr>
        <w:widowControl/>
        <w:numPr>
          <w:ilvl w:val="0"/>
          <w:numId w:val="45"/>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Severity of necrosis:</w:t>
      </w:r>
      <w:r w:rsidRPr="0080532C">
        <w:rPr>
          <w:rFonts w:ascii="Times New Roman" w:eastAsia="宋体" w:hAnsi="Times New Roman" w:cs="Times New Roman"/>
          <w:kern w:val="0"/>
          <w:szCs w:val="21"/>
          <w14:ligatures w14:val="none"/>
        </w:rPr>
        <w:t> Patients with a high burden of necrosis, especially those with necrotic tissue occupying more than 30%, tend to benefit more from early surgical intervention.</w:t>
      </w:r>
    </w:p>
    <w:p w14:paraId="1F39EB68" w14:textId="77777777" w:rsidR="00267777" w:rsidRPr="0080532C" w:rsidRDefault="00267777" w:rsidP="00267777">
      <w:pPr>
        <w:widowControl/>
        <w:numPr>
          <w:ilvl w:val="0"/>
          <w:numId w:val="45"/>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Evidence of infection or abscess:</w:t>
      </w:r>
      <w:r w:rsidRPr="0080532C">
        <w:rPr>
          <w:rFonts w:ascii="Times New Roman" w:eastAsia="宋体" w:hAnsi="Times New Roman" w:cs="Times New Roman"/>
          <w:kern w:val="0"/>
          <w:szCs w:val="21"/>
          <w14:ligatures w14:val="none"/>
        </w:rPr>
        <w:t> There is clear evidence of infection or abscess, indicated by clinical symptoms, imaging results, or positive cultures.</w:t>
      </w:r>
    </w:p>
    <w:p w14:paraId="0C08A989" w14:textId="77777777" w:rsidR="00267777" w:rsidRPr="0080532C" w:rsidRDefault="00267777" w:rsidP="00267777">
      <w:pPr>
        <w:widowControl/>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While early surgical intervention may be beneficial, it's crucial to carefully assess the overall condition of the patient and the severity of complications. Another critical factor is ensuring that patients undergo adequate intravenous antibiotic therapy before surgery to control the infection.</w:t>
      </w:r>
    </w:p>
    <w:p w14:paraId="435C9B73" w14:textId="77777777" w:rsidR="00267777" w:rsidRPr="0080532C" w:rsidRDefault="00267777" w:rsidP="00267777">
      <w:pPr>
        <w:widowControl/>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Ultimately, the decision between early or late surgery requires a comprehensive evaluation of each patient's clinical status and a collaborative discussion with the pancreatitis specialty team to devise an individualized treatment plan. Timing should be weighed based on the patient's condition, the extent of necrosis, and the risks and benefits associated with surgical intervention.</w:t>
      </w:r>
    </w:p>
    <w:p w14:paraId="15258EBF" w14:textId="52C46AD6" w:rsidR="00CF3AE4" w:rsidRPr="0080532C" w:rsidRDefault="00CF3AE4" w:rsidP="00267777">
      <w:pPr>
        <w:widowControl/>
        <w:jc w:val="left"/>
        <w:rPr>
          <w:rFonts w:ascii="Times New Roman" w:eastAsia="宋体" w:hAnsi="Times New Roman" w:cs="Times New Roman"/>
          <w:kern w:val="0"/>
          <w:szCs w:val="21"/>
          <w14:ligatures w14:val="none"/>
        </w:rPr>
      </w:pPr>
    </w:p>
    <w:p w14:paraId="3C14931A" w14:textId="1756EE90" w:rsidR="009440B1" w:rsidRPr="0080532C" w:rsidRDefault="009440B1" w:rsidP="009440B1">
      <w:pPr>
        <w:widowControl/>
        <w:jc w:val="left"/>
        <w:rPr>
          <w:rFonts w:ascii="Times New Roman" w:eastAsia="宋体" w:hAnsi="Times New Roman" w:cs="Times New Roman"/>
          <w:b/>
          <w:bCs/>
          <w:kern w:val="0"/>
          <w:szCs w:val="21"/>
          <w14:ligatures w14:val="none"/>
        </w:rPr>
      </w:pPr>
      <w:r w:rsidRPr="0080532C">
        <w:rPr>
          <w:rFonts w:ascii="Times New Roman" w:eastAsia="宋体" w:hAnsi="Times New Roman" w:cs="Times New Roman"/>
          <w:b/>
          <w:bCs/>
          <w:kern w:val="0"/>
          <w:szCs w:val="21"/>
          <w14:ligatures w14:val="none"/>
        </w:rPr>
        <w:t>3</w:t>
      </w:r>
      <w:r w:rsidR="00A524E3">
        <w:rPr>
          <w:rFonts w:ascii="Times New Roman" w:eastAsia="宋体" w:hAnsi="Times New Roman" w:cs="Times New Roman"/>
          <w:b/>
          <w:bCs/>
          <w:kern w:val="0"/>
          <w:szCs w:val="21"/>
          <w14:ligatures w14:val="none"/>
        </w:rPr>
        <w:t>2</w:t>
      </w:r>
      <w:r w:rsidRPr="0080532C">
        <w:rPr>
          <w:rFonts w:ascii="Times New Roman" w:eastAsia="宋体" w:hAnsi="Times New Roman" w:cs="Times New Roman"/>
          <w:b/>
          <w:bCs/>
          <w:kern w:val="0"/>
          <w:szCs w:val="21"/>
          <w14:ligatures w14:val="none"/>
        </w:rPr>
        <w:t>、</w:t>
      </w:r>
      <w:r w:rsidRPr="0080532C">
        <w:rPr>
          <w:rFonts w:ascii="Times New Roman" w:eastAsia="宋体" w:hAnsi="Times New Roman" w:cs="Times New Roman"/>
          <w:b/>
          <w:bCs/>
          <w:kern w:val="0"/>
          <w:szCs w:val="21"/>
          <w14:ligatures w14:val="none"/>
        </w:rPr>
        <w:t xml:space="preserve">In severe acute </w:t>
      </w:r>
      <w:proofErr w:type="spellStart"/>
      <w:r w:rsidRPr="0080532C">
        <w:rPr>
          <w:rFonts w:ascii="Times New Roman" w:eastAsia="宋体" w:hAnsi="Times New Roman" w:cs="Times New Roman"/>
          <w:b/>
          <w:bCs/>
          <w:kern w:val="0"/>
          <w:szCs w:val="21"/>
          <w14:ligatures w14:val="none"/>
        </w:rPr>
        <w:t>pancreatitis,what</w:t>
      </w:r>
      <w:proofErr w:type="spellEnd"/>
      <w:r w:rsidRPr="0080532C">
        <w:rPr>
          <w:rFonts w:ascii="Times New Roman" w:eastAsia="宋体" w:hAnsi="Times New Roman" w:cs="Times New Roman"/>
          <w:b/>
          <w:bCs/>
          <w:kern w:val="0"/>
          <w:szCs w:val="21"/>
          <w14:ligatures w14:val="none"/>
        </w:rPr>
        <w:t xml:space="preserve"> is the appropriate surgical strategy (i.e., laparoscopy </w:t>
      </w:r>
      <w:proofErr w:type="spellStart"/>
      <w:proofErr w:type="gramStart"/>
      <w:r w:rsidRPr="0080532C">
        <w:rPr>
          <w:rFonts w:ascii="Times New Roman" w:eastAsia="宋体" w:hAnsi="Times New Roman" w:cs="Times New Roman"/>
          <w:b/>
          <w:bCs/>
          <w:kern w:val="0"/>
          <w:szCs w:val="21"/>
          <w14:ligatures w14:val="none"/>
        </w:rPr>
        <w:t>vs.laparotomy</w:t>
      </w:r>
      <w:proofErr w:type="spellEnd"/>
      <w:proofErr w:type="gramEnd"/>
      <w:r w:rsidRPr="0080532C">
        <w:rPr>
          <w:rFonts w:ascii="Times New Roman" w:eastAsia="宋体" w:hAnsi="Times New Roman" w:cs="Times New Roman"/>
          <w:b/>
          <w:bCs/>
          <w:kern w:val="0"/>
          <w:szCs w:val="21"/>
          <w14:ligatures w14:val="none"/>
        </w:rPr>
        <w:t>, intraperitoneal vs. extraperitoneal)?</w:t>
      </w:r>
    </w:p>
    <w:p w14:paraId="7C5C0F47" w14:textId="77777777" w:rsidR="009440B1" w:rsidRPr="0080532C" w:rsidRDefault="009440B1" w:rsidP="009440B1">
      <w:pPr>
        <w:widowControl/>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In severe acute pancreatitis (SAP), the appropriate surgical strategy depends on various factors, and decisions should be made on an individualized basis considering the patient's clinical condition, severity of pancreatitis, and specific circumstances. Here are considerations for the appropriate surgical strategy:</w:t>
      </w:r>
    </w:p>
    <w:p w14:paraId="72C317E4" w14:textId="77777777" w:rsidR="009440B1" w:rsidRPr="0080532C" w:rsidRDefault="009440B1" w:rsidP="009440B1">
      <w:pPr>
        <w:widowControl/>
        <w:numPr>
          <w:ilvl w:val="0"/>
          <w:numId w:val="41"/>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Laparoscopy vs. Laparotomy:</w:t>
      </w:r>
    </w:p>
    <w:p w14:paraId="417884D5" w14:textId="77777777" w:rsidR="009440B1" w:rsidRPr="0080532C" w:rsidRDefault="009440B1" w:rsidP="009440B1">
      <w:pPr>
        <w:widowControl/>
        <w:numPr>
          <w:ilvl w:val="1"/>
          <w:numId w:val="41"/>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Laparoscopy:</w:t>
      </w:r>
      <w:r w:rsidRPr="0080532C">
        <w:rPr>
          <w:rFonts w:ascii="Times New Roman" w:eastAsia="宋体" w:hAnsi="Times New Roman" w:cs="Times New Roman"/>
          <w:kern w:val="0"/>
          <w:szCs w:val="21"/>
          <w14:ligatures w14:val="none"/>
        </w:rPr>
        <w:t> This minimally invasive approach may be considered for less extensive disease or when the necrotic collections are suitable for laparoscopic intervention. Laparoscopy can offer advantages such as smaller incisions, reduced postoperative pain, and quicker recovery. It is often preferred when the disease is localized and manageable with this approach.</w:t>
      </w:r>
    </w:p>
    <w:p w14:paraId="478CB4B9" w14:textId="77777777" w:rsidR="009440B1" w:rsidRPr="0080532C" w:rsidRDefault="009440B1" w:rsidP="009440B1">
      <w:pPr>
        <w:widowControl/>
        <w:numPr>
          <w:ilvl w:val="1"/>
          <w:numId w:val="41"/>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Laparotomy:</w:t>
      </w:r>
      <w:r w:rsidRPr="0080532C">
        <w:rPr>
          <w:rFonts w:ascii="Times New Roman" w:eastAsia="宋体" w:hAnsi="Times New Roman" w:cs="Times New Roman"/>
          <w:kern w:val="0"/>
          <w:szCs w:val="21"/>
          <w14:ligatures w14:val="none"/>
        </w:rPr>
        <w:t> In cases of more severe disease, extensive necrosis, or complications that require a more thorough exploration and intervention, an open surgical approach (laparotomy) may be necessary. Laparotomy allows for better visualization and access to the abdominal cavity, facilitating comprehensive management of complications.</w:t>
      </w:r>
    </w:p>
    <w:p w14:paraId="7BFDF2C6" w14:textId="77777777" w:rsidR="009440B1" w:rsidRPr="0080532C" w:rsidRDefault="009440B1" w:rsidP="009440B1">
      <w:pPr>
        <w:widowControl/>
        <w:numPr>
          <w:ilvl w:val="0"/>
          <w:numId w:val="41"/>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Intraperitoneal vs. Extraperitoneal Approach:</w:t>
      </w:r>
    </w:p>
    <w:p w14:paraId="58578067" w14:textId="77777777" w:rsidR="009440B1" w:rsidRPr="0080532C" w:rsidRDefault="009440B1" w:rsidP="009440B1">
      <w:pPr>
        <w:widowControl/>
        <w:numPr>
          <w:ilvl w:val="1"/>
          <w:numId w:val="41"/>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Intraperitoneal Approach:</w:t>
      </w:r>
      <w:r w:rsidRPr="0080532C">
        <w:rPr>
          <w:rFonts w:ascii="Times New Roman" w:eastAsia="宋体" w:hAnsi="Times New Roman" w:cs="Times New Roman"/>
          <w:kern w:val="0"/>
          <w:szCs w:val="21"/>
          <w14:ligatures w14:val="none"/>
        </w:rPr>
        <w:t> Surgical interventions within the peritoneal cavity are common for addressing complications like infected necrosis or pseudocysts that are closer to the peritoneum. This approach allows direct access to collections within the abdominal cavity.</w:t>
      </w:r>
    </w:p>
    <w:p w14:paraId="2FE5CD9B" w14:textId="77777777" w:rsidR="009440B1" w:rsidRPr="0080532C" w:rsidRDefault="009440B1" w:rsidP="009440B1">
      <w:pPr>
        <w:widowControl/>
        <w:numPr>
          <w:ilvl w:val="1"/>
          <w:numId w:val="41"/>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lastRenderedPageBreak/>
        <w:t>Extraperitoneal Approach:</w:t>
      </w:r>
      <w:r w:rsidRPr="0080532C">
        <w:rPr>
          <w:rFonts w:ascii="Times New Roman" w:eastAsia="宋体" w:hAnsi="Times New Roman" w:cs="Times New Roman"/>
          <w:kern w:val="0"/>
          <w:szCs w:val="21"/>
          <w14:ligatures w14:val="none"/>
        </w:rPr>
        <w:t xml:space="preserve"> When necrotic collections </w:t>
      </w:r>
      <w:proofErr w:type="gramStart"/>
      <w:r w:rsidRPr="0080532C">
        <w:rPr>
          <w:rFonts w:ascii="Times New Roman" w:eastAsia="宋体" w:hAnsi="Times New Roman" w:cs="Times New Roman"/>
          <w:kern w:val="0"/>
          <w:szCs w:val="21"/>
          <w14:ligatures w14:val="none"/>
        </w:rPr>
        <w:t>are located in</w:t>
      </w:r>
      <w:proofErr w:type="gramEnd"/>
      <w:r w:rsidRPr="0080532C">
        <w:rPr>
          <w:rFonts w:ascii="Times New Roman" w:eastAsia="宋体" w:hAnsi="Times New Roman" w:cs="Times New Roman"/>
          <w:kern w:val="0"/>
          <w:szCs w:val="21"/>
          <w14:ligatures w14:val="none"/>
        </w:rPr>
        <w:t xml:space="preserve"> the retroperitoneal space, an extraperitoneal approach may be necessary to access and manage the necrotic tissue. This approach might be used when the necrotic collections are difficult to access intraperitoneally.</w:t>
      </w:r>
    </w:p>
    <w:p w14:paraId="1A8B6EC3" w14:textId="42F62C1D" w:rsidR="009440B1" w:rsidRPr="0080532C" w:rsidRDefault="009440B1" w:rsidP="00A71408">
      <w:pPr>
        <w:widowControl/>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The choice between laparoscopy and laparotomy, as well as the decision between intraperitoneal and extraperitoneal approaches, should be based on a thorough assessment of the patient's condition, the extent and location of necrosis, and the expertise of the surgical team. A multidisciplinary approach involving gastroenterologists, radiologists, and surgeons is crucial in determining the most appropriate surgical strategy for each individual case of severe acute pancreatitis.</w:t>
      </w:r>
    </w:p>
    <w:p w14:paraId="65E094B1" w14:textId="20451E60" w:rsidR="00A71408" w:rsidRPr="0080532C" w:rsidRDefault="00A71408" w:rsidP="00A71408">
      <w:pPr>
        <w:widowControl/>
        <w:jc w:val="left"/>
        <w:rPr>
          <w:rFonts w:ascii="Times New Roman" w:eastAsia="宋体" w:hAnsi="Times New Roman" w:cs="Times New Roman"/>
          <w:b/>
          <w:bCs/>
          <w:kern w:val="0"/>
          <w:szCs w:val="21"/>
          <w14:ligatures w14:val="none"/>
        </w:rPr>
      </w:pPr>
      <w:r w:rsidRPr="0080532C">
        <w:rPr>
          <w:rFonts w:ascii="Times New Roman" w:hAnsi="Times New Roman" w:cs="Times New Roman"/>
          <w:b/>
          <w:bCs/>
          <w:szCs w:val="21"/>
        </w:rPr>
        <w:t>3</w:t>
      </w:r>
      <w:r w:rsidR="00A524E3">
        <w:rPr>
          <w:rFonts w:ascii="Times New Roman" w:hAnsi="Times New Roman" w:cs="Times New Roman"/>
          <w:b/>
          <w:bCs/>
          <w:szCs w:val="21"/>
        </w:rPr>
        <w:t>3</w:t>
      </w:r>
      <w:r w:rsidRPr="0080532C">
        <w:rPr>
          <w:rFonts w:ascii="Times New Roman" w:hAnsi="Times New Roman" w:cs="Times New Roman"/>
          <w:b/>
          <w:bCs/>
          <w:szCs w:val="21"/>
        </w:rPr>
        <w:t>、</w:t>
      </w:r>
      <w:r w:rsidRPr="0080532C">
        <w:rPr>
          <w:rFonts w:ascii="Times New Roman" w:eastAsia="宋体" w:hAnsi="Times New Roman" w:cs="Times New Roman"/>
          <w:b/>
          <w:bCs/>
          <w:kern w:val="0"/>
          <w:szCs w:val="21"/>
          <w14:ligatures w14:val="none"/>
        </w:rPr>
        <w:t>Which are the indications for open abdomen in</w:t>
      </w:r>
      <w:r w:rsidRPr="0080532C">
        <w:rPr>
          <w:rFonts w:ascii="Times New Roman" w:eastAsia="宋体" w:hAnsi="Times New Roman" w:cs="Times New Roman"/>
          <w:b/>
          <w:bCs/>
          <w:kern w:val="0"/>
          <w:szCs w:val="21"/>
          <w14:ligatures w14:val="none"/>
        </w:rPr>
        <w:br/>
        <w:t>case of severe acute pancreatitis?</w:t>
      </w:r>
    </w:p>
    <w:p w14:paraId="73B53838" w14:textId="77777777" w:rsidR="00A71408" w:rsidRPr="0080532C" w:rsidRDefault="00A71408" w:rsidP="00A71408">
      <w:pPr>
        <w:widowControl/>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The use of an open abdomen in the management of severe acute pancreatitis (SAP) is a complex decision that depends on the patient's clinical condition, the presence of complications, and the extent of disease. In certain situations, an open abdomen approach may be considered to address specific challenges associated with SAP. Indications for an open abdomen in severe acute pancreatitis may include:</w:t>
      </w:r>
    </w:p>
    <w:p w14:paraId="0A3AA818" w14:textId="77777777" w:rsidR="00A71408" w:rsidRPr="0080532C" w:rsidRDefault="00A71408" w:rsidP="00A71408">
      <w:pPr>
        <w:widowControl/>
        <w:numPr>
          <w:ilvl w:val="0"/>
          <w:numId w:val="38"/>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Abdominal Compartment Syndrome (ACS):</w:t>
      </w:r>
    </w:p>
    <w:p w14:paraId="074F5BFE" w14:textId="77777777" w:rsidR="00A71408" w:rsidRPr="0080532C" w:rsidRDefault="00A71408" w:rsidP="00A71408">
      <w:pPr>
        <w:widowControl/>
        <w:numPr>
          <w:ilvl w:val="1"/>
          <w:numId w:val="38"/>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In some cases of severe acute pancreatitis, there may be an increased intra-abdominal pressure leading to abdominal compartment syndrome.</w:t>
      </w:r>
    </w:p>
    <w:p w14:paraId="0A88C664" w14:textId="77777777" w:rsidR="00A71408" w:rsidRPr="0080532C" w:rsidRDefault="00A71408" w:rsidP="00A71408">
      <w:pPr>
        <w:widowControl/>
        <w:numPr>
          <w:ilvl w:val="1"/>
          <w:numId w:val="38"/>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Abdominal compartment syndrome can result in compromised blood flow to abdominal organs and may contribute to multiple organ failure.</w:t>
      </w:r>
    </w:p>
    <w:p w14:paraId="3C2F96C3" w14:textId="77777777" w:rsidR="00A71408" w:rsidRPr="0080532C" w:rsidRDefault="00A71408" w:rsidP="00A71408">
      <w:pPr>
        <w:widowControl/>
        <w:numPr>
          <w:ilvl w:val="1"/>
          <w:numId w:val="38"/>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Decompressive laparotomy with an open abdomen can be considered to relieve intra-abdominal pressure and improve organ perfusion.</w:t>
      </w:r>
    </w:p>
    <w:p w14:paraId="08B785AB" w14:textId="77777777" w:rsidR="00A71408" w:rsidRPr="0080532C" w:rsidRDefault="00A71408" w:rsidP="00A71408">
      <w:pPr>
        <w:widowControl/>
        <w:numPr>
          <w:ilvl w:val="0"/>
          <w:numId w:val="38"/>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Necrotizing Pancreatitis with Infection:</w:t>
      </w:r>
    </w:p>
    <w:p w14:paraId="038FA7E6" w14:textId="77777777" w:rsidR="00A71408" w:rsidRPr="0080532C" w:rsidRDefault="00A71408" w:rsidP="00A71408">
      <w:pPr>
        <w:widowControl/>
        <w:numPr>
          <w:ilvl w:val="1"/>
          <w:numId w:val="38"/>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In the presence of infected necrosis that is not amenable to percutaneous drainage or other interventions, an open abdomen may be considered.</w:t>
      </w:r>
    </w:p>
    <w:p w14:paraId="3928CD90" w14:textId="77777777" w:rsidR="00A71408" w:rsidRPr="0080532C" w:rsidRDefault="00A71408" w:rsidP="00A71408">
      <w:pPr>
        <w:widowControl/>
        <w:numPr>
          <w:ilvl w:val="1"/>
          <w:numId w:val="38"/>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Opening the abdomen allows for direct access to the necrotic tissue, facilitating debridement and drainage to control infection.</w:t>
      </w:r>
    </w:p>
    <w:p w14:paraId="6D62F131" w14:textId="77777777" w:rsidR="00A71408" w:rsidRPr="0080532C" w:rsidRDefault="00A71408" w:rsidP="00A71408">
      <w:pPr>
        <w:widowControl/>
        <w:numPr>
          <w:ilvl w:val="0"/>
          <w:numId w:val="38"/>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Persistent Organ Failure:</w:t>
      </w:r>
    </w:p>
    <w:p w14:paraId="07CBC384" w14:textId="77777777" w:rsidR="00A71408" w:rsidRPr="0080532C" w:rsidRDefault="00A71408" w:rsidP="00A71408">
      <w:pPr>
        <w:widowControl/>
        <w:numPr>
          <w:ilvl w:val="1"/>
          <w:numId w:val="38"/>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In cases of severe acute pancreatitis with persistent organ failure despite optimal medical management, an open abdomen may be considered to address ongoing complications and improve the patient's chances of recovery.</w:t>
      </w:r>
    </w:p>
    <w:p w14:paraId="2F1842D8" w14:textId="77777777" w:rsidR="00A71408" w:rsidRPr="0080532C" w:rsidRDefault="00A71408" w:rsidP="00A71408">
      <w:pPr>
        <w:widowControl/>
        <w:numPr>
          <w:ilvl w:val="0"/>
          <w:numId w:val="38"/>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Intra-abdominal Hypertension:</w:t>
      </w:r>
    </w:p>
    <w:p w14:paraId="50C93288" w14:textId="77777777" w:rsidR="00A71408" w:rsidRPr="0080532C" w:rsidRDefault="00A71408" w:rsidP="00A71408">
      <w:pPr>
        <w:widowControl/>
        <w:numPr>
          <w:ilvl w:val="1"/>
          <w:numId w:val="38"/>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Elevated intra-abdominal pressure (intra-abdominal hypertension) may occur in severe acute pancreatitis and contribute to organ dysfunction.</w:t>
      </w:r>
    </w:p>
    <w:p w14:paraId="51A471FB" w14:textId="77777777" w:rsidR="00A71408" w:rsidRPr="0080532C" w:rsidRDefault="00A71408" w:rsidP="00A71408">
      <w:pPr>
        <w:widowControl/>
        <w:numPr>
          <w:ilvl w:val="1"/>
          <w:numId w:val="38"/>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An open abdomen can be used to manage intra-abdominal hypertension by providing space for the abdominal contents to expand, thus reducing pressure.</w:t>
      </w:r>
    </w:p>
    <w:p w14:paraId="2CB59D93" w14:textId="77777777" w:rsidR="00A71408" w:rsidRPr="0080532C" w:rsidRDefault="00A71408" w:rsidP="00A71408">
      <w:pPr>
        <w:widowControl/>
        <w:numPr>
          <w:ilvl w:val="0"/>
          <w:numId w:val="38"/>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Difficulties with Surgical Closure:</w:t>
      </w:r>
    </w:p>
    <w:p w14:paraId="4E6ADFC0" w14:textId="77777777" w:rsidR="00A71408" w:rsidRPr="0080532C" w:rsidRDefault="00A71408" w:rsidP="00A71408">
      <w:pPr>
        <w:widowControl/>
        <w:numPr>
          <w:ilvl w:val="1"/>
          <w:numId w:val="38"/>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In some cases, due to the extent of surgical exploration and debridement required in severe acute pancreatitis, primary closure of the abdomen may be challenging.</w:t>
      </w:r>
    </w:p>
    <w:p w14:paraId="7516B04C" w14:textId="77777777" w:rsidR="00A71408" w:rsidRPr="0080532C" w:rsidRDefault="00A71408" w:rsidP="00A71408">
      <w:pPr>
        <w:widowControl/>
        <w:numPr>
          <w:ilvl w:val="1"/>
          <w:numId w:val="38"/>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Leaving the abdomen open allows for easier access to the abdominal cavity for subsequent interventions and facilitates staged closure once the inflammation has subsided.</w:t>
      </w:r>
    </w:p>
    <w:p w14:paraId="027654DD" w14:textId="77777777" w:rsidR="00A71408" w:rsidRPr="0080532C" w:rsidRDefault="00A71408" w:rsidP="00A71408">
      <w:pPr>
        <w:widowControl/>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lastRenderedPageBreak/>
        <w:t>It's important to note that the decision to use an open abdomen in severe acute pancreatitis is typically made on a case-by-case basis and requires careful consideration by a multidisciplinary team, including surgeons, intensivists, and other specialists. The decision involves weighing the potential benefits of an open abdomen against the risks, including the risk of complications associated with the open abdomen technique. Regular reassessment of the patient's condition and ongoing evaluation of the need for abdominal closure are essential components of managing an open abdomen in severe acute pancreatitis.</w:t>
      </w:r>
    </w:p>
    <w:p w14:paraId="50219339" w14:textId="3C09B30D" w:rsidR="00C84EA3" w:rsidRPr="0080532C" w:rsidRDefault="00A71408" w:rsidP="00C84EA3">
      <w:pPr>
        <w:widowControl/>
        <w:jc w:val="left"/>
        <w:rPr>
          <w:rFonts w:ascii="Times New Roman" w:eastAsia="宋体" w:hAnsi="Times New Roman" w:cs="Times New Roman"/>
          <w:b/>
          <w:bCs/>
          <w:kern w:val="0"/>
          <w:szCs w:val="21"/>
          <w14:ligatures w14:val="none"/>
        </w:rPr>
      </w:pPr>
      <w:r w:rsidRPr="0080532C">
        <w:rPr>
          <w:rFonts w:ascii="Times New Roman" w:hAnsi="Times New Roman" w:cs="Times New Roman"/>
          <w:b/>
          <w:bCs/>
          <w:szCs w:val="21"/>
        </w:rPr>
        <w:t>3</w:t>
      </w:r>
      <w:r w:rsidR="00A524E3">
        <w:rPr>
          <w:rFonts w:ascii="Times New Roman" w:hAnsi="Times New Roman" w:cs="Times New Roman"/>
          <w:b/>
          <w:bCs/>
          <w:szCs w:val="21"/>
        </w:rPr>
        <w:t>4</w:t>
      </w:r>
      <w:r w:rsidRPr="0080532C">
        <w:rPr>
          <w:rFonts w:ascii="Times New Roman" w:hAnsi="Times New Roman" w:cs="Times New Roman"/>
          <w:b/>
          <w:bCs/>
          <w:szCs w:val="21"/>
        </w:rPr>
        <w:t>、</w:t>
      </w:r>
      <w:r w:rsidR="00C84EA3" w:rsidRPr="0080532C">
        <w:rPr>
          <w:rFonts w:ascii="Times New Roman" w:eastAsia="宋体" w:hAnsi="Times New Roman" w:cs="Times New Roman"/>
          <w:b/>
          <w:bCs/>
          <w:kern w:val="0"/>
          <w:szCs w:val="21"/>
          <w14:ligatures w14:val="none"/>
        </w:rPr>
        <w:t>For patients with severe acute pancreatitis undergoing open surgery</w:t>
      </w:r>
      <w:r w:rsidR="00C84EA3" w:rsidRPr="0080532C">
        <w:rPr>
          <w:rFonts w:ascii="Times New Roman" w:eastAsia="宋体" w:hAnsi="Times New Roman" w:cs="Times New Roman"/>
          <w:b/>
          <w:bCs/>
          <w:kern w:val="0"/>
          <w:szCs w:val="21"/>
          <w14:ligatures w14:val="none"/>
        </w:rPr>
        <w:t>，</w:t>
      </w:r>
      <w:r w:rsidR="00C84EA3" w:rsidRPr="0080532C">
        <w:rPr>
          <w:rFonts w:ascii="Times New Roman" w:eastAsia="宋体" w:hAnsi="Times New Roman" w:cs="Times New Roman"/>
          <w:b/>
          <w:bCs/>
          <w:kern w:val="0"/>
          <w:szCs w:val="21"/>
          <w14:ligatures w14:val="none"/>
        </w:rPr>
        <w:t>what is the correct timing for abdominal closure?</w:t>
      </w:r>
    </w:p>
    <w:p w14:paraId="3319C7E0" w14:textId="77777777" w:rsidR="00C84EA3" w:rsidRPr="0080532C" w:rsidRDefault="00C84EA3" w:rsidP="00C84EA3">
      <w:pPr>
        <w:widowControl/>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The timing of abdominal closure in patients with severe acute pancreatitis undergoing open surgery is an important consideration and should be individualized based on the patient's clinical status, the extent of disease, and the response to treatment. The decision on when to close the abdomen is typically made by the surgical team and may involve a staged approach. Here are some general considerations:</w:t>
      </w:r>
    </w:p>
    <w:p w14:paraId="7F15B1DD" w14:textId="77777777" w:rsidR="00C84EA3" w:rsidRPr="0080532C" w:rsidRDefault="00C84EA3" w:rsidP="00C84EA3">
      <w:pPr>
        <w:widowControl/>
        <w:numPr>
          <w:ilvl w:val="0"/>
          <w:numId w:val="40"/>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Clinical Improvement:</w:t>
      </w:r>
    </w:p>
    <w:p w14:paraId="7E557526" w14:textId="77777777" w:rsidR="00C84EA3" w:rsidRPr="0080532C" w:rsidRDefault="00C84EA3" w:rsidP="00C84EA3">
      <w:pPr>
        <w:widowControl/>
        <w:numPr>
          <w:ilvl w:val="1"/>
          <w:numId w:val="40"/>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The decision to close the abdomen is often guided by the patient's clinical improvement.</w:t>
      </w:r>
    </w:p>
    <w:p w14:paraId="2F7C3B66" w14:textId="77777777" w:rsidR="00C84EA3" w:rsidRPr="0080532C" w:rsidRDefault="00C84EA3" w:rsidP="00C84EA3">
      <w:pPr>
        <w:widowControl/>
        <w:numPr>
          <w:ilvl w:val="1"/>
          <w:numId w:val="40"/>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If the patient's condition is improving, organ function is stabilizing, and there are no signs of ongoing infection or complications, the surgical team may consider initiating the closure process.</w:t>
      </w:r>
    </w:p>
    <w:p w14:paraId="4BFF96FD" w14:textId="77777777" w:rsidR="00C84EA3" w:rsidRPr="0080532C" w:rsidRDefault="00C84EA3" w:rsidP="00C84EA3">
      <w:pPr>
        <w:widowControl/>
        <w:numPr>
          <w:ilvl w:val="0"/>
          <w:numId w:val="40"/>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Resolution of Inflammation:</w:t>
      </w:r>
    </w:p>
    <w:p w14:paraId="27504712" w14:textId="77777777" w:rsidR="00C84EA3" w:rsidRPr="0080532C" w:rsidRDefault="00C84EA3" w:rsidP="00C84EA3">
      <w:pPr>
        <w:widowControl/>
        <w:numPr>
          <w:ilvl w:val="1"/>
          <w:numId w:val="40"/>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The inflammatory process in severe acute pancreatitis can be dynamic, and the abdomen may be left open until there is a significant reduction in inflammation.</w:t>
      </w:r>
    </w:p>
    <w:p w14:paraId="4DC34B3D" w14:textId="77777777" w:rsidR="00C84EA3" w:rsidRPr="0080532C" w:rsidRDefault="00C84EA3" w:rsidP="00C84EA3">
      <w:pPr>
        <w:widowControl/>
        <w:numPr>
          <w:ilvl w:val="1"/>
          <w:numId w:val="40"/>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Closing the abdomen too early, before the resolution of inflammation, may increase the risk of complications.</w:t>
      </w:r>
    </w:p>
    <w:p w14:paraId="582A4ADC" w14:textId="77777777" w:rsidR="00C84EA3" w:rsidRPr="0080532C" w:rsidRDefault="00C84EA3" w:rsidP="00C84EA3">
      <w:pPr>
        <w:widowControl/>
        <w:numPr>
          <w:ilvl w:val="0"/>
          <w:numId w:val="40"/>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Control of Infection:</w:t>
      </w:r>
    </w:p>
    <w:p w14:paraId="6986C2BF" w14:textId="77777777" w:rsidR="00C84EA3" w:rsidRPr="0080532C" w:rsidRDefault="00C84EA3" w:rsidP="00C84EA3">
      <w:pPr>
        <w:widowControl/>
        <w:numPr>
          <w:ilvl w:val="1"/>
          <w:numId w:val="40"/>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If the open abdomen was a result of managing infected necrosis or other complications, closure may be delayed until the infection is adequately controlled.</w:t>
      </w:r>
    </w:p>
    <w:p w14:paraId="71E9F7A5" w14:textId="77777777" w:rsidR="00C84EA3" w:rsidRPr="0080532C" w:rsidRDefault="00C84EA3" w:rsidP="00C84EA3">
      <w:pPr>
        <w:widowControl/>
        <w:numPr>
          <w:ilvl w:val="1"/>
          <w:numId w:val="40"/>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In some cases, repeated surgical debridement and drainage procedures may be necessary before considering closure.</w:t>
      </w:r>
    </w:p>
    <w:p w14:paraId="37CE621D" w14:textId="77777777" w:rsidR="00C84EA3" w:rsidRPr="0080532C" w:rsidRDefault="00C84EA3" w:rsidP="00C84EA3">
      <w:pPr>
        <w:widowControl/>
        <w:numPr>
          <w:ilvl w:val="0"/>
          <w:numId w:val="40"/>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Staged Closure:</w:t>
      </w:r>
    </w:p>
    <w:p w14:paraId="0396BF0A" w14:textId="77777777" w:rsidR="00C84EA3" w:rsidRPr="0080532C" w:rsidRDefault="00C84EA3" w:rsidP="00C84EA3">
      <w:pPr>
        <w:widowControl/>
        <w:numPr>
          <w:ilvl w:val="1"/>
          <w:numId w:val="40"/>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Staged closure involves gradually bringing the abdominal wall together over time.</w:t>
      </w:r>
    </w:p>
    <w:p w14:paraId="492BA791" w14:textId="77777777" w:rsidR="00C84EA3" w:rsidRPr="0080532C" w:rsidRDefault="00C84EA3" w:rsidP="00C84EA3">
      <w:pPr>
        <w:widowControl/>
        <w:numPr>
          <w:ilvl w:val="1"/>
          <w:numId w:val="40"/>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The initial phase may involve the use of temporary closure techniques such as negative pressure wound therapy or other dressings.</w:t>
      </w:r>
    </w:p>
    <w:p w14:paraId="2AC843B6" w14:textId="77777777" w:rsidR="00C84EA3" w:rsidRPr="0080532C" w:rsidRDefault="00C84EA3" w:rsidP="00C84EA3">
      <w:pPr>
        <w:widowControl/>
        <w:numPr>
          <w:ilvl w:val="1"/>
          <w:numId w:val="40"/>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As the patient's condition improves and the risk of complications decreases, the surgical team may proceed with more definitive closure.</w:t>
      </w:r>
    </w:p>
    <w:p w14:paraId="5FDA7562" w14:textId="77777777" w:rsidR="00C84EA3" w:rsidRPr="0080532C" w:rsidRDefault="00C84EA3" w:rsidP="00C84EA3">
      <w:pPr>
        <w:widowControl/>
        <w:numPr>
          <w:ilvl w:val="0"/>
          <w:numId w:val="40"/>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Monitoring Intra-abdominal Pressure:</w:t>
      </w:r>
    </w:p>
    <w:p w14:paraId="5AD60964" w14:textId="77777777" w:rsidR="00C84EA3" w:rsidRPr="0080532C" w:rsidRDefault="00C84EA3" w:rsidP="00C84EA3">
      <w:pPr>
        <w:widowControl/>
        <w:numPr>
          <w:ilvl w:val="1"/>
          <w:numId w:val="40"/>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Intra-abdominal pressure monitoring can help guide the decision-making process.</w:t>
      </w:r>
    </w:p>
    <w:p w14:paraId="60332488" w14:textId="77777777" w:rsidR="00C84EA3" w:rsidRPr="0080532C" w:rsidRDefault="00C84EA3" w:rsidP="00C84EA3">
      <w:pPr>
        <w:widowControl/>
        <w:numPr>
          <w:ilvl w:val="1"/>
          <w:numId w:val="40"/>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The pressure within the abdomen should be carefully monitored, and closure may be considered when intra-abdominal pressures are within acceptable ranges.</w:t>
      </w:r>
    </w:p>
    <w:p w14:paraId="250D6221" w14:textId="77777777" w:rsidR="00C84EA3" w:rsidRPr="0080532C" w:rsidRDefault="00C84EA3" w:rsidP="00C84EA3">
      <w:pPr>
        <w:widowControl/>
        <w:numPr>
          <w:ilvl w:val="0"/>
          <w:numId w:val="40"/>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b/>
          <w:bCs/>
          <w:kern w:val="0"/>
          <w:szCs w:val="21"/>
          <w14:ligatures w14:val="none"/>
        </w:rPr>
        <w:t>Individual Patient Factors:</w:t>
      </w:r>
    </w:p>
    <w:p w14:paraId="0D7A54F9" w14:textId="77777777" w:rsidR="00C84EA3" w:rsidRPr="0080532C" w:rsidRDefault="00C84EA3" w:rsidP="00C84EA3">
      <w:pPr>
        <w:widowControl/>
        <w:numPr>
          <w:ilvl w:val="1"/>
          <w:numId w:val="40"/>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lastRenderedPageBreak/>
        <w:t>The decision on timing for abdominal closure should consider individual patient factors, such as nutritional status, comorbidities, and overall fitness for surgery.</w:t>
      </w:r>
    </w:p>
    <w:p w14:paraId="291A84CA" w14:textId="77777777" w:rsidR="00C84EA3" w:rsidRPr="0080532C" w:rsidRDefault="00C84EA3" w:rsidP="00C84EA3">
      <w:pPr>
        <w:widowControl/>
        <w:numPr>
          <w:ilvl w:val="1"/>
          <w:numId w:val="40"/>
        </w:numPr>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The goal is to minimize the risk of complications associated with abdominal closure while promoting optimal recovery.</w:t>
      </w:r>
    </w:p>
    <w:p w14:paraId="7964F2ED" w14:textId="77777777" w:rsidR="00C84EA3" w:rsidRPr="0080532C" w:rsidRDefault="00C84EA3" w:rsidP="00C84EA3">
      <w:pPr>
        <w:widowControl/>
        <w:jc w:val="left"/>
        <w:rPr>
          <w:rFonts w:ascii="Times New Roman" w:eastAsia="宋体" w:hAnsi="Times New Roman" w:cs="Times New Roman"/>
          <w:kern w:val="0"/>
          <w:szCs w:val="21"/>
          <w14:ligatures w14:val="none"/>
        </w:rPr>
      </w:pPr>
      <w:r w:rsidRPr="0080532C">
        <w:rPr>
          <w:rFonts w:ascii="Times New Roman" w:eastAsia="宋体" w:hAnsi="Times New Roman" w:cs="Times New Roman"/>
          <w:kern w:val="0"/>
          <w:szCs w:val="21"/>
          <w14:ligatures w14:val="none"/>
        </w:rPr>
        <w:t xml:space="preserve">The timing for abdominal closure is a complex decision that requires close collaboration between the surgical team, intensivists, and other specialists involved in the patient's care. Regular reassessment of the patient's clinical status and ongoing evaluation of the abdomen's condition are essential components of the decision-making process. The </w:t>
      </w:r>
      <w:proofErr w:type="gramStart"/>
      <w:r w:rsidRPr="0080532C">
        <w:rPr>
          <w:rFonts w:ascii="Times New Roman" w:eastAsia="宋体" w:hAnsi="Times New Roman" w:cs="Times New Roman"/>
          <w:kern w:val="0"/>
          <w:szCs w:val="21"/>
          <w14:ligatures w14:val="none"/>
        </w:rPr>
        <w:t>ultimate goal</w:t>
      </w:r>
      <w:proofErr w:type="gramEnd"/>
      <w:r w:rsidRPr="0080532C">
        <w:rPr>
          <w:rFonts w:ascii="Times New Roman" w:eastAsia="宋体" w:hAnsi="Times New Roman" w:cs="Times New Roman"/>
          <w:kern w:val="0"/>
          <w:szCs w:val="21"/>
          <w14:ligatures w14:val="none"/>
        </w:rPr>
        <w:t xml:space="preserve"> is to achieve a safe and durable closure while minimizing the risk of complications.</w:t>
      </w:r>
    </w:p>
    <w:p w14:paraId="53A3586C" w14:textId="30C85B1F" w:rsidR="00CF3AE4" w:rsidRPr="0080532C" w:rsidRDefault="00CF3AE4" w:rsidP="00CF3AE4">
      <w:pPr>
        <w:rPr>
          <w:rFonts w:ascii="Times New Roman" w:hAnsi="Times New Roman" w:cs="Times New Roman"/>
          <w:szCs w:val="21"/>
        </w:rPr>
      </w:pPr>
    </w:p>
    <w:sectPr w:rsidR="00CF3AE4" w:rsidRPr="0080532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8BA49F" w14:textId="77777777" w:rsidR="005E2B1D" w:rsidRDefault="005E2B1D" w:rsidP="003D305C">
      <w:r>
        <w:separator/>
      </w:r>
    </w:p>
  </w:endnote>
  <w:endnote w:type="continuationSeparator" w:id="0">
    <w:p w14:paraId="1FFD2642" w14:textId="77777777" w:rsidR="005E2B1D" w:rsidRDefault="005E2B1D" w:rsidP="003D30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0"/>
    <w:family w:val="decorative"/>
    <w:pitch w:val="variable"/>
    <w:sig w:usb0="00000003" w:usb1="00000000" w:usb2="00000000" w:usb3="00000000" w:csb0="80000001" w:csb1="00000000"/>
  </w:font>
  <w:font w:name="DengXian">
    <w:altName w:val="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DFED93" w14:textId="77777777" w:rsidR="005E2B1D" w:rsidRDefault="005E2B1D" w:rsidP="003D305C">
      <w:r>
        <w:separator/>
      </w:r>
    </w:p>
  </w:footnote>
  <w:footnote w:type="continuationSeparator" w:id="0">
    <w:p w14:paraId="38B8F350" w14:textId="77777777" w:rsidR="005E2B1D" w:rsidRDefault="005E2B1D" w:rsidP="003D30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414C8"/>
    <w:multiLevelType w:val="multilevel"/>
    <w:tmpl w:val="0438505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C33519"/>
    <w:multiLevelType w:val="multilevel"/>
    <w:tmpl w:val="88209B2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EE14CC"/>
    <w:multiLevelType w:val="multilevel"/>
    <w:tmpl w:val="F0F8E4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797803"/>
    <w:multiLevelType w:val="multilevel"/>
    <w:tmpl w:val="BC521A7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584154B"/>
    <w:multiLevelType w:val="multilevel"/>
    <w:tmpl w:val="3E76934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A346683"/>
    <w:multiLevelType w:val="multilevel"/>
    <w:tmpl w:val="100886C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A7B1A95"/>
    <w:multiLevelType w:val="multilevel"/>
    <w:tmpl w:val="011E300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D404B1C"/>
    <w:multiLevelType w:val="multilevel"/>
    <w:tmpl w:val="77F21D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F6C2875"/>
    <w:multiLevelType w:val="multilevel"/>
    <w:tmpl w:val="8E2E053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FF93EE9"/>
    <w:multiLevelType w:val="multilevel"/>
    <w:tmpl w:val="5FF0F57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3604910"/>
    <w:multiLevelType w:val="multilevel"/>
    <w:tmpl w:val="579430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4300295"/>
    <w:multiLevelType w:val="multilevel"/>
    <w:tmpl w:val="545473A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5B9660A"/>
    <w:multiLevelType w:val="multilevel"/>
    <w:tmpl w:val="C7627FB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CDE79B4"/>
    <w:multiLevelType w:val="multilevel"/>
    <w:tmpl w:val="71180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097C2C"/>
    <w:multiLevelType w:val="multilevel"/>
    <w:tmpl w:val="FB42C29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04B6E84"/>
    <w:multiLevelType w:val="multilevel"/>
    <w:tmpl w:val="4094DEB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11A75EC"/>
    <w:multiLevelType w:val="multilevel"/>
    <w:tmpl w:val="50C643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12B6E18"/>
    <w:multiLevelType w:val="multilevel"/>
    <w:tmpl w:val="B298E83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C32E5A"/>
    <w:multiLevelType w:val="multilevel"/>
    <w:tmpl w:val="B75E33A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56D646C"/>
    <w:multiLevelType w:val="multilevel"/>
    <w:tmpl w:val="87AA1F7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98B58B5"/>
    <w:multiLevelType w:val="multilevel"/>
    <w:tmpl w:val="B7D85FE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A0B7D2D"/>
    <w:multiLevelType w:val="multilevel"/>
    <w:tmpl w:val="F7B8F0B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DAB0755"/>
    <w:multiLevelType w:val="multilevel"/>
    <w:tmpl w:val="DCE49C6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070488D"/>
    <w:multiLevelType w:val="multilevel"/>
    <w:tmpl w:val="2BE4376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2364505"/>
    <w:multiLevelType w:val="multilevel"/>
    <w:tmpl w:val="31A61B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3612DD3"/>
    <w:multiLevelType w:val="multilevel"/>
    <w:tmpl w:val="7B7A6EA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55A54E5"/>
    <w:multiLevelType w:val="multilevel"/>
    <w:tmpl w:val="5664A82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EEC67F0"/>
    <w:multiLevelType w:val="multilevel"/>
    <w:tmpl w:val="3DE49FF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57D6B76"/>
    <w:multiLevelType w:val="multilevel"/>
    <w:tmpl w:val="9FCCC76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5BE32C2"/>
    <w:multiLevelType w:val="multilevel"/>
    <w:tmpl w:val="FE8E2DB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6704546"/>
    <w:multiLevelType w:val="multilevel"/>
    <w:tmpl w:val="9C4EDB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8F45ECB"/>
    <w:multiLevelType w:val="multilevel"/>
    <w:tmpl w:val="AAF4F9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9FE3629"/>
    <w:multiLevelType w:val="multilevel"/>
    <w:tmpl w:val="F990A3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C2F397D"/>
    <w:multiLevelType w:val="multilevel"/>
    <w:tmpl w:val="7952BB6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CEE66FA"/>
    <w:multiLevelType w:val="multilevel"/>
    <w:tmpl w:val="B0AAEC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DF30016"/>
    <w:multiLevelType w:val="multilevel"/>
    <w:tmpl w:val="035C4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F2F545E"/>
    <w:multiLevelType w:val="multilevel"/>
    <w:tmpl w:val="DC94B1C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F4829AA"/>
    <w:multiLevelType w:val="multilevel"/>
    <w:tmpl w:val="3BDA624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08E7526"/>
    <w:multiLevelType w:val="multilevel"/>
    <w:tmpl w:val="F962B3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0E86C60"/>
    <w:multiLevelType w:val="multilevel"/>
    <w:tmpl w:val="D19A915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B1606D4"/>
    <w:multiLevelType w:val="multilevel"/>
    <w:tmpl w:val="576EAEA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28B1B97"/>
    <w:multiLevelType w:val="multilevel"/>
    <w:tmpl w:val="31A6F3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AF54942"/>
    <w:multiLevelType w:val="multilevel"/>
    <w:tmpl w:val="5F6E5CD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C830429"/>
    <w:multiLevelType w:val="multilevel"/>
    <w:tmpl w:val="B0DEE5F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E224466"/>
    <w:multiLevelType w:val="multilevel"/>
    <w:tmpl w:val="94761E5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81449764">
    <w:abstractNumId w:val="22"/>
  </w:num>
  <w:num w:numId="2" w16cid:durableId="2134328992">
    <w:abstractNumId w:val="29"/>
  </w:num>
  <w:num w:numId="3" w16cid:durableId="1313675887">
    <w:abstractNumId w:val="37"/>
  </w:num>
  <w:num w:numId="4" w16cid:durableId="65348922">
    <w:abstractNumId w:val="12"/>
  </w:num>
  <w:num w:numId="5" w16cid:durableId="1168253940">
    <w:abstractNumId w:val="5"/>
  </w:num>
  <w:num w:numId="6" w16cid:durableId="146021705">
    <w:abstractNumId w:val="36"/>
  </w:num>
  <w:num w:numId="7" w16cid:durableId="1435327487">
    <w:abstractNumId w:val="3"/>
  </w:num>
  <w:num w:numId="8" w16cid:durableId="1746805200">
    <w:abstractNumId w:val="33"/>
  </w:num>
  <w:num w:numId="9" w16cid:durableId="377097643">
    <w:abstractNumId w:val="14"/>
  </w:num>
  <w:num w:numId="10" w16cid:durableId="1656642816">
    <w:abstractNumId w:val="4"/>
  </w:num>
  <w:num w:numId="11" w16cid:durableId="723914360">
    <w:abstractNumId w:val="18"/>
  </w:num>
  <w:num w:numId="12" w16cid:durableId="1085689464">
    <w:abstractNumId w:val="28"/>
  </w:num>
  <w:num w:numId="13" w16cid:durableId="575941600">
    <w:abstractNumId w:val="2"/>
  </w:num>
  <w:num w:numId="14" w16cid:durableId="34350498">
    <w:abstractNumId w:val="26"/>
  </w:num>
  <w:num w:numId="15" w16cid:durableId="1101335301">
    <w:abstractNumId w:val="43"/>
  </w:num>
  <w:num w:numId="16" w16cid:durableId="1591889472">
    <w:abstractNumId w:val="39"/>
  </w:num>
  <w:num w:numId="17" w16cid:durableId="1767069930">
    <w:abstractNumId w:val="10"/>
  </w:num>
  <w:num w:numId="18" w16cid:durableId="180780137">
    <w:abstractNumId w:val="42"/>
  </w:num>
  <w:num w:numId="19" w16cid:durableId="332611330">
    <w:abstractNumId w:val="25"/>
  </w:num>
  <w:num w:numId="20" w16cid:durableId="1180897115">
    <w:abstractNumId w:val="15"/>
  </w:num>
  <w:num w:numId="21" w16cid:durableId="1262572443">
    <w:abstractNumId w:val="9"/>
  </w:num>
  <w:num w:numId="22" w16cid:durableId="749079592">
    <w:abstractNumId w:val="13"/>
  </w:num>
  <w:num w:numId="23" w16cid:durableId="810907820">
    <w:abstractNumId w:val="11"/>
  </w:num>
  <w:num w:numId="24" w16cid:durableId="1062291110">
    <w:abstractNumId w:val="1"/>
  </w:num>
  <w:num w:numId="25" w16cid:durableId="1540316253">
    <w:abstractNumId w:val="16"/>
  </w:num>
  <w:num w:numId="26" w16cid:durableId="1281957785">
    <w:abstractNumId w:val="44"/>
  </w:num>
  <w:num w:numId="27" w16cid:durableId="1546522845">
    <w:abstractNumId w:val="0"/>
  </w:num>
  <w:num w:numId="28" w16cid:durableId="1678967624">
    <w:abstractNumId w:val="40"/>
  </w:num>
  <w:num w:numId="29" w16cid:durableId="1646005727">
    <w:abstractNumId w:val="21"/>
  </w:num>
  <w:num w:numId="30" w16cid:durableId="1535772026">
    <w:abstractNumId w:val="32"/>
  </w:num>
  <w:num w:numId="31" w16cid:durableId="1129396975">
    <w:abstractNumId w:val="7"/>
  </w:num>
  <w:num w:numId="32" w16cid:durableId="1675377757">
    <w:abstractNumId w:val="41"/>
  </w:num>
  <w:num w:numId="33" w16cid:durableId="901719424">
    <w:abstractNumId w:val="20"/>
  </w:num>
  <w:num w:numId="34" w16cid:durableId="549074464">
    <w:abstractNumId w:val="34"/>
  </w:num>
  <w:num w:numId="35" w16cid:durableId="383330306">
    <w:abstractNumId w:val="30"/>
  </w:num>
  <w:num w:numId="36" w16cid:durableId="1037050594">
    <w:abstractNumId w:val="8"/>
  </w:num>
  <w:num w:numId="37" w16cid:durableId="73285779">
    <w:abstractNumId w:val="23"/>
  </w:num>
  <w:num w:numId="38" w16cid:durableId="1726443057">
    <w:abstractNumId w:val="6"/>
  </w:num>
  <w:num w:numId="39" w16cid:durableId="1032071146">
    <w:abstractNumId w:val="19"/>
  </w:num>
  <w:num w:numId="40" w16cid:durableId="1906187713">
    <w:abstractNumId w:val="27"/>
  </w:num>
  <w:num w:numId="41" w16cid:durableId="375159153">
    <w:abstractNumId w:val="17"/>
  </w:num>
  <w:num w:numId="42" w16cid:durableId="1564171922">
    <w:abstractNumId w:val="35"/>
  </w:num>
  <w:num w:numId="43" w16cid:durableId="1366326070">
    <w:abstractNumId w:val="24"/>
  </w:num>
  <w:num w:numId="44" w16cid:durableId="1134373210">
    <w:abstractNumId w:val="38"/>
  </w:num>
  <w:num w:numId="45" w16cid:durableId="148932787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4"/>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0A2"/>
    <w:rsid w:val="00173BE3"/>
    <w:rsid w:val="00175F4D"/>
    <w:rsid w:val="001F0F47"/>
    <w:rsid w:val="00267777"/>
    <w:rsid w:val="002A4E69"/>
    <w:rsid w:val="002E61AB"/>
    <w:rsid w:val="00313289"/>
    <w:rsid w:val="003D305C"/>
    <w:rsid w:val="003D70A2"/>
    <w:rsid w:val="00442315"/>
    <w:rsid w:val="004C05C6"/>
    <w:rsid w:val="004F167E"/>
    <w:rsid w:val="00512105"/>
    <w:rsid w:val="00580BF8"/>
    <w:rsid w:val="005E2B1D"/>
    <w:rsid w:val="00641559"/>
    <w:rsid w:val="00706574"/>
    <w:rsid w:val="0076721A"/>
    <w:rsid w:val="007F5722"/>
    <w:rsid w:val="0080532C"/>
    <w:rsid w:val="00826B05"/>
    <w:rsid w:val="009440B1"/>
    <w:rsid w:val="00A524E3"/>
    <w:rsid w:val="00A71408"/>
    <w:rsid w:val="00AA202B"/>
    <w:rsid w:val="00C84EA3"/>
    <w:rsid w:val="00CC7931"/>
    <w:rsid w:val="00CF3AE4"/>
    <w:rsid w:val="00D8039F"/>
    <w:rsid w:val="00DE5571"/>
    <w:rsid w:val="00EA4CA7"/>
    <w:rsid w:val="00EC2F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A5B1DD"/>
  <w15:chartTrackingRefBased/>
  <w15:docId w15:val="{547198D3-F11D-4786-B0D0-0195776E6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3">
    <w:name w:val="heading 3"/>
    <w:basedOn w:val="a"/>
    <w:link w:val="30"/>
    <w:uiPriority w:val="9"/>
    <w:qFormat/>
    <w:rsid w:val="00641559"/>
    <w:pPr>
      <w:widowControl/>
      <w:spacing w:before="100" w:beforeAutospacing="1" w:after="100" w:afterAutospacing="1"/>
      <w:jc w:val="left"/>
      <w:outlineLvl w:val="2"/>
    </w:pPr>
    <w:rPr>
      <w:rFonts w:ascii="宋体" w:eastAsia="宋体" w:hAnsi="宋体" w:cs="宋体"/>
      <w:b/>
      <w:bCs/>
      <w:kern w:val="0"/>
      <w:sz w:val="27"/>
      <w:szCs w:val="27"/>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C2F8E"/>
    <w:pPr>
      <w:widowControl/>
      <w:spacing w:before="100" w:beforeAutospacing="1" w:after="100" w:afterAutospacing="1"/>
      <w:jc w:val="left"/>
    </w:pPr>
    <w:rPr>
      <w:rFonts w:ascii="宋体" w:eastAsia="宋体" w:hAnsi="宋体" w:cs="宋体"/>
      <w:kern w:val="0"/>
      <w:sz w:val="24"/>
      <w:szCs w:val="24"/>
      <w14:ligatures w14:val="none"/>
    </w:rPr>
  </w:style>
  <w:style w:type="character" w:styleId="a4">
    <w:name w:val="Strong"/>
    <w:basedOn w:val="a0"/>
    <w:uiPriority w:val="22"/>
    <w:qFormat/>
    <w:rsid w:val="00EC2F8E"/>
    <w:rPr>
      <w:b/>
      <w:bCs/>
    </w:rPr>
  </w:style>
  <w:style w:type="character" w:customStyle="1" w:styleId="30">
    <w:name w:val="标题 3 字符"/>
    <w:basedOn w:val="a0"/>
    <w:link w:val="3"/>
    <w:uiPriority w:val="9"/>
    <w:rsid w:val="00641559"/>
    <w:rPr>
      <w:rFonts w:ascii="宋体" w:eastAsia="宋体" w:hAnsi="宋体" w:cs="宋体"/>
      <w:b/>
      <w:bCs/>
      <w:kern w:val="0"/>
      <w:sz w:val="27"/>
      <w:szCs w:val="27"/>
      <w14:ligatures w14:val="none"/>
    </w:rPr>
  </w:style>
  <w:style w:type="paragraph" w:styleId="a5">
    <w:name w:val="header"/>
    <w:basedOn w:val="a"/>
    <w:link w:val="a6"/>
    <w:uiPriority w:val="99"/>
    <w:unhideWhenUsed/>
    <w:rsid w:val="003D305C"/>
    <w:pPr>
      <w:tabs>
        <w:tab w:val="center" w:pos="4153"/>
        <w:tab w:val="right" w:pos="8306"/>
      </w:tabs>
      <w:snapToGrid w:val="0"/>
      <w:jc w:val="center"/>
    </w:pPr>
    <w:rPr>
      <w:sz w:val="18"/>
      <w:szCs w:val="18"/>
    </w:rPr>
  </w:style>
  <w:style w:type="character" w:customStyle="1" w:styleId="a6">
    <w:name w:val="页眉 字符"/>
    <w:basedOn w:val="a0"/>
    <w:link w:val="a5"/>
    <w:uiPriority w:val="99"/>
    <w:rsid w:val="003D305C"/>
    <w:rPr>
      <w:sz w:val="18"/>
      <w:szCs w:val="18"/>
    </w:rPr>
  </w:style>
  <w:style w:type="paragraph" w:styleId="a7">
    <w:name w:val="footer"/>
    <w:basedOn w:val="a"/>
    <w:link w:val="a8"/>
    <w:uiPriority w:val="99"/>
    <w:unhideWhenUsed/>
    <w:rsid w:val="003D305C"/>
    <w:pPr>
      <w:tabs>
        <w:tab w:val="center" w:pos="4153"/>
        <w:tab w:val="right" w:pos="8306"/>
      </w:tabs>
      <w:snapToGrid w:val="0"/>
      <w:jc w:val="left"/>
    </w:pPr>
    <w:rPr>
      <w:sz w:val="18"/>
      <w:szCs w:val="18"/>
    </w:rPr>
  </w:style>
  <w:style w:type="character" w:customStyle="1" w:styleId="a8">
    <w:name w:val="页脚 字符"/>
    <w:basedOn w:val="a0"/>
    <w:link w:val="a7"/>
    <w:uiPriority w:val="99"/>
    <w:rsid w:val="003D305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0978">
      <w:bodyDiv w:val="1"/>
      <w:marLeft w:val="0"/>
      <w:marRight w:val="0"/>
      <w:marTop w:val="0"/>
      <w:marBottom w:val="0"/>
      <w:divBdr>
        <w:top w:val="none" w:sz="0" w:space="0" w:color="auto"/>
        <w:left w:val="none" w:sz="0" w:space="0" w:color="auto"/>
        <w:bottom w:val="none" w:sz="0" w:space="0" w:color="auto"/>
        <w:right w:val="none" w:sz="0" w:space="0" w:color="auto"/>
      </w:divBdr>
      <w:divsChild>
        <w:div w:id="171378527">
          <w:marLeft w:val="0"/>
          <w:marRight w:val="0"/>
          <w:marTop w:val="0"/>
          <w:marBottom w:val="0"/>
          <w:divBdr>
            <w:top w:val="none" w:sz="0" w:space="0" w:color="auto"/>
            <w:left w:val="none" w:sz="0" w:space="0" w:color="auto"/>
            <w:bottom w:val="none" w:sz="0" w:space="0" w:color="auto"/>
            <w:right w:val="none" w:sz="0" w:space="0" w:color="auto"/>
          </w:divBdr>
          <w:divsChild>
            <w:div w:id="748229126">
              <w:marLeft w:val="0"/>
              <w:marRight w:val="0"/>
              <w:marTop w:val="0"/>
              <w:marBottom w:val="0"/>
              <w:divBdr>
                <w:top w:val="none" w:sz="0" w:space="0" w:color="auto"/>
                <w:left w:val="none" w:sz="0" w:space="0" w:color="auto"/>
                <w:bottom w:val="none" w:sz="0" w:space="0" w:color="auto"/>
                <w:right w:val="none" w:sz="0" w:space="0" w:color="auto"/>
              </w:divBdr>
            </w:div>
          </w:divsChild>
        </w:div>
        <w:div w:id="1838692873">
          <w:marLeft w:val="0"/>
          <w:marRight w:val="0"/>
          <w:marTop w:val="0"/>
          <w:marBottom w:val="0"/>
          <w:divBdr>
            <w:top w:val="none" w:sz="0" w:space="0" w:color="auto"/>
            <w:left w:val="none" w:sz="0" w:space="0" w:color="auto"/>
            <w:bottom w:val="none" w:sz="0" w:space="0" w:color="auto"/>
            <w:right w:val="none" w:sz="0" w:space="0" w:color="auto"/>
          </w:divBdr>
          <w:divsChild>
            <w:div w:id="1213662754">
              <w:marLeft w:val="0"/>
              <w:marRight w:val="0"/>
              <w:marTop w:val="0"/>
              <w:marBottom w:val="0"/>
              <w:divBdr>
                <w:top w:val="none" w:sz="0" w:space="0" w:color="auto"/>
                <w:left w:val="none" w:sz="0" w:space="0" w:color="auto"/>
                <w:bottom w:val="none" w:sz="0" w:space="0" w:color="auto"/>
                <w:right w:val="none" w:sz="0" w:space="0" w:color="auto"/>
              </w:divBdr>
            </w:div>
            <w:div w:id="87407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33589">
      <w:bodyDiv w:val="1"/>
      <w:marLeft w:val="0"/>
      <w:marRight w:val="0"/>
      <w:marTop w:val="0"/>
      <w:marBottom w:val="0"/>
      <w:divBdr>
        <w:top w:val="none" w:sz="0" w:space="0" w:color="auto"/>
        <w:left w:val="none" w:sz="0" w:space="0" w:color="auto"/>
        <w:bottom w:val="none" w:sz="0" w:space="0" w:color="auto"/>
        <w:right w:val="none" w:sz="0" w:space="0" w:color="auto"/>
      </w:divBdr>
      <w:divsChild>
        <w:div w:id="2091074591">
          <w:marLeft w:val="0"/>
          <w:marRight w:val="0"/>
          <w:marTop w:val="0"/>
          <w:marBottom w:val="0"/>
          <w:divBdr>
            <w:top w:val="none" w:sz="0" w:space="0" w:color="auto"/>
            <w:left w:val="none" w:sz="0" w:space="0" w:color="auto"/>
            <w:bottom w:val="none" w:sz="0" w:space="0" w:color="auto"/>
            <w:right w:val="none" w:sz="0" w:space="0" w:color="auto"/>
          </w:divBdr>
          <w:divsChild>
            <w:div w:id="365369519">
              <w:marLeft w:val="0"/>
              <w:marRight w:val="0"/>
              <w:marTop w:val="0"/>
              <w:marBottom w:val="0"/>
              <w:divBdr>
                <w:top w:val="none" w:sz="0" w:space="0" w:color="auto"/>
                <w:left w:val="none" w:sz="0" w:space="0" w:color="auto"/>
                <w:bottom w:val="none" w:sz="0" w:space="0" w:color="auto"/>
                <w:right w:val="none" w:sz="0" w:space="0" w:color="auto"/>
              </w:divBdr>
            </w:div>
          </w:divsChild>
        </w:div>
        <w:div w:id="192110432">
          <w:marLeft w:val="0"/>
          <w:marRight w:val="0"/>
          <w:marTop w:val="0"/>
          <w:marBottom w:val="0"/>
          <w:divBdr>
            <w:top w:val="none" w:sz="0" w:space="0" w:color="auto"/>
            <w:left w:val="none" w:sz="0" w:space="0" w:color="auto"/>
            <w:bottom w:val="none" w:sz="0" w:space="0" w:color="auto"/>
            <w:right w:val="none" w:sz="0" w:space="0" w:color="auto"/>
          </w:divBdr>
          <w:divsChild>
            <w:div w:id="1763838751">
              <w:marLeft w:val="0"/>
              <w:marRight w:val="0"/>
              <w:marTop w:val="0"/>
              <w:marBottom w:val="0"/>
              <w:divBdr>
                <w:top w:val="none" w:sz="0" w:space="0" w:color="auto"/>
                <w:left w:val="none" w:sz="0" w:space="0" w:color="auto"/>
                <w:bottom w:val="none" w:sz="0" w:space="0" w:color="auto"/>
                <w:right w:val="none" w:sz="0" w:space="0" w:color="auto"/>
              </w:divBdr>
            </w:div>
            <w:div w:id="751049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0070">
      <w:bodyDiv w:val="1"/>
      <w:marLeft w:val="0"/>
      <w:marRight w:val="0"/>
      <w:marTop w:val="0"/>
      <w:marBottom w:val="0"/>
      <w:divBdr>
        <w:top w:val="none" w:sz="0" w:space="0" w:color="auto"/>
        <w:left w:val="none" w:sz="0" w:space="0" w:color="auto"/>
        <w:bottom w:val="none" w:sz="0" w:space="0" w:color="auto"/>
        <w:right w:val="none" w:sz="0" w:space="0" w:color="auto"/>
      </w:divBdr>
      <w:divsChild>
        <w:div w:id="312178597">
          <w:marLeft w:val="0"/>
          <w:marRight w:val="0"/>
          <w:marTop w:val="0"/>
          <w:marBottom w:val="0"/>
          <w:divBdr>
            <w:top w:val="none" w:sz="0" w:space="0" w:color="auto"/>
            <w:left w:val="none" w:sz="0" w:space="0" w:color="auto"/>
            <w:bottom w:val="none" w:sz="0" w:space="0" w:color="auto"/>
            <w:right w:val="none" w:sz="0" w:space="0" w:color="auto"/>
          </w:divBdr>
          <w:divsChild>
            <w:div w:id="759369649">
              <w:marLeft w:val="0"/>
              <w:marRight w:val="0"/>
              <w:marTop w:val="0"/>
              <w:marBottom w:val="0"/>
              <w:divBdr>
                <w:top w:val="none" w:sz="0" w:space="0" w:color="auto"/>
                <w:left w:val="none" w:sz="0" w:space="0" w:color="auto"/>
                <w:bottom w:val="none" w:sz="0" w:space="0" w:color="auto"/>
                <w:right w:val="none" w:sz="0" w:space="0" w:color="auto"/>
              </w:divBdr>
            </w:div>
          </w:divsChild>
        </w:div>
        <w:div w:id="1092243562">
          <w:marLeft w:val="0"/>
          <w:marRight w:val="0"/>
          <w:marTop w:val="0"/>
          <w:marBottom w:val="0"/>
          <w:divBdr>
            <w:top w:val="none" w:sz="0" w:space="0" w:color="auto"/>
            <w:left w:val="none" w:sz="0" w:space="0" w:color="auto"/>
            <w:bottom w:val="none" w:sz="0" w:space="0" w:color="auto"/>
            <w:right w:val="none" w:sz="0" w:space="0" w:color="auto"/>
          </w:divBdr>
          <w:divsChild>
            <w:div w:id="615907431">
              <w:marLeft w:val="0"/>
              <w:marRight w:val="0"/>
              <w:marTop w:val="0"/>
              <w:marBottom w:val="0"/>
              <w:divBdr>
                <w:top w:val="none" w:sz="0" w:space="0" w:color="auto"/>
                <w:left w:val="none" w:sz="0" w:space="0" w:color="auto"/>
                <w:bottom w:val="none" w:sz="0" w:space="0" w:color="auto"/>
                <w:right w:val="none" w:sz="0" w:space="0" w:color="auto"/>
              </w:divBdr>
            </w:div>
            <w:div w:id="203280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32700">
      <w:bodyDiv w:val="1"/>
      <w:marLeft w:val="0"/>
      <w:marRight w:val="0"/>
      <w:marTop w:val="0"/>
      <w:marBottom w:val="0"/>
      <w:divBdr>
        <w:top w:val="none" w:sz="0" w:space="0" w:color="auto"/>
        <w:left w:val="none" w:sz="0" w:space="0" w:color="auto"/>
        <w:bottom w:val="none" w:sz="0" w:space="0" w:color="auto"/>
        <w:right w:val="none" w:sz="0" w:space="0" w:color="auto"/>
      </w:divBdr>
      <w:divsChild>
        <w:div w:id="1285648465">
          <w:marLeft w:val="0"/>
          <w:marRight w:val="0"/>
          <w:marTop w:val="0"/>
          <w:marBottom w:val="0"/>
          <w:divBdr>
            <w:top w:val="none" w:sz="0" w:space="0" w:color="auto"/>
            <w:left w:val="none" w:sz="0" w:space="0" w:color="auto"/>
            <w:bottom w:val="none" w:sz="0" w:space="0" w:color="auto"/>
            <w:right w:val="none" w:sz="0" w:space="0" w:color="auto"/>
          </w:divBdr>
          <w:divsChild>
            <w:div w:id="750467718">
              <w:marLeft w:val="0"/>
              <w:marRight w:val="0"/>
              <w:marTop w:val="0"/>
              <w:marBottom w:val="0"/>
              <w:divBdr>
                <w:top w:val="none" w:sz="0" w:space="0" w:color="auto"/>
                <w:left w:val="none" w:sz="0" w:space="0" w:color="auto"/>
                <w:bottom w:val="none" w:sz="0" w:space="0" w:color="auto"/>
                <w:right w:val="none" w:sz="0" w:space="0" w:color="auto"/>
              </w:divBdr>
            </w:div>
          </w:divsChild>
        </w:div>
        <w:div w:id="1341198811">
          <w:marLeft w:val="0"/>
          <w:marRight w:val="0"/>
          <w:marTop w:val="0"/>
          <w:marBottom w:val="0"/>
          <w:divBdr>
            <w:top w:val="none" w:sz="0" w:space="0" w:color="auto"/>
            <w:left w:val="none" w:sz="0" w:space="0" w:color="auto"/>
            <w:bottom w:val="none" w:sz="0" w:space="0" w:color="auto"/>
            <w:right w:val="none" w:sz="0" w:space="0" w:color="auto"/>
          </w:divBdr>
          <w:divsChild>
            <w:div w:id="1915317118">
              <w:marLeft w:val="0"/>
              <w:marRight w:val="0"/>
              <w:marTop w:val="0"/>
              <w:marBottom w:val="0"/>
              <w:divBdr>
                <w:top w:val="none" w:sz="0" w:space="0" w:color="auto"/>
                <w:left w:val="none" w:sz="0" w:space="0" w:color="auto"/>
                <w:bottom w:val="none" w:sz="0" w:space="0" w:color="auto"/>
                <w:right w:val="none" w:sz="0" w:space="0" w:color="auto"/>
              </w:divBdr>
            </w:div>
            <w:div w:id="384526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455044">
      <w:bodyDiv w:val="1"/>
      <w:marLeft w:val="0"/>
      <w:marRight w:val="0"/>
      <w:marTop w:val="0"/>
      <w:marBottom w:val="0"/>
      <w:divBdr>
        <w:top w:val="none" w:sz="0" w:space="0" w:color="auto"/>
        <w:left w:val="none" w:sz="0" w:space="0" w:color="auto"/>
        <w:bottom w:val="none" w:sz="0" w:space="0" w:color="auto"/>
        <w:right w:val="none" w:sz="0" w:space="0" w:color="auto"/>
      </w:divBdr>
      <w:divsChild>
        <w:div w:id="1349715439">
          <w:marLeft w:val="0"/>
          <w:marRight w:val="0"/>
          <w:marTop w:val="0"/>
          <w:marBottom w:val="0"/>
          <w:divBdr>
            <w:top w:val="none" w:sz="0" w:space="0" w:color="auto"/>
            <w:left w:val="none" w:sz="0" w:space="0" w:color="auto"/>
            <w:bottom w:val="none" w:sz="0" w:space="0" w:color="auto"/>
            <w:right w:val="none" w:sz="0" w:space="0" w:color="auto"/>
          </w:divBdr>
          <w:divsChild>
            <w:div w:id="462625542">
              <w:marLeft w:val="0"/>
              <w:marRight w:val="0"/>
              <w:marTop w:val="0"/>
              <w:marBottom w:val="0"/>
              <w:divBdr>
                <w:top w:val="none" w:sz="0" w:space="0" w:color="auto"/>
                <w:left w:val="none" w:sz="0" w:space="0" w:color="auto"/>
                <w:bottom w:val="none" w:sz="0" w:space="0" w:color="auto"/>
                <w:right w:val="none" w:sz="0" w:space="0" w:color="auto"/>
              </w:divBdr>
            </w:div>
          </w:divsChild>
        </w:div>
        <w:div w:id="264847231">
          <w:marLeft w:val="0"/>
          <w:marRight w:val="0"/>
          <w:marTop w:val="0"/>
          <w:marBottom w:val="0"/>
          <w:divBdr>
            <w:top w:val="none" w:sz="0" w:space="0" w:color="auto"/>
            <w:left w:val="none" w:sz="0" w:space="0" w:color="auto"/>
            <w:bottom w:val="none" w:sz="0" w:space="0" w:color="auto"/>
            <w:right w:val="none" w:sz="0" w:space="0" w:color="auto"/>
          </w:divBdr>
          <w:divsChild>
            <w:div w:id="656224622">
              <w:marLeft w:val="0"/>
              <w:marRight w:val="0"/>
              <w:marTop w:val="0"/>
              <w:marBottom w:val="0"/>
              <w:divBdr>
                <w:top w:val="none" w:sz="0" w:space="0" w:color="auto"/>
                <w:left w:val="none" w:sz="0" w:space="0" w:color="auto"/>
                <w:bottom w:val="none" w:sz="0" w:space="0" w:color="auto"/>
                <w:right w:val="none" w:sz="0" w:space="0" w:color="auto"/>
              </w:divBdr>
            </w:div>
            <w:div w:id="270862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6579">
      <w:bodyDiv w:val="1"/>
      <w:marLeft w:val="0"/>
      <w:marRight w:val="0"/>
      <w:marTop w:val="0"/>
      <w:marBottom w:val="0"/>
      <w:divBdr>
        <w:top w:val="none" w:sz="0" w:space="0" w:color="auto"/>
        <w:left w:val="none" w:sz="0" w:space="0" w:color="auto"/>
        <w:bottom w:val="none" w:sz="0" w:space="0" w:color="auto"/>
        <w:right w:val="none" w:sz="0" w:space="0" w:color="auto"/>
      </w:divBdr>
      <w:divsChild>
        <w:div w:id="779835261">
          <w:marLeft w:val="0"/>
          <w:marRight w:val="0"/>
          <w:marTop w:val="0"/>
          <w:marBottom w:val="0"/>
          <w:divBdr>
            <w:top w:val="none" w:sz="0" w:space="0" w:color="auto"/>
            <w:left w:val="none" w:sz="0" w:space="0" w:color="auto"/>
            <w:bottom w:val="none" w:sz="0" w:space="0" w:color="auto"/>
            <w:right w:val="none" w:sz="0" w:space="0" w:color="auto"/>
          </w:divBdr>
          <w:divsChild>
            <w:div w:id="1859545427">
              <w:marLeft w:val="0"/>
              <w:marRight w:val="0"/>
              <w:marTop w:val="0"/>
              <w:marBottom w:val="0"/>
              <w:divBdr>
                <w:top w:val="none" w:sz="0" w:space="0" w:color="auto"/>
                <w:left w:val="none" w:sz="0" w:space="0" w:color="auto"/>
                <w:bottom w:val="none" w:sz="0" w:space="0" w:color="auto"/>
                <w:right w:val="none" w:sz="0" w:space="0" w:color="auto"/>
              </w:divBdr>
            </w:div>
          </w:divsChild>
        </w:div>
        <w:div w:id="620840348">
          <w:marLeft w:val="0"/>
          <w:marRight w:val="0"/>
          <w:marTop w:val="0"/>
          <w:marBottom w:val="0"/>
          <w:divBdr>
            <w:top w:val="none" w:sz="0" w:space="0" w:color="auto"/>
            <w:left w:val="none" w:sz="0" w:space="0" w:color="auto"/>
            <w:bottom w:val="none" w:sz="0" w:space="0" w:color="auto"/>
            <w:right w:val="none" w:sz="0" w:space="0" w:color="auto"/>
          </w:divBdr>
          <w:divsChild>
            <w:div w:id="1715689568">
              <w:marLeft w:val="0"/>
              <w:marRight w:val="0"/>
              <w:marTop w:val="0"/>
              <w:marBottom w:val="0"/>
              <w:divBdr>
                <w:top w:val="none" w:sz="0" w:space="0" w:color="auto"/>
                <w:left w:val="none" w:sz="0" w:space="0" w:color="auto"/>
                <w:bottom w:val="none" w:sz="0" w:space="0" w:color="auto"/>
                <w:right w:val="none" w:sz="0" w:space="0" w:color="auto"/>
              </w:divBdr>
            </w:div>
            <w:div w:id="2060468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645546">
      <w:bodyDiv w:val="1"/>
      <w:marLeft w:val="0"/>
      <w:marRight w:val="0"/>
      <w:marTop w:val="0"/>
      <w:marBottom w:val="0"/>
      <w:divBdr>
        <w:top w:val="none" w:sz="0" w:space="0" w:color="auto"/>
        <w:left w:val="none" w:sz="0" w:space="0" w:color="auto"/>
        <w:bottom w:val="none" w:sz="0" w:space="0" w:color="auto"/>
        <w:right w:val="none" w:sz="0" w:space="0" w:color="auto"/>
      </w:divBdr>
      <w:divsChild>
        <w:div w:id="1082993014">
          <w:marLeft w:val="0"/>
          <w:marRight w:val="0"/>
          <w:marTop w:val="0"/>
          <w:marBottom w:val="0"/>
          <w:divBdr>
            <w:top w:val="none" w:sz="0" w:space="0" w:color="auto"/>
            <w:left w:val="none" w:sz="0" w:space="0" w:color="auto"/>
            <w:bottom w:val="none" w:sz="0" w:space="0" w:color="auto"/>
            <w:right w:val="none" w:sz="0" w:space="0" w:color="auto"/>
          </w:divBdr>
          <w:divsChild>
            <w:div w:id="2047633233">
              <w:marLeft w:val="0"/>
              <w:marRight w:val="0"/>
              <w:marTop w:val="0"/>
              <w:marBottom w:val="0"/>
              <w:divBdr>
                <w:top w:val="none" w:sz="0" w:space="0" w:color="auto"/>
                <w:left w:val="none" w:sz="0" w:space="0" w:color="auto"/>
                <w:bottom w:val="none" w:sz="0" w:space="0" w:color="auto"/>
                <w:right w:val="none" w:sz="0" w:space="0" w:color="auto"/>
              </w:divBdr>
            </w:div>
          </w:divsChild>
        </w:div>
        <w:div w:id="1323387529">
          <w:marLeft w:val="0"/>
          <w:marRight w:val="0"/>
          <w:marTop w:val="0"/>
          <w:marBottom w:val="0"/>
          <w:divBdr>
            <w:top w:val="none" w:sz="0" w:space="0" w:color="auto"/>
            <w:left w:val="none" w:sz="0" w:space="0" w:color="auto"/>
            <w:bottom w:val="none" w:sz="0" w:space="0" w:color="auto"/>
            <w:right w:val="none" w:sz="0" w:space="0" w:color="auto"/>
          </w:divBdr>
          <w:divsChild>
            <w:div w:id="867910432">
              <w:marLeft w:val="0"/>
              <w:marRight w:val="0"/>
              <w:marTop w:val="0"/>
              <w:marBottom w:val="0"/>
              <w:divBdr>
                <w:top w:val="none" w:sz="0" w:space="0" w:color="auto"/>
                <w:left w:val="none" w:sz="0" w:space="0" w:color="auto"/>
                <w:bottom w:val="none" w:sz="0" w:space="0" w:color="auto"/>
                <w:right w:val="none" w:sz="0" w:space="0" w:color="auto"/>
              </w:divBdr>
            </w:div>
            <w:div w:id="45784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818158">
      <w:bodyDiv w:val="1"/>
      <w:marLeft w:val="0"/>
      <w:marRight w:val="0"/>
      <w:marTop w:val="0"/>
      <w:marBottom w:val="0"/>
      <w:divBdr>
        <w:top w:val="none" w:sz="0" w:space="0" w:color="auto"/>
        <w:left w:val="none" w:sz="0" w:space="0" w:color="auto"/>
        <w:bottom w:val="none" w:sz="0" w:space="0" w:color="auto"/>
        <w:right w:val="none" w:sz="0" w:space="0" w:color="auto"/>
      </w:divBdr>
      <w:divsChild>
        <w:div w:id="1289971927">
          <w:marLeft w:val="0"/>
          <w:marRight w:val="0"/>
          <w:marTop w:val="0"/>
          <w:marBottom w:val="0"/>
          <w:divBdr>
            <w:top w:val="none" w:sz="0" w:space="0" w:color="auto"/>
            <w:left w:val="none" w:sz="0" w:space="0" w:color="auto"/>
            <w:bottom w:val="none" w:sz="0" w:space="0" w:color="auto"/>
            <w:right w:val="none" w:sz="0" w:space="0" w:color="auto"/>
          </w:divBdr>
          <w:divsChild>
            <w:div w:id="1942755452">
              <w:marLeft w:val="0"/>
              <w:marRight w:val="0"/>
              <w:marTop w:val="0"/>
              <w:marBottom w:val="0"/>
              <w:divBdr>
                <w:top w:val="none" w:sz="0" w:space="0" w:color="auto"/>
                <w:left w:val="none" w:sz="0" w:space="0" w:color="auto"/>
                <w:bottom w:val="none" w:sz="0" w:space="0" w:color="auto"/>
                <w:right w:val="none" w:sz="0" w:space="0" w:color="auto"/>
              </w:divBdr>
            </w:div>
          </w:divsChild>
        </w:div>
        <w:div w:id="1403528572">
          <w:marLeft w:val="0"/>
          <w:marRight w:val="0"/>
          <w:marTop w:val="0"/>
          <w:marBottom w:val="0"/>
          <w:divBdr>
            <w:top w:val="none" w:sz="0" w:space="0" w:color="auto"/>
            <w:left w:val="none" w:sz="0" w:space="0" w:color="auto"/>
            <w:bottom w:val="none" w:sz="0" w:space="0" w:color="auto"/>
            <w:right w:val="none" w:sz="0" w:space="0" w:color="auto"/>
          </w:divBdr>
          <w:divsChild>
            <w:div w:id="685399428">
              <w:marLeft w:val="0"/>
              <w:marRight w:val="0"/>
              <w:marTop w:val="0"/>
              <w:marBottom w:val="0"/>
              <w:divBdr>
                <w:top w:val="none" w:sz="0" w:space="0" w:color="auto"/>
                <w:left w:val="none" w:sz="0" w:space="0" w:color="auto"/>
                <w:bottom w:val="none" w:sz="0" w:space="0" w:color="auto"/>
                <w:right w:val="none" w:sz="0" w:space="0" w:color="auto"/>
              </w:divBdr>
            </w:div>
            <w:div w:id="1490055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875072">
      <w:bodyDiv w:val="1"/>
      <w:marLeft w:val="0"/>
      <w:marRight w:val="0"/>
      <w:marTop w:val="0"/>
      <w:marBottom w:val="0"/>
      <w:divBdr>
        <w:top w:val="none" w:sz="0" w:space="0" w:color="auto"/>
        <w:left w:val="none" w:sz="0" w:space="0" w:color="auto"/>
        <w:bottom w:val="none" w:sz="0" w:space="0" w:color="auto"/>
        <w:right w:val="none" w:sz="0" w:space="0" w:color="auto"/>
      </w:divBdr>
      <w:divsChild>
        <w:div w:id="422847507">
          <w:marLeft w:val="0"/>
          <w:marRight w:val="0"/>
          <w:marTop w:val="0"/>
          <w:marBottom w:val="0"/>
          <w:divBdr>
            <w:top w:val="none" w:sz="0" w:space="0" w:color="auto"/>
            <w:left w:val="none" w:sz="0" w:space="0" w:color="auto"/>
            <w:bottom w:val="none" w:sz="0" w:space="0" w:color="auto"/>
            <w:right w:val="none" w:sz="0" w:space="0" w:color="auto"/>
          </w:divBdr>
          <w:divsChild>
            <w:div w:id="1882400421">
              <w:marLeft w:val="0"/>
              <w:marRight w:val="0"/>
              <w:marTop w:val="0"/>
              <w:marBottom w:val="0"/>
              <w:divBdr>
                <w:top w:val="none" w:sz="0" w:space="0" w:color="auto"/>
                <w:left w:val="none" w:sz="0" w:space="0" w:color="auto"/>
                <w:bottom w:val="none" w:sz="0" w:space="0" w:color="auto"/>
                <w:right w:val="none" w:sz="0" w:space="0" w:color="auto"/>
              </w:divBdr>
            </w:div>
          </w:divsChild>
        </w:div>
        <w:div w:id="1509295552">
          <w:marLeft w:val="0"/>
          <w:marRight w:val="0"/>
          <w:marTop w:val="0"/>
          <w:marBottom w:val="0"/>
          <w:divBdr>
            <w:top w:val="none" w:sz="0" w:space="0" w:color="auto"/>
            <w:left w:val="none" w:sz="0" w:space="0" w:color="auto"/>
            <w:bottom w:val="none" w:sz="0" w:space="0" w:color="auto"/>
            <w:right w:val="none" w:sz="0" w:space="0" w:color="auto"/>
          </w:divBdr>
          <w:divsChild>
            <w:div w:id="2027636044">
              <w:marLeft w:val="0"/>
              <w:marRight w:val="0"/>
              <w:marTop w:val="0"/>
              <w:marBottom w:val="0"/>
              <w:divBdr>
                <w:top w:val="none" w:sz="0" w:space="0" w:color="auto"/>
                <w:left w:val="none" w:sz="0" w:space="0" w:color="auto"/>
                <w:bottom w:val="none" w:sz="0" w:space="0" w:color="auto"/>
                <w:right w:val="none" w:sz="0" w:space="0" w:color="auto"/>
              </w:divBdr>
            </w:div>
            <w:div w:id="46757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059038">
      <w:bodyDiv w:val="1"/>
      <w:marLeft w:val="0"/>
      <w:marRight w:val="0"/>
      <w:marTop w:val="0"/>
      <w:marBottom w:val="0"/>
      <w:divBdr>
        <w:top w:val="none" w:sz="0" w:space="0" w:color="auto"/>
        <w:left w:val="none" w:sz="0" w:space="0" w:color="auto"/>
        <w:bottom w:val="none" w:sz="0" w:space="0" w:color="auto"/>
        <w:right w:val="none" w:sz="0" w:space="0" w:color="auto"/>
      </w:divBdr>
      <w:divsChild>
        <w:div w:id="1149709303">
          <w:marLeft w:val="0"/>
          <w:marRight w:val="0"/>
          <w:marTop w:val="0"/>
          <w:marBottom w:val="0"/>
          <w:divBdr>
            <w:top w:val="none" w:sz="0" w:space="0" w:color="auto"/>
            <w:left w:val="none" w:sz="0" w:space="0" w:color="auto"/>
            <w:bottom w:val="none" w:sz="0" w:space="0" w:color="auto"/>
            <w:right w:val="none" w:sz="0" w:space="0" w:color="auto"/>
          </w:divBdr>
          <w:divsChild>
            <w:div w:id="1640646039">
              <w:marLeft w:val="0"/>
              <w:marRight w:val="0"/>
              <w:marTop w:val="0"/>
              <w:marBottom w:val="0"/>
              <w:divBdr>
                <w:top w:val="none" w:sz="0" w:space="0" w:color="auto"/>
                <w:left w:val="none" w:sz="0" w:space="0" w:color="auto"/>
                <w:bottom w:val="none" w:sz="0" w:space="0" w:color="auto"/>
                <w:right w:val="none" w:sz="0" w:space="0" w:color="auto"/>
              </w:divBdr>
            </w:div>
          </w:divsChild>
        </w:div>
        <w:div w:id="1161972278">
          <w:marLeft w:val="0"/>
          <w:marRight w:val="0"/>
          <w:marTop w:val="0"/>
          <w:marBottom w:val="0"/>
          <w:divBdr>
            <w:top w:val="none" w:sz="0" w:space="0" w:color="auto"/>
            <w:left w:val="none" w:sz="0" w:space="0" w:color="auto"/>
            <w:bottom w:val="none" w:sz="0" w:space="0" w:color="auto"/>
            <w:right w:val="none" w:sz="0" w:space="0" w:color="auto"/>
          </w:divBdr>
          <w:divsChild>
            <w:div w:id="778378488">
              <w:marLeft w:val="0"/>
              <w:marRight w:val="0"/>
              <w:marTop w:val="0"/>
              <w:marBottom w:val="0"/>
              <w:divBdr>
                <w:top w:val="none" w:sz="0" w:space="0" w:color="auto"/>
                <w:left w:val="none" w:sz="0" w:space="0" w:color="auto"/>
                <w:bottom w:val="none" w:sz="0" w:space="0" w:color="auto"/>
                <w:right w:val="none" w:sz="0" w:space="0" w:color="auto"/>
              </w:divBdr>
            </w:div>
            <w:div w:id="1410930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071382">
      <w:bodyDiv w:val="1"/>
      <w:marLeft w:val="0"/>
      <w:marRight w:val="0"/>
      <w:marTop w:val="0"/>
      <w:marBottom w:val="0"/>
      <w:divBdr>
        <w:top w:val="none" w:sz="0" w:space="0" w:color="auto"/>
        <w:left w:val="none" w:sz="0" w:space="0" w:color="auto"/>
        <w:bottom w:val="none" w:sz="0" w:space="0" w:color="auto"/>
        <w:right w:val="none" w:sz="0" w:space="0" w:color="auto"/>
      </w:divBdr>
      <w:divsChild>
        <w:div w:id="1754934611">
          <w:marLeft w:val="0"/>
          <w:marRight w:val="0"/>
          <w:marTop w:val="0"/>
          <w:marBottom w:val="0"/>
          <w:divBdr>
            <w:top w:val="none" w:sz="0" w:space="0" w:color="auto"/>
            <w:left w:val="none" w:sz="0" w:space="0" w:color="auto"/>
            <w:bottom w:val="none" w:sz="0" w:space="0" w:color="auto"/>
            <w:right w:val="none" w:sz="0" w:space="0" w:color="auto"/>
          </w:divBdr>
          <w:divsChild>
            <w:div w:id="560092215">
              <w:marLeft w:val="0"/>
              <w:marRight w:val="0"/>
              <w:marTop w:val="0"/>
              <w:marBottom w:val="0"/>
              <w:divBdr>
                <w:top w:val="none" w:sz="0" w:space="0" w:color="auto"/>
                <w:left w:val="none" w:sz="0" w:space="0" w:color="auto"/>
                <w:bottom w:val="none" w:sz="0" w:space="0" w:color="auto"/>
                <w:right w:val="none" w:sz="0" w:space="0" w:color="auto"/>
              </w:divBdr>
            </w:div>
          </w:divsChild>
        </w:div>
        <w:div w:id="9724162">
          <w:marLeft w:val="0"/>
          <w:marRight w:val="0"/>
          <w:marTop w:val="0"/>
          <w:marBottom w:val="0"/>
          <w:divBdr>
            <w:top w:val="none" w:sz="0" w:space="0" w:color="auto"/>
            <w:left w:val="none" w:sz="0" w:space="0" w:color="auto"/>
            <w:bottom w:val="none" w:sz="0" w:space="0" w:color="auto"/>
            <w:right w:val="none" w:sz="0" w:space="0" w:color="auto"/>
          </w:divBdr>
          <w:divsChild>
            <w:div w:id="1694262487">
              <w:marLeft w:val="0"/>
              <w:marRight w:val="0"/>
              <w:marTop w:val="0"/>
              <w:marBottom w:val="0"/>
              <w:divBdr>
                <w:top w:val="none" w:sz="0" w:space="0" w:color="auto"/>
                <w:left w:val="none" w:sz="0" w:space="0" w:color="auto"/>
                <w:bottom w:val="none" w:sz="0" w:space="0" w:color="auto"/>
                <w:right w:val="none" w:sz="0" w:space="0" w:color="auto"/>
              </w:divBdr>
            </w:div>
            <w:div w:id="56560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348367">
      <w:bodyDiv w:val="1"/>
      <w:marLeft w:val="0"/>
      <w:marRight w:val="0"/>
      <w:marTop w:val="0"/>
      <w:marBottom w:val="0"/>
      <w:divBdr>
        <w:top w:val="none" w:sz="0" w:space="0" w:color="auto"/>
        <w:left w:val="none" w:sz="0" w:space="0" w:color="auto"/>
        <w:bottom w:val="none" w:sz="0" w:space="0" w:color="auto"/>
        <w:right w:val="none" w:sz="0" w:space="0" w:color="auto"/>
      </w:divBdr>
      <w:divsChild>
        <w:div w:id="938566600">
          <w:marLeft w:val="0"/>
          <w:marRight w:val="0"/>
          <w:marTop w:val="0"/>
          <w:marBottom w:val="0"/>
          <w:divBdr>
            <w:top w:val="none" w:sz="0" w:space="0" w:color="auto"/>
            <w:left w:val="none" w:sz="0" w:space="0" w:color="auto"/>
            <w:bottom w:val="none" w:sz="0" w:space="0" w:color="auto"/>
            <w:right w:val="none" w:sz="0" w:space="0" w:color="auto"/>
          </w:divBdr>
          <w:divsChild>
            <w:div w:id="1950970195">
              <w:marLeft w:val="0"/>
              <w:marRight w:val="0"/>
              <w:marTop w:val="0"/>
              <w:marBottom w:val="0"/>
              <w:divBdr>
                <w:top w:val="none" w:sz="0" w:space="0" w:color="auto"/>
                <w:left w:val="none" w:sz="0" w:space="0" w:color="auto"/>
                <w:bottom w:val="none" w:sz="0" w:space="0" w:color="auto"/>
                <w:right w:val="none" w:sz="0" w:space="0" w:color="auto"/>
              </w:divBdr>
            </w:div>
          </w:divsChild>
        </w:div>
        <w:div w:id="2091076384">
          <w:marLeft w:val="0"/>
          <w:marRight w:val="0"/>
          <w:marTop w:val="0"/>
          <w:marBottom w:val="0"/>
          <w:divBdr>
            <w:top w:val="none" w:sz="0" w:space="0" w:color="auto"/>
            <w:left w:val="none" w:sz="0" w:space="0" w:color="auto"/>
            <w:bottom w:val="none" w:sz="0" w:space="0" w:color="auto"/>
            <w:right w:val="none" w:sz="0" w:space="0" w:color="auto"/>
          </w:divBdr>
          <w:divsChild>
            <w:div w:id="169032441">
              <w:marLeft w:val="0"/>
              <w:marRight w:val="0"/>
              <w:marTop w:val="0"/>
              <w:marBottom w:val="0"/>
              <w:divBdr>
                <w:top w:val="none" w:sz="0" w:space="0" w:color="auto"/>
                <w:left w:val="none" w:sz="0" w:space="0" w:color="auto"/>
                <w:bottom w:val="none" w:sz="0" w:space="0" w:color="auto"/>
                <w:right w:val="none" w:sz="0" w:space="0" w:color="auto"/>
              </w:divBdr>
            </w:div>
            <w:div w:id="38922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991329">
      <w:bodyDiv w:val="1"/>
      <w:marLeft w:val="0"/>
      <w:marRight w:val="0"/>
      <w:marTop w:val="0"/>
      <w:marBottom w:val="0"/>
      <w:divBdr>
        <w:top w:val="none" w:sz="0" w:space="0" w:color="auto"/>
        <w:left w:val="none" w:sz="0" w:space="0" w:color="auto"/>
        <w:bottom w:val="none" w:sz="0" w:space="0" w:color="auto"/>
        <w:right w:val="none" w:sz="0" w:space="0" w:color="auto"/>
      </w:divBdr>
      <w:divsChild>
        <w:div w:id="766736297">
          <w:marLeft w:val="0"/>
          <w:marRight w:val="0"/>
          <w:marTop w:val="0"/>
          <w:marBottom w:val="0"/>
          <w:divBdr>
            <w:top w:val="none" w:sz="0" w:space="0" w:color="auto"/>
            <w:left w:val="none" w:sz="0" w:space="0" w:color="auto"/>
            <w:bottom w:val="none" w:sz="0" w:space="0" w:color="auto"/>
            <w:right w:val="none" w:sz="0" w:space="0" w:color="auto"/>
          </w:divBdr>
          <w:divsChild>
            <w:div w:id="709450339">
              <w:marLeft w:val="0"/>
              <w:marRight w:val="0"/>
              <w:marTop w:val="0"/>
              <w:marBottom w:val="0"/>
              <w:divBdr>
                <w:top w:val="none" w:sz="0" w:space="0" w:color="auto"/>
                <w:left w:val="none" w:sz="0" w:space="0" w:color="auto"/>
                <w:bottom w:val="none" w:sz="0" w:space="0" w:color="auto"/>
                <w:right w:val="none" w:sz="0" w:space="0" w:color="auto"/>
              </w:divBdr>
            </w:div>
          </w:divsChild>
        </w:div>
        <w:div w:id="644354710">
          <w:marLeft w:val="0"/>
          <w:marRight w:val="0"/>
          <w:marTop w:val="0"/>
          <w:marBottom w:val="0"/>
          <w:divBdr>
            <w:top w:val="none" w:sz="0" w:space="0" w:color="auto"/>
            <w:left w:val="none" w:sz="0" w:space="0" w:color="auto"/>
            <w:bottom w:val="none" w:sz="0" w:space="0" w:color="auto"/>
            <w:right w:val="none" w:sz="0" w:space="0" w:color="auto"/>
          </w:divBdr>
          <w:divsChild>
            <w:div w:id="746733119">
              <w:marLeft w:val="0"/>
              <w:marRight w:val="0"/>
              <w:marTop w:val="0"/>
              <w:marBottom w:val="0"/>
              <w:divBdr>
                <w:top w:val="none" w:sz="0" w:space="0" w:color="auto"/>
                <w:left w:val="none" w:sz="0" w:space="0" w:color="auto"/>
                <w:bottom w:val="none" w:sz="0" w:space="0" w:color="auto"/>
                <w:right w:val="none" w:sz="0" w:space="0" w:color="auto"/>
              </w:divBdr>
            </w:div>
            <w:div w:id="1470702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021455">
      <w:bodyDiv w:val="1"/>
      <w:marLeft w:val="0"/>
      <w:marRight w:val="0"/>
      <w:marTop w:val="0"/>
      <w:marBottom w:val="0"/>
      <w:divBdr>
        <w:top w:val="none" w:sz="0" w:space="0" w:color="auto"/>
        <w:left w:val="none" w:sz="0" w:space="0" w:color="auto"/>
        <w:bottom w:val="none" w:sz="0" w:space="0" w:color="auto"/>
        <w:right w:val="none" w:sz="0" w:space="0" w:color="auto"/>
      </w:divBdr>
      <w:divsChild>
        <w:div w:id="172767906">
          <w:marLeft w:val="0"/>
          <w:marRight w:val="0"/>
          <w:marTop w:val="0"/>
          <w:marBottom w:val="0"/>
          <w:divBdr>
            <w:top w:val="none" w:sz="0" w:space="0" w:color="auto"/>
            <w:left w:val="none" w:sz="0" w:space="0" w:color="auto"/>
            <w:bottom w:val="none" w:sz="0" w:space="0" w:color="auto"/>
            <w:right w:val="none" w:sz="0" w:space="0" w:color="auto"/>
          </w:divBdr>
          <w:divsChild>
            <w:div w:id="1324892745">
              <w:marLeft w:val="0"/>
              <w:marRight w:val="0"/>
              <w:marTop w:val="0"/>
              <w:marBottom w:val="0"/>
              <w:divBdr>
                <w:top w:val="none" w:sz="0" w:space="0" w:color="auto"/>
                <w:left w:val="none" w:sz="0" w:space="0" w:color="auto"/>
                <w:bottom w:val="none" w:sz="0" w:space="0" w:color="auto"/>
                <w:right w:val="none" w:sz="0" w:space="0" w:color="auto"/>
              </w:divBdr>
            </w:div>
          </w:divsChild>
        </w:div>
        <w:div w:id="1481070062">
          <w:marLeft w:val="0"/>
          <w:marRight w:val="0"/>
          <w:marTop w:val="0"/>
          <w:marBottom w:val="0"/>
          <w:divBdr>
            <w:top w:val="none" w:sz="0" w:space="0" w:color="auto"/>
            <w:left w:val="none" w:sz="0" w:space="0" w:color="auto"/>
            <w:bottom w:val="none" w:sz="0" w:space="0" w:color="auto"/>
            <w:right w:val="none" w:sz="0" w:space="0" w:color="auto"/>
          </w:divBdr>
          <w:divsChild>
            <w:div w:id="31924996">
              <w:marLeft w:val="0"/>
              <w:marRight w:val="0"/>
              <w:marTop w:val="0"/>
              <w:marBottom w:val="0"/>
              <w:divBdr>
                <w:top w:val="none" w:sz="0" w:space="0" w:color="auto"/>
                <w:left w:val="none" w:sz="0" w:space="0" w:color="auto"/>
                <w:bottom w:val="none" w:sz="0" w:space="0" w:color="auto"/>
                <w:right w:val="none" w:sz="0" w:space="0" w:color="auto"/>
              </w:divBdr>
            </w:div>
            <w:div w:id="5165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797006">
      <w:bodyDiv w:val="1"/>
      <w:marLeft w:val="0"/>
      <w:marRight w:val="0"/>
      <w:marTop w:val="0"/>
      <w:marBottom w:val="0"/>
      <w:divBdr>
        <w:top w:val="none" w:sz="0" w:space="0" w:color="auto"/>
        <w:left w:val="none" w:sz="0" w:space="0" w:color="auto"/>
        <w:bottom w:val="none" w:sz="0" w:space="0" w:color="auto"/>
        <w:right w:val="none" w:sz="0" w:space="0" w:color="auto"/>
      </w:divBdr>
      <w:divsChild>
        <w:div w:id="305277205">
          <w:marLeft w:val="0"/>
          <w:marRight w:val="0"/>
          <w:marTop w:val="0"/>
          <w:marBottom w:val="0"/>
          <w:divBdr>
            <w:top w:val="none" w:sz="0" w:space="0" w:color="auto"/>
            <w:left w:val="none" w:sz="0" w:space="0" w:color="auto"/>
            <w:bottom w:val="none" w:sz="0" w:space="0" w:color="auto"/>
            <w:right w:val="none" w:sz="0" w:space="0" w:color="auto"/>
          </w:divBdr>
          <w:divsChild>
            <w:div w:id="1517619541">
              <w:marLeft w:val="0"/>
              <w:marRight w:val="0"/>
              <w:marTop w:val="0"/>
              <w:marBottom w:val="0"/>
              <w:divBdr>
                <w:top w:val="none" w:sz="0" w:space="0" w:color="auto"/>
                <w:left w:val="none" w:sz="0" w:space="0" w:color="auto"/>
                <w:bottom w:val="none" w:sz="0" w:space="0" w:color="auto"/>
                <w:right w:val="none" w:sz="0" w:space="0" w:color="auto"/>
              </w:divBdr>
            </w:div>
          </w:divsChild>
        </w:div>
        <w:div w:id="518934591">
          <w:marLeft w:val="0"/>
          <w:marRight w:val="0"/>
          <w:marTop w:val="0"/>
          <w:marBottom w:val="0"/>
          <w:divBdr>
            <w:top w:val="none" w:sz="0" w:space="0" w:color="auto"/>
            <w:left w:val="none" w:sz="0" w:space="0" w:color="auto"/>
            <w:bottom w:val="none" w:sz="0" w:space="0" w:color="auto"/>
            <w:right w:val="none" w:sz="0" w:space="0" w:color="auto"/>
          </w:divBdr>
          <w:divsChild>
            <w:div w:id="396632961">
              <w:marLeft w:val="0"/>
              <w:marRight w:val="0"/>
              <w:marTop w:val="0"/>
              <w:marBottom w:val="0"/>
              <w:divBdr>
                <w:top w:val="none" w:sz="0" w:space="0" w:color="auto"/>
                <w:left w:val="none" w:sz="0" w:space="0" w:color="auto"/>
                <w:bottom w:val="none" w:sz="0" w:space="0" w:color="auto"/>
                <w:right w:val="none" w:sz="0" w:space="0" w:color="auto"/>
              </w:divBdr>
            </w:div>
            <w:div w:id="663708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591396">
      <w:bodyDiv w:val="1"/>
      <w:marLeft w:val="0"/>
      <w:marRight w:val="0"/>
      <w:marTop w:val="0"/>
      <w:marBottom w:val="0"/>
      <w:divBdr>
        <w:top w:val="none" w:sz="0" w:space="0" w:color="auto"/>
        <w:left w:val="none" w:sz="0" w:space="0" w:color="auto"/>
        <w:bottom w:val="none" w:sz="0" w:space="0" w:color="auto"/>
        <w:right w:val="none" w:sz="0" w:space="0" w:color="auto"/>
      </w:divBdr>
      <w:divsChild>
        <w:div w:id="134223196">
          <w:marLeft w:val="0"/>
          <w:marRight w:val="0"/>
          <w:marTop w:val="0"/>
          <w:marBottom w:val="0"/>
          <w:divBdr>
            <w:top w:val="none" w:sz="0" w:space="0" w:color="auto"/>
            <w:left w:val="none" w:sz="0" w:space="0" w:color="auto"/>
            <w:bottom w:val="none" w:sz="0" w:space="0" w:color="auto"/>
            <w:right w:val="none" w:sz="0" w:space="0" w:color="auto"/>
          </w:divBdr>
          <w:divsChild>
            <w:div w:id="828063655">
              <w:marLeft w:val="0"/>
              <w:marRight w:val="0"/>
              <w:marTop w:val="0"/>
              <w:marBottom w:val="0"/>
              <w:divBdr>
                <w:top w:val="none" w:sz="0" w:space="0" w:color="auto"/>
                <w:left w:val="none" w:sz="0" w:space="0" w:color="auto"/>
                <w:bottom w:val="none" w:sz="0" w:space="0" w:color="auto"/>
                <w:right w:val="none" w:sz="0" w:space="0" w:color="auto"/>
              </w:divBdr>
            </w:div>
          </w:divsChild>
        </w:div>
        <w:div w:id="42097011">
          <w:marLeft w:val="0"/>
          <w:marRight w:val="0"/>
          <w:marTop w:val="0"/>
          <w:marBottom w:val="0"/>
          <w:divBdr>
            <w:top w:val="none" w:sz="0" w:space="0" w:color="auto"/>
            <w:left w:val="none" w:sz="0" w:space="0" w:color="auto"/>
            <w:bottom w:val="none" w:sz="0" w:space="0" w:color="auto"/>
            <w:right w:val="none" w:sz="0" w:space="0" w:color="auto"/>
          </w:divBdr>
          <w:divsChild>
            <w:div w:id="1887326450">
              <w:marLeft w:val="0"/>
              <w:marRight w:val="0"/>
              <w:marTop w:val="0"/>
              <w:marBottom w:val="0"/>
              <w:divBdr>
                <w:top w:val="none" w:sz="0" w:space="0" w:color="auto"/>
                <w:left w:val="none" w:sz="0" w:space="0" w:color="auto"/>
                <w:bottom w:val="none" w:sz="0" w:space="0" w:color="auto"/>
                <w:right w:val="none" w:sz="0" w:space="0" w:color="auto"/>
              </w:divBdr>
            </w:div>
            <w:div w:id="831487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028750">
      <w:bodyDiv w:val="1"/>
      <w:marLeft w:val="0"/>
      <w:marRight w:val="0"/>
      <w:marTop w:val="0"/>
      <w:marBottom w:val="0"/>
      <w:divBdr>
        <w:top w:val="none" w:sz="0" w:space="0" w:color="auto"/>
        <w:left w:val="none" w:sz="0" w:space="0" w:color="auto"/>
        <w:bottom w:val="none" w:sz="0" w:space="0" w:color="auto"/>
        <w:right w:val="none" w:sz="0" w:space="0" w:color="auto"/>
      </w:divBdr>
      <w:divsChild>
        <w:div w:id="644971235">
          <w:marLeft w:val="0"/>
          <w:marRight w:val="0"/>
          <w:marTop w:val="0"/>
          <w:marBottom w:val="0"/>
          <w:divBdr>
            <w:top w:val="none" w:sz="0" w:space="0" w:color="auto"/>
            <w:left w:val="none" w:sz="0" w:space="0" w:color="auto"/>
            <w:bottom w:val="none" w:sz="0" w:space="0" w:color="auto"/>
            <w:right w:val="none" w:sz="0" w:space="0" w:color="auto"/>
          </w:divBdr>
          <w:divsChild>
            <w:div w:id="548496909">
              <w:marLeft w:val="0"/>
              <w:marRight w:val="0"/>
              <w:marTop w:val="0"/>
              <w:marBottom w:val="0"/>
              <w:divBdr>
                <w:top w:val="none" w:sz="0" w:space="0" w:color="auto"/>
                <w:left w:val="none" w:sz="0" w:space="0" w:color="auto"/>
                <w:bottom w:val="none" w:sz="0" w:space="0" w:color="auto"/>
                <w:right w:val="none" w:sz="0" w:space="0" w:color="auto"/>
              </w:divBdr>
            </w:div>
          </w:divsChild>
        </w:div>
        <w:div w:id="1485971085">
          <w:marLeft w:val="0"/>
          <w:marRight w:val="0"/>
          <w:marTop w:val="0"/>
          <w:marBottom w:val="0"/>
          <w:divBdr>
            <w:top w:val="none" w:sz="0" w:space="0" w:color="auto"/>
            <w:left w:val="none" w:sz="0" w:space="0" w:color="auto"/>
            <w:bottom w:val="none" w:sz="0" w:space="0" w:color="auto"/>
            <w:right w:val="none" w:sz="0" w:space="0" w:color="auto"/>
          </w:divBdr>
          <w:divsChild>
            <w:div w:id="65684699">
              <w:marLeft w:val="0"/>
              <w:marRight w:val="0"/>
              <w:marTop w:val="0"/>
              <w:marBottom w:val="0"/>
              <w:divBdr>
                <w:top w:val="none" w:sz="0" w:space="0" w:color="auto"/>
                <w:left w:val="none" w:sz="0" w:space="0" w:color="auto"/>
                <w:bottom w:val="none" w:sz="0" w:space="0" w:color="auto"/>
                <w:right w:val="none" w:sz="0" w:space="0" w:color="auto"/>
              </w:divBdr>
            </w:div>
            <w:div w:id="1704135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082034">
      <w:bodyDiv w:val="1"/>
      <w:marLeft w:val="0"/>
      <w:marRight w:val="0"/>
      <w:marTop w:val="0"/>
      <w:marBottom w:val="0"/>
      <w:divBdr>
        <w:top w:val="none" w:sz="0" w:space="0" w:color="auto"/>
        <w:left w:val="none" w:sz="0" w:space="0" w:color="auto"/>
        <w:bottom w:val="none" w:sz="0" w:space="0" w:color="auto"/>
        <w:right w:val="none" w:sz="0" w:space="0" w:color="auto"/>
      </w:divBdr>
      <w:divsChild>
        <w:div w:id="1976449247">
          <w:marLeft w:val="0"/>
          <w:marRight w:val="0"/>
          <w:marTop w:val="0"/>
          <w:marBottom w:val="0"/>
          <w:divBdr>
            <w:top w:val="none" w:sz="0" w:space="0" w:color="auto"/>
            <w:left w:val="none" w:sz="0" w:space="0" w:color="auto"/>
            <w:bottom w:val="none" w:sz="0" w:space="0" w:color="auto"/>
            <w:right w:val="none" w:sz="0" w:space="0" w:color="auto"/>
          </w:divBdr>
          <w:divsChild>
            <w:div w:id="407196427">
              <w:marLeft w:val="0"/>
              <w:marRight w:val="0"/>
              <w:marTop w:val="0"/>
              <w:marBottom w:val="0"/>
              <w:divBdr>
                <w:top w:val="none" w:sz="0" w:space="0" w:color="auto"/>
                <w:left w:val="none" w:sz="0" w:space="0" w:color="auto"/>
                <w:bottom w:val="none" w:sz="0" w:space="0" w:color="auto"/>
                <w:right w:val="none" w:sz="0" w:space="0" w:color="auto"/>
              </w:divBdr>
            </w:div>
          </w:divsChild>
        </w:div>
        <w:div w:id="1812673050">
          <w:marLeft w:val="0"/>
          <w:marRight w:val="0"/>
          <w:marTop w:val="0"/>
          <w:marBottom w:val="0"/>
          <w:divBdr>
            <w:top w:val="none" w:sz="0" w:space="0" w:color="auto"/>
            <w:left w:val="none" w:sz="0" w:space="0" w:color="auto"/>
            <w:bottom w:val="none" w:sz="0" w:space="0" w:color="auto"/>
            <w:right w:val="none" w:sz="0" w:space="0" w:color="auto"/>
          </w:divBdr>
          <w:divsChild>
            <w:div w:id="1493525627">
              <w:marLeft w:val="0"/>
              <w:marRight w:val="0"/>
              <w:marTop w:val="0"/>
              <w:marBottom w:val="0"/>
              <w:divBdr>
                <w:top w:val="none" w:sz="0" w:space="0" w:color="auto"/>
                <w:left w:val="none" w:sz="0" w:space="0" w:color="auto"/>
                <w:bottom w:val="none" w:sz="0" w:space="0" w:color="auto"/>
                <w:right w:val="none" w:sz="0" w:space="0" w:color="auto"/>
              </w:divBdr>
            </w:div>
            <w:div w:id="148747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067367">
      <w:bodyDiv w:val="1"/>
      <w:marLeft w:val="0"/>
      <w:marRight w:val="0"/>
      <w:marTop w:val="0"/>
      <w:marBottom w:val="0"/>
      <w:divBdr>
        <w:top w:val="none" w:sz="0" w:space="0" w:color="auto"/>
        <w:left w:val="none" w:sz="0" w:space="0" w:color="auto"/>
        <w:bottom w:val="none" w:sz="0" w:space="0" w:color="auto"/>
        <w:right w:val="none" w:sz="0" w:space="0" w:color="auto"/>
      </w:divBdr>
      <w:divsChild>
        <w:div w:id="1541896163">
          <w:marLeft w:val="0"/>
          <w:marRight w:val="0"/>
          <w:marTop w:val="0"/>
          <w:marBottom w:val="0"/>
          <w:divBdr>
            <w:top w:val="none" w:sz="0" w:space="0" w:color="auto"/>
            <w:left w:val="none" w:sz="0" w:space="0" w:color="auto"/>
            <w:bottom w:val="none" w:sz="0" w:space="0" w:color="auto"/>
            <w:right w:val="none" w:sz="0" w:space="0" w:color="auto"/>
          </w:divBdr>
          <w:divsChild>
            <w:div w:id="1549414516">
              <w:marLeft w:val="0"/>
              <w:marRight w:val="0"/>
              <w:marTop w:val="0"/>
              <w:marBottom w:val="0"/>
              <w:divBdr>
                <w:top w:val="none" w:sz="0" w:space="0" w:color="auto"/>
                <w:left w:val="none" w:sz="0" w:space="0" w:color="auto"/>
                <w:bottom w:val="none" w:sz="0" w:space="0" w:color="auto"/>
                <w:right w:val="none" w:sz="0" w:space="0" w:color="auto"/>
              </w:divBdr>
            </w:div>
          </w:divsChild>
        </w:div>
        <w:div w:id="76559882">
          <w:marLeft w:val="0"/>
          <w:marRight w:val="0"/>
          <w:marTop w:val="0"/>
          <w:marBottom w:val="0"/>
          <w:divBdr>
            <w:top w:val="none" w:sz="0" w:space="0" w:color="auto"/>
            <w:left w:val="none" w:sz="0" w:space="0" w:color="auto"/>
            <w:bottom w:val="none" w:sz="0" w:space="0" w:color="auto"/>
            <w:right w:val="none" w:sz="0" w:space="0" w:color="auto"/>
          </w:divBdr>
          <w:divsChild>
            <w:div w:id="1976907364">
              <w:marLeft w:val="0"/>
              <w:marRight w:val="0"/>
              <w:marTop w:val="0"/>
              <w:marBottom w:val="0"/>
              <w:divBdr>
                <w:top w:val="none" w:sz="0" w:space="0" w:color="auto"/>
                <w:left w:val="none" w:sz="0" w:space="0" w:color="auto"/>
                <w:bottom w:val="none" w:sz="0" w:space="0" w:color="auto"/>
                <w:right w:val="none" w:sz="0" w:space="0" w:color="auto"/>
              </w:divBdr>
            </w:div>
            <w:div w:id="1868254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455937">
      <w:bodyDiv w:val="1"/>
      <w:marLeft w:val="0"/>
      <w:marRight w:val="0"/>
      <w:marTop w:val="0"/>
      <w:marBottom w:val="0"/>
      <w:divBdr>
        <w:top w:val="none" w:sz="0" w:space="0" w:color="auto"/>
        <w:left w:val="none" w:sz="0" w:space="0" w:color="auto"/>
        <w:bottom w:val="none" w:sz="0" w:space="0" w:color="auto"/>
        <w:right w:val="none" w:sz="0" w:space="0" w:color="auto"/>
      </w:divBdr>
    </w:div>
    <w:div w:id="901410214">
      <w:bodyDiv w:val="1"/>
      <w:marLeft w:val="0"/>
      <w:marRight w:val="0"/>
      <w:marTop w:val="0"/>
      <w:marBottom w:val="0"/>
      <w:divBdr>
        <w:top w:val="none" w:sz="0" w:space="0" w:color="auto"/>
        <w:left w:val="none" w:sz="0" w:space="0" w:color="auto"/>
        <w:bottom w:val="none" w:sz="0" w:space="0" w:color="auto"/>
        <w:right w:val="none" w:sz="0" w:space="0" w:color="auto"/>
      </w:divBdr>
      <w:divsChild>
        <w:div w:id="353847194">
          <w:marLeft w:val="0"/>
          <w:marRight w:val="0"/>
          <w:marTop w:val="0"/>
          <w:marBottom w:val="0"/>
          <w:divBdr>
            <w:top w:val="none" w:sz="0" w:space="0" w:color="auto"/>
            <w:left w:val="none" w:sz="0" w:space="0" w:color="auto"/>
            <w:bottom w:val="none" w:sz="0" w:space="0" w:color="auto"/>
            <w:right w:val="none" w:sz="0" w:space="0" w:color="auto"/>
          </w:divBdr>
          <w:divsChild>
            <w:div w:id="1938711940">
              <w:marLeft w:val="0"/>
              <w:marRight w:val="0"/>
              <w:marTop w:val="0"/>
              <w:marBottom w:val="0"/>
              <w:divBdr>
                <w:top w:val="none" w:sz="0" w:space="0" w:color="auto"/>
                <w:left w:val="none" w:sz="0" w:space="0" w:color="auto"/>
                <w:bottom w:val="none" w:sz="0" w:space="0" w:color="auto"/>
                <w:right w:val="none" w:sz="0" w:space="0" w:color="auto"/>
              </w:divBdr>
            </w:div>
          </w:divsChild>
        </w:div>
        <w:div w:id="1457869361">
          <w:marLeft w:val="0"/>
          <w:marRight w:val="0"/>
          <w:marTop w:val="0"/>
          <w:marBottom w:val="0"/>
          <w:divBdr>
            <w:top w:val="none" w:sz="0" w:space="0" w:color="auto"/>
            <w:left w:val="none" w:sz="0" w:space="0" w:color="auto"/>
            <w:bottom w:val="none" w:sz="0" w:space="0" w:color="auto"/>
            <w:right w:val="none" w:sz="0" w:space="0" w:color="auto"/>
          </w:divBdr>
          <w:divsChild>
            <w:div w:id="1823155191">
              <w:marLeft w:val="0"/>
              <w:marRight w:val="0"/>
              <w:marTop w:val="0"/>
              <w:marBottom w:val="0"/>
              <w:divBdr>
                <w:top w:val="none" w:sz="0" w:space="0" w:color="auto"/>
                <w:left w:val="none" w:sz="0" w:space="0" w:color="auto"/>
                <w:bottom w:val="none" w:sz="0" w:space="0" w:color="auto"/>
                <w:right w:val="none" w:sz="0" w:space="0" w:color="auto"/>
              </w:divBdr>
            </w:div>
            <w:div w:id="126363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835147">
      <w:bodyDiv w:val="1"/>
      <w:marLeft w:val="0"/>
      <w:marRight w:val="0"/>
      <w:marTop w:val="0"/>
      <w:marBottom w:val="0"/>
      <w:divBdr>
        <w:top w:val="none" w:sz="0" w:space="0" w:color="auto"/>
        <w:left w:val="none" w:sz="0" w:space="0" w:color="auto"/>
        <w:bottom w:val="none" w:sz="0" w:space="0" w:color="auto"/>
        <w:right w:val="none" w:sz="0" w:space="0" w:color="auto"/>
      </w:divBdr>
      <w:divsChild>
        <w:div w:id="776947136">
          <w:marLeft w:val="0"/>
          <w:marRight w:val="0"/>
          <w:marTop w:val="0"/>
          <w:marBottom w:val="0"/>
          <w:divBdr>
            <w:top w:val="none" w:sz="0" w:space="0" w:color="auto"/>
            <w:left w:val="none" w:sz="0" w:space="0" w:color="auto"/>
            <w:bottom w:val="none" w:sz="0" w:space="0" w:color="auto"/>
            <w:right w:val="none" w:sz="0" w:space="0" w:color="auto"/>
          </w:divBdr>
          <w:divsChild>
            <w:div w:id="172838381">
              <w:marLeft w:val="0"/>
              <w:marRight w:val="0"/>
              <w:marTop w:val="0"/>
              <w:marBottom w:val="0"/>
              <w:divBdr>
                <w:top w:val="none" w:sz="0" w:space="0" w:color="auto"/>
                <w:left w:val="none" w:sz="0" w:space="0" w:color="auto"/>
                <w:bottom w:val="none" w:sz="0" w:space="0" w:color="auto"/>
                <w:right w:val="none" w:sz="0" w:space="0" w:color="auto"/>
              </w:divBdr>
            </w:div>
          </w:divsChild>
        </w:div>
        <w:div w:id="909536652">
          <w:marLeft w:val="0"/>
          <w:marRight w:val="0"/>
          <w:marTop w:val="0"/>
          <w:marBottom w:val="0"/>
          <w:divBdr>
            <w:top w:val="none" w:sz="0" w:space="0" w:color="auto"/>
            <w:left w:val="none" w:sz="0" w:space="0" w:color="auto"/>
            <w:bottom w:val="none" w:sz="0" w:space="0" w:color="auto"/>
            <w:right w:val="none" w:sz="0" w:space="0" w:color="auto"/>
          </w:divBdr>
          <w:divsChild>
            <w:div w:id="2113041647">
              <w:marLeft w:val="0"/>
              <w:marRight w:val="0"/>
              <w:marTop w:val="0"/>
              <w:marBottom w:val="0"/>
              <w:divBdr>
                <w:top w:val="none" w:sz="0" w:space="0" w:color="auto"/>
                <w:left w:val="none" w:sz="0" w:space="0" w:color="auto"/>
                <w:bottom w:val="none" w:sz="0" w:space="0" w:color="auto"/>
                <w:right w:val="none" w:sz="0" w:space="0" w:color="auto"/>
              </w:divBdr>
            </w:div>
            <w:div w:id="1338003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962162">
      <w:bodyDiv w:val="1"/>
      <w:marLeft w:val="0"/>
      <w:marRight w:val="0"/>
      <w:marTop w:val="0"/>
      <w:marBottom w:val="0"/>
      <w:divBdr>
        <w:top w:val="none" w:sz="0" w:space="0" w:color="auto"/>
        <w:left w:val="none" w:sz="0" w:space="0" w:color="auto"/>
        <w:bottom w:val="none" w:sz="0" w:space="0" w:color="auto"/>
        <w:right w:val="none" w:sz="0" w:space="0" w:color="auto"/>
      </w:divBdr>
      <w:divsChild>
        <w:div w:id="1365398172">
          <w:marLeft w:val="0"/>
          <w:marRight w:val="0"/>
          <w:marTop w:val="0"/>
          <w:marBottom w:val="0"/>
          <w:divBdr>
            <w:top w:val="none" w:sz="0" w:space="0" w:color="auto"/>
            <w:left w:val="none" w:sz="0" w:space="0" w:color="auto"/>
            <w:bottom w:val="none" w:sz="0" w:space="0" w:color="auto"/>
            <w:right w:val="none" w:sz="0" w:space="0" w:color="auto"/>
          </w:divBdr>
          <w:divsChild>
            <w:div w:id="1236553902">
              <w:marLeft w:val="0"/>
              <w:marRight w:val="0"/>
              <w:marTop w:val="0"/>
              <w:marBottom w:val="0"/>
              <w:divBdr>
                <w:top w:val="none" w:sz="0" w:space="0" w:color="auto"/>
                <w:left w:val="none" w:sz="0" w:space="0" w:color="auto"/>
                <w:bottom w:val="none" w:sz="0" w:space="0" w:color="auto"/>
                <w:right w:val="none" w:sz="0" w:space="0" w:color="auto"/>
              </w:divBdr>
            </w:div>
          </w:divsChild>
        </w:div>
        <w:div w:id="1432893449">
          <w:marLeft w:val="0"/>
          <w:marRight w:val="0"/>
          <w:marTop w:val="0"/>
          <w:marBottom w:val="0"/>
          <w:divBdr>
            <w:top w:val="none" w:sz="0" w:space="0" w:color="auto"/>
            <w:left w:val="none" w:sz="0" w:space="0" w:color="auto"/>
            <w:bottom w:val="none" w:sz="0" w:space="0" w:color="auto"/>
            <w:right w:val="none" w:sz="0" w:space="0" w:color="auto"/>
          </w:divBdr>
          <w:divsChild>
            <w:div w:id="1509447637">
              <w:marLeft w:val="0"/>
              <w:marRight w:val="0"/>
              <w:marTop w:val="0"/>
              <w:marBottom w:val="0"/>
              <w:divBdr>
                <w:top w:val="none" w:sz="0" w:space="0" w:color="auto"/>
                <w:left w:val="none" w:sz="0" w:space="0" w:color="auto"/>
                <w:bottom w:val="none" w:sz="0" w:space="0" w:color="auto"/>
                <w:right w:val="none" w:sz="0" w:space="0" w:color="auto"/>
              </w:divBdr>
            </w:div>
            <w:div w:id="143932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3970">
      <w:bodyDiv w:val="1"/>
      <w:marLeft w:val="0"/>
      <w:marRight w:val="0"/>
      <w:marTop w:val="0"/>
      <w:marBottom w:val="0"/>
      <w:divBdr>
        <w:top w:val="none" w:sz="0" w:space="0" w:color="auto"/>
        <w:left w:val="none" w:sz="0" w:space="0" w:color="auto"/>
        <w:bottom w:val="none" w:sz="0" w:space="0" w:color="auto"/>
        <w:right w:val="none" w:sz="0" w:space="0" w:color="auto"/>
      </w:divBdr>
      <w:divsChild>
        <w:div w:id="578322342">
          <w:marLeft w:val="0"/>
          <w:marRight w:val="0"/>
          <w:marTop w:val="0"/>
          <w:marBottom w:val="0"/>
          <w:divBdr>
            <w:top w:val="none" w:sz="0" w:space="0" w:color="auto"/>
            <w:left w:val="none" w:sz="0" w:space="0" w:color="auto"/>
            <w:bottom w:val="none" w:sz="0" w:space="0" w:color="auto"/>
            <w:right w:val="none" w:sz="0" w:space="0" w:color="auto"/>
          </w:divBdr>
          <w:divsChild>
            <w:div w:id="1063720305">
              <w:marLeft w:val="0"/>
              <w:marRight w:val="0"/>
              <w:marTop w:val="0"/>
              <w:marBottom w:val="0"/>
              <w:divBdr>
                <w:top w:val="none" w:sz="0" w:space="0" w:color="auto"/>
                <w:left w:val="none" w:sz="0" w:space="0" w:color="auto"/>
                <w:bottom w:val="none" w:sz="0" w:space="0" w:color="auto"/>
                <w:right w:val="none" w:sz="0" w:space="0" w:color="auto"/>
              </w:divBdr>
            </w:div>
          </w:divsChild>
        </w:div>
        <w:div w:id="21830536">
          <w:marLeft w:val="0"/>
          <w:marRight w:val="0"/>
          <w:marTop w:val="0"/>
          <w:marBottom w:val="0"/>
          <w:divBdr>
            <w:top w:val="none" w:sz="0" w:space="0" w:color="auto"/>
            <w:left w:val="none" w:sz="0" w:space="0" w:color="auto"/>
            <w:bottom w:val="none" w:sz="0" w:space="0" w:color="auto"/>
            <w:right w:val="none" w:sz="0" w:space="0" w:color="auto"/>
          </w:divBdr>
          <w:divsChild>
            <w:div w:id="839076007">
              <w:marLeft w:val="0"/>
              <w:marRight w:val="0"/>
              <w:marTop w:val="0"/>
              <w:marBottom w:val="0"/>
              <w:divBdr>
                <w:top w:val="none" w:sz="0" w:space="0" w:color="auto"/>
                <w:left w:val="none" w:sz="0" w:space="0" w:color="auto"/>
                <w:bottom w:val="none" w:sz="0" w:space="0" w:color="auto"/>
                <w:right w:val="none" w:sz="0" w:space="0" w:color="auto"/>
              </w:divBdr>
            </w:div>
            <w:div w:id="158205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298441">
      <w:bodyDiv w:val="1"/>
      <w:marLeft w:val="0"/>
      <w:marRight w:val="0"/>
      <w:marTop w:val="0"/>
      <w:marBottom w:val="0"/>
      <w:divBdr>
        <w:top w:val="none" w:sz="0" w:space="0" w:color="auto"/>
        <w:left w:val="none" w:sz="0" w:space="0" w:color="auto"/>
        <w:bottom w:val="none" w:sz="0" w:space="0" w:color="auto"/>
        <w:right w:val="none" w:sz="0" w:space="0" w:color="auto"/>
      </w:divBdr>
      <w:divsChild>
        <w:div w:id="2137334247">
          <w:marLeft w:val="0"/>
          <w:marRight w:val="0"/>
          <w:marTop w:val="0"/>
          <w:marBottom w:val="0"/>
          <w:divBdr>
            <w:top w:val="none" w:sz="0" w:space="0" w:color="auto"/>
            <w:left w:val="none" w:sz="0" w:space="0" w:color="auto"/>
            <w:bottom w:val="none" w:sz="0" w:space="0" w:color="auto"/>
            <w:right w:val="none" w:sz="0" w:space="0" w:color="auto"/>
          </w:divBdr>
          <w:divsChild>
            <w:div w:id="375087774">
              <w:marLeft w:val="0"/>
              <w:marRight w:val="0"/>
              <w:marTop w:val="0"/>
              <w:marBottom w:val="0"/>
              <w:divBdr>
                <w:top w:val="none" w:sz="0" w:space="0" w:color="auto"/>
                <w:left w:val="none" w:sz="0" w:space="0" w:color="auto"/>
                <w:bottom w:val="none" w:sz="0" w:space="0" w:color="auto"/>
                <w:right w:val="none" w:sz="0" w:space="0" w:color="auto"/>
              </w:divBdr>
            </w:div>
          </w:divsChild>
        </w:div>
        <w:div w:id="1120225734">
          <w:marLeft w:val="0"/>
          <w:marRight w:val="0"/>
          <w:marTop w:val="0"/>
          <w:marBottom w:val="0"/>
          <w:divBdr>
            <w:top w:val="none" w:sz="0" w:space="0" w:color="auto"/>
            <w:left w:val="none" w:sz="0" w:space="0" w:color="auto"/>
            <w:bottom w:val="none" w:sz="0" w:space="0" w:color="auto"/>
            <w:right w:val="none" w:sz="0" w:space="0" w:color="auto"/>
          </w:divBdr>
          <w:divsChild>
            <w:div w:id="861043546">
              <w:marLeft w:val="0"/>
              <w:marRight w:val="0"/>
              <w:marTop w:val="0"/>
              <w:marBottom w:val="0"/>
              <w:divBdr>
                <w:top w:val="none" w:sz="0" w:space="0" w:color="auto"/>
                <w:left w:val="none" w:sz="0" w:space="0" w:color="auto"/>
                <w:bottom w:val="none" w:sz="0" w:space="0" w:color="auto"/>
                <w:right w:val="none" w:sz="0" w:space="0" w:color="auto"/>
              </w:divBdr>
            </w:div>
            <w:div w:id="113333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661445">
      <w:bodyDiv w:val="1"/>
      <w:marLeft w:val="0"/>
      <w:marRight w:val="0"/>
      <w:marTop w:val="0"/>
      <w:marBottom w:val="0"/>
      <w:divBdr>
        <w:top w:val="none" w:sz="0" w:space="0" w:color="auto"/>
        <w:left w:val="none" w:sz="0" w:space="0" w:color="auto"/>
        <w:bottom w:val="none" w:sz="0" w:space="0" w:color="auto"/>
        <w:right w:val="none" w:sz="0" w:space="0" w:color="auto"/>
      </w:divBdr>
      <w:divsChild>
        <w:div w:id="1935090484">
          <w:marLeft w:val="0"/>
          <w:marRight w:val="0"/>
          <w:marTop w:val="0"/>
          <w:marBottom w:val="0"/>
          <w:divBdr>
            <w:top w:val="none" w:sz="0" w:space="0" w:color="auto"/>
            <w:left w:val="none" w:sz="0" w:space="0" w:color="auto"/>
            <w:bottom w:val="none" w:sz="0" w:space="0" w:color="auto"/>
            <w:right w:val="none" w:sz="0" w:space="0" w:color="auto"/>
          </w:divBdr>
          <w:divsChild>
            <w:div w:id="1829132874">
              <w:marLeft w:val="0"/>
              <w:marRight w:val="0"/>
              <w:marTop w:val="0"/>
              <w:marBottom w:val="0"/>
              <w:divBdr>
                <w:top w:val="none" w:sz="0" w:space="0" w:color="auto"/>
                <w:left w:val="none" w:sz="0" w:space="0" w:color="auto"/>
                <w:bottom w:val="none" w:sz="0" w:space="0" w:color="auto"/>
                <w:right w:val="none" w:sz="0" w:space="0" w:color="auto"/>
              </w:divBdr>
            </w:div>
          </w:divsChild>
        </w:div>
        <w:div w:id="1356464493">
          <w:marLeft w:val="0"/>
          <w:marRight w:val="0"/>
          <w:marTop w:val="0"/>
          <w:marBottom w:val="0"/>
          <w:divBdr>
            <w:top w:val="none" w:sz="0" w:space="0" w:color="auto"/>
            <w:left w:val="none" w:sz="0" w:space="0" w:color="auto"/>
            <w:bottom w:val="none" w:sz="0" w:space="0" w:color="auto"/>
            <w:right w:val="none" w:sz="0" w:space="0" w:color="auto"/>
          </w:divBdr>
          <w:divsChild>
            <w:div w:id="349263216">
              <w:marLeft w:val="0"/>
              <w:marRight w:val="0"/>
              <w:marTop w:val="0"/>
              <w:marBottom w:val="0"/>
              <w:divBdr>
                <w:top w:val="none" w:sz="0" w:space="0" w:color="auto"/>
                <w:left w:val="none" w:sz="0" w:space="0" w:color="auto"/>
                <w:bottom w:val="none" w:sz="0" w:space="0" w:color="auto"/>
                <w:right w:val="none" w:sz="0" w:space="0" w:color="auto"/>
              </w:divBdr>
            </w:div>
            <w:div w:id="150243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514316">
      <w:bodyDiv w:val="1"/>
      <w:marLeft w:val="0"/>
      <w:marRight w:val="0"/>
      <w:marTop w:val="0"/>
      <w:marBottom w:val="0"/>
      <w:divBdr>
        <w:top w:val="none" w:sz="0" w:space="0" w:color="auto"/>
        <w:left w:val="none" w:sz="0" w:space="0" w:color="auto"/>
        <w:bottom w:val="none" w:sz="0" w:space="0" w:color="auto"/>
        <w:right w:val="none" w:sz="0" w:space="0" w:color="auto"/>
      </w:divBdr>
      <w:divsChild>
        <w:div w:id="1491142007">
          <w:marLeft w:val="0"/>
          <w:marRight w:val="0"/>
          <w:marTop w:val="0"/>
          <w:marBottom w:val="0"/>
          <w:divBdr>
            <w:top w:val="none" w:sz="0" w:space="0" w:color="auto"/>
            <w:left w:val="none" w:sz="0" w:space="0" w:color="auto"/>
            <w:bottom w:val="none" w:sz="0" w:space="0" w:color="auto"/>
            <w:right w:val="none" w:sz="0" w:space="0" w:color="auto"/>
          </w:divBdr>
          <w:divsChild>
            <w:div w:id="2090272130">
              <w:marLeft w:val="0"/>
              <w:marRight w:val="0"/>
              <w:marTop w:val="0"/>
              <w:marBottom w:val="0"/>
              <w:divBdr>
                <w:top w:val="none" w:sz="0" w:space="0" w:color="auto"/>
                <w:left w:val="none" w:sz="0" w:space="0" w:color="auto"/>
                <w:bottom w:val="none" w:sz="0" w:space="0" w:color="auto"/>
                <w:right w:val="none" w:sz="0" w:space="0" w:color="auto"/>
              </w:divBdr>
            </w:div>
          </w:divsChild>
        </w:div>
        <w:div w:id="230426156">
          <w:marLeft w:val="0"/>
          <w:marRight w:val="0"/>
          <w:marTop w:val="0"/>
          <w:marBottom w:val="0"/>
          <w:divBdr>
            <w:top w:val="none" w:sz="0" w:space="0" w:color="auto"/>
            <w:left w:val="none" w:sz="0" w:space="0" w:color="auto"/>
            <w:bottom w:val="none" w:sz="0" w:space="0" w:color="auto"/>
            <w:right w:val="none" w:sz="0" w:space="0" w:color="auto"/>
          </w:divBdr>
          <w:divsChild>
            <w:div w:id="928973522">
              <w:marLeft w:val="0"/>
              <w:marRight w:val="0"/>
              <w:marTop w:val="0"/>
              <w:marBottom w:val="0"/>
              <w:divBdr>
                <w:top w:val="none" w:sz="0" w:space="0" w:color="auto"/>
                <w:left w:val="none" w:sz="0" w:space="0" w:color="auto"/>
                <w:bottom w:val="none" w:sz="0" w:space="0" w:color="auto"/>
                <w:right w:val="none" w:sz="0" w:space="0" w:color="auto"/>
              </w:divBdr>
            </w:div>
            <w:div w:id="192233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034354">
      <w:bodyDiv w:val="1"/>
      <w:marLeft w:val="0"/>
      <w:marRight w:val="0"/>
      <w:marTop w:val="0"/>
      <w:marBottom w:val="0"/>
      <w:divBdr>
        <w:top w:val="none" w:sz="0" w:space="0" w:color="auto"/>
        <w:left w:val="none" w:sz="0" w:space="0" w:color="auto"/>
        <w:bottom w:val="none" w:sz="0" w:space="0" w:color="auto"/>
        <w:right w:val="none" w:sz="0" w:space="0" w:color="auto"/>
      </w:divBdr>
      <w:divsChild>
        <w:div w:id="896550128">
          <w:marLeft w:val="0"/>
          <w:marRight w:val="0"/>
          <w:marTop w:val="0"/>
          <w:marBottom w:val="0"/>
          <w:divBdr>
            <w:top w:val="none" w:sz="0" w:space="0" w:color="auto"/>
            <w:left w:val="none" w:sz="0" w:space="0" w:color="auto"/>
            <w:bottom w:val="none" w:sz="0" w:space="0" w:color="auto"/>
            <w:right w:val="none" w:sz="0" w:space="0" w:color="auto"/>
          </w:divBdr>
          <w:divsChild>
            <w:div w:id="790171203">
              <w:marLeft w:val="0"/>
              <w:marRight w:val="0"/>
              <w:marTop w:val="0"/>
              <w:marBottom w:val="0"/>
              <w:divBdr>
                <w:top w:val="none" w:sz="0" w:space="0" w:color="auto"/>
                <w:left w:val="none" w:sz="0" w:space="0" w:color="auto"/>
                <w:bottom w:val="none" w:sz="0" w:space="0" w:color="auto"/>
                <w:right w:val="none" w:sz="0" w:space="0" w:color="auto"/>
              </w:divBdr>
            </w:div>
          </w:divsChild>
        </w:div>
        <w:div w:id="147526989">
          <w:marLeft w:val="0"/>
          <w:marRight w:val="0"/>
          <w:marTop w:val="0"/>
          <w:marBottom w:val="0"/>
          <w:divBdr>
            <w:top w:val="none" w:sz="0" w:space="0" w:color="auto"/>
            <w:left w:val="none" w:sz="0" w:space="0" w:color="auto"/>
            <w:bottom w:val="none" w:sz="0" w:space="0" w:color="auto"/>
            <w:right w:val="none" w:sz="0" w:space="0" w:color="auto"/>
          </w:divBdr>
          <w:divsChild>
            <w:div w:id="1069621216">
              <w:marLeft w:val="0"/>
              <w:marRight w:val="0"/>
              <w:marTop w:val="0"/>
              <w:marBottom w:val="0"/>
              <w:divBdr>
                <w:top w:val="none" w:sz="0" w:space="0" w:color="auto"/>
                <w:left w:val="none" w:sz="0" w:space="0" w:color="auto"/>
                <w:bottom w:val="none" w:sz="0" w:space="0" w:color="auto"/>
                <w:right w:val="none" w:sz="0" w:space="0" w:color="auto"/>
              </w:divBdr>
            </w:div>
            <w:div w:id="1423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574799">
      <w:bodyDiv w:val="1"/>
      <w:marLeft w:val="0"/>
      <w:marRight w:val="0"/>
      <w:marTop w:val="0"/>
      <w:marBottom w:val="0"/>
      <w:divBdr>
        <w:top w:val="none" w:sz="0" w:space="0" w:color="auto"/>
        <w:left w:val="none" w:sz="0" w:space="0" w:color="auto"/>
        <w:bottom w:val="none" w:sz="0" w:space="0" w:color="auto"/>
        <w:right w:val="none" w:sz="0" w:space="0" w:color="auto"/>
      </w:divBdr>
      <w:divsChild>
        <w:div w:id="1685470992">
          <w:marLeft w:val="0"/>
          <w:marRight w:val="0"/>
          <w:marTop w:val="0"/>
          <w:marBottom w:val="0"/>
          <w:divBdr>
            <w:top w:val="none" w:sz="0" w:space="0" w:color="auto"/>
            <w:left w:val="none" w:sz="0" w:space="0" w:color="auto"/>
            <w:bottom w:val="none" w:sz="0" w:space="0" w:color="auto"/>
            <w:right w:val="none" w:sz="0" w:space="0" w:color="auto"/>
          </w:divBdr>
          <w:divsChild>
            <w:div w:id="1920288402">
              <w:marLeft w:val="0"/>
              <w:marRight w:val="0"/>
              <w:marTop w:val="0"/>
              <w:marBottom w:val="0"/>
              <w:divBdr>
                <w:top w:val="none" w:sz="0" w:space="0" w:color="auto"/>
                <w:left w:val="none" w:sz="0" w:space="0" w:color="auto"/>
                <w:bottom w:val="none" w:sz="0" w:space="0" w:color="auto"/>
                <w:right w:val="none" w:sz="0" w:space="0" w:color="auto"/>
              </w:divBdr>
            </w:div>
          </w:divsChild>
        </w:div>
        <w:div w:id="965961937">
          <w:marLeft w:val="0"/>
          <w:marRight w:val="0"/>
          <w:marTop w:val="0"/>
          <w:marBottom w:val="0"/>
          <w:divBdr>
            <w:top w:val="none" w:sz="0" w:space="0" w:color="auto"/>
            <w:left w:val="none" w:sz="0" w:space="0" w:color="auto"/>
            <w:bottom w:val="none" w:sz="0" w:space="0" w:color="auto"/>
            <w:right w:val="none" w:sz="0" w:space="0" w:color="auto"/>
          </w:divBdr>
          <w:divsChild>
            <w:div w:id="1534417579">
              <w:marLeft w:val="0"/>
              <w:marRight w:val="0"/>
              <w:marTop w:val="0"/>
              <w:marBottom w:val="0"/>
              <w:divBdr>
                <w:top w:val="none" w:sz="0" w:space="0" w:color="auto"/>
                <w:left w:val="none" w:sz="0" w:space="0" w:color="auto"/>
                <w:bottom w:val="none" w:sz="0" w:space="0" w:color="auto"/>
                <w:right w:val="none" w:sz="0" w:space="0" w:color="auto"/>
              </w:divBdr>
            </w:div>
            <w:div w:id="945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537239">
      <w:bodyDiv w:val="1"/>
      <w:marLeft w:val="0"/>
      <w:marRight w:val="0"/>
      <w:marTop w:val="0"/>
      <w:marBottom w:val="0"/>
      <w:divBdr>
        <w:top w:val="none" w:sz="0" w:space="0" w:color="auto"/>
        <w:left w:val="none" w:sz="0" w:space="0" w:color="auto"/>
        <w:bottom w:val="none" w:sz="0" w:space="0" w:color="auto"/>
        <w:right w:val="none" w:sz="0" w:space="0" w:color="auto"/>
      </w:divBdr>
      <w:divsChild>
        <w:div w:id="355808942">
          <w:marLeft w:val="0"/>
          <w:marRight w:val="0"/>
          <w:marTop w:val="0"/>
          <w:marBottom w:val="0"/>
          <w:divBdr>
            <w:top w:val="none" w:sz="0" w:space="0" w:color="auto"/>
            <w:left w:val="none" w:sz="0" w:space="0" w:color="auto"/>
            <w:bottom w:val="none" w:sz="0" w:space="0" w:color="auto"/>
            <w:right w:val="none" w:sz="0" w:space="0" w:color="auto"/>
          </w:divBdr>
          <w:divsChild>
            <w:div w:id="2030139958">
              <w:marLeft w:val="0"/>
              <w:marRight w:val="0"/>
              <w:marTop w:val="0"/>
              <w:marBottom w:val="0"/>
              <w:divBdr>
                <w:top w:val="none" w:sz="0" w:space="0" w:color="auto"/>
                <w:left w:val="none" w:sz="0" w:space="0" w:color="auto"/>
                <w:bottom w:val="none" w:sz="0" w:space="0" w:color="auto"/>
                <w:right w:val="none" w:sz="0" w:space="0" w:color="auto"/>
              </w:divBdr>
            </w:div>
          </w:divsChild>
        </w:div>
        <w:div w:id="1669364533">
          <w:marLeft w:val="0"/>
          <w:marRight w:val="0"/>
          <w:marTop w:val="0"/>
          <w:marBottom w:val="0"/>
          <w:divBdr>
            <w:top w:val="none" w:sz="0" w:space="0" w:color="auto"/>
            <w:left w:val="none" w:sz="0" w:space="0" w:color="auto"/>
            <w:bottom w:val="none" w:sz="0" w:space="0" w:color="auto"/>
            <w:right w:val="none" w:sz="0" w:space="0" w:color="auto"/>
          </w:divBdr>
          <w:divsChild>
            <w:div w:id="1007364107">
              <w:marLeft w:val="0"/>
              <w:marRight w:val="0"/>
              <w:marTop w:val="0"/>
              <w:marBottom w:val="0"/>
              <w:divBdr>
                <w:top w:val="none" w:sz="0" w:space="0" w:color="auto"/>
                <w:left w:val="none" w:sz="0" w:space="0" w:color="auto"/>
                <w:bottom w:val="none" w:sz="0" w:space="0" w:color="auto"/>
                <w:right w:val="none" w:sz="0" w:space="0" w:color="auto"/>
              </w:divBdr>
            </w:div>
            <w:div w:id="129356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868093">
      <w:bodyDiv w:val="1"/>
      <w:marLeft w:val="0"/>
      <w:marRight w:val="0"/>
      <w:marTop w:val="0"/>
      <w:marBottom w:val="0"/>
      <w:divBdr>
        <w:top w:val="none" w:sz="0" w:space="0" w:color="auto"/>
        <w:left w:val="none" w:sz="0" w:space="0" w:color="auto"/>
        <w:bottom w:val="none" w:sz="0" w:space="0" w:color="auto"/>
        <w:right w:val="none" w:sz="0" w:space="0" w:color="auto"/>
      </w:divBdr>
      <w:divsChild>
        <w:div w:id="1413503633">
          <w:marLeft w:val="0"/>
          <w:marRight w:val="0"/>
          <w:marTop w:val="0"/>
          <w:marBottom w:val="0"/>
          <w:divBdr>
            <w:top w:val="none" w:sz="0" w:space="0" w:color="auto"/>
            <w:left w:val="none" w:sz="0" w:space="0" w:color="auto"/>
            <w:bottom w:val="none" w:sz="0" w:space="0" w:color="auto"/>
            <w:right w:val="none" w:sz="0" w:space="0" w:color="auto"/>
          </w:divBdr>
          <w:divsChild>
            <w:div w:id="196359374">
              <w:marLeft w:val="0"/>
              <w:marRight w:val="0"/>
              <w:marTop w:val="0"/>
              <w:marBottom w:val="0"/>
              <w:divBdr>
                <w:top w:val="none" w:sz="0" w:space="0" w:color="auto"/>
                <w:left w:val="none" w:sz="0" w:space="0" w:color="auto"/>
                <w:bottom w:val="none" w:sz="0" w:space="0" w:color="auto"/>
                <w:right w:val="none" w:sz="0" w:space="0" w:color="auto"/>
              </w:divBdr>
            </w:div>
          </w:divsChild>
        </w:div>
        <w:div w:id="1420835099">
          <w:marLeft w:val="0"/>
          <w:marRight w:val="0"/>
          <w:marTop w:val="0"/>
          <w:marBottom w:val="0"/>
          <w:divBdr>
            <w:top w:val="none" w:sz="0" w:space="0" w:color="auto"/>
            <w:left w:val="none" w:sz="0" w:space="0" w:color="auto"/>
            <w:bottom w:val="none" w:sz="0" w:space="0" w:color="auto"/>
            <w:right w:val="none" w:sz="0" w:space="0" w:color="auto"/>
          </w:divBdr>
          <w:divsChild>
            <w:div w:id="2123720054">
              <w:marLeft w:val="0"/>
              <w:marRight w:val="0"/>
              <w:marTop w:val="0"/>
              <w:marBottom w:val="0"/>
              <w:divBdr>
                <w:top w:val="none" w:sz="0" w:space="0" w:color="auto"/>
                <w:left w:val="none" w:sz="0" w:space="0" w:color="auto"/>
                <w:bottom w:val="none" w:sz="0" w:space="0" w:color="auto"/>
                <w:right w:val="none" w:sz="0" w:space="0" w:color="auto"/>
              </w:divBdr>
            </w:div>
            <w:div w:id="190082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195760">
      <w:bodyDiv w:val="1"/>
      <w:marLeft w:val="0"/>
      <w:marRight w:val="0"/>
      <w:marTop w:val="0"/>
      <w:marBottom w:val="0"/>
      <w:divBdr>
        <w:top w:val="none" w:sz="0" w:space="0" w:color="auto"/>
        <w:left w:val="none" w:sz="0" w:space="0" w:color="auto"/>
        <w:bottom w:val="none" w:sz="0" w:space="0" w:color="auto"/>
        <w:right w:val="none" w:sz="0" w:space="0" w:color="auto"/>
      </w:divBdr>
      <w:divsChild>
        <w:div w:id="1126196078">
          <w:marLeft w:val="0"/>
          <w:marRight w:val="0"/>
          <w:marTop w:val="0"/>
          <w:marBottom w:val="0"/>
          <w:divBdr>
            <w:top w:val="none" w:sz="0" w:space="0" w:color="auto"/>
            <w:left w:val="none" w:sz="0" w:space="0" w:color="auto"/>
            <w:bottom w:val="none" w:sz="0" w:space="0" w:color="auto"/>
            <w:right w:val="none" w:sz="0" w:space="0" w:color="auto"/>
          </w:divBdr>
          <w:divsChild>
            <w:div w:id="400830145">
              <w:marLeft w:val="0"/>
              <w:marRight w:val="0"/>
              <w:marTop w:val="0"/>
              <w:marBottom w:val="0"/>
              <w:divBdr>
                <w:top w:val="none" w:sz="0" w:space="0" w:color="auto"/>
                <w:left w:val="none" w:sz="0" w:space="0" w:color="auto"/>
                <w:bottom w:val="none" w:sz="0" w:space="0" w:color="auto"/>
                <w:right w:val="none" w:sz="0" w:space="0" w:color="auto"/>
              </w:divBdr>
            </w:div>
          </w:divsChild>
        </w:div>
        <w:div w:id="269554164">
          <w:marLeft w:val="0"/>
          <w:marRight w:val="0"/>
          <w:marTop w:val="0"/>
          <w:marBottom w:val="0"/>
          <w:divBdr>
            <w:top w:val="none" w:sz="0" w:space="0" w:color="auto"/>
            <w:left w:val="none" w:sz="0" w:space="0" w:color="auto"/>
            <w:bottom w:val="none" w:sz="0" w:space="0" w:color="auto"/>
            <w:right w:val="none" w:sz="0" w:space="0" w:color="auto"/>
          </w:divBdr>
          <w:divsChild>
            <w:div w:id="586041309">
              <w:marLeft w:val="0"/>
              <w:marRight w:val="0"/>
              <w:marTop w:val="0"/>
              <w:marBottom w:val="0"/>
              <w:divBdr>
                <w:top w:val="none" w:sz="0" w:space="0" w:color="auto"/>
                <w:left w:val="none" w:sz="0" w:space="0" w:color="auto"/>
                <w:bottom w:val="none" w:sz="0" w:space="0" w:color="auto"/>
                <w:right w:val="none" w:sz="0" w:space="0" w:color="auto"/>
              </w:divBdr>
            </w:div>
            <w:div w:id="389964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316101">
      <w:bodyDiv w:val="1"/>
      <w:marLeft w:val="0"/>
      <w:marRight w:val="0"/>
      <w:marTop w:val="0"/>
      <w:marBottom w:val="0"/>
      <w:divBdr>
        <w:top w:val="none" w:sz="0" w:space="0" w:color="auto"/>
        <w:left w:val="none" w:sz="0" w:space="0" w:color="auto"/>
        <w:bottom w:val="none" w:sz="0" w:space="0" w:color="auto"/>
        <w:right w:val="none" w:sz="0" w:space="0" w:color="auto"/>
      </w:divBdr>
      <w:divsChild>
        <w:div w:id="369230211">
          <w:marLeft w:val="0"/>
          <w:marRight w:val="0"/>
          <w:marTop w:val="0"/>
          <w:marBottom w:val="0"/>
          <w:divBdr>
            <w:top w:val="none" w:sz="0" w:space="0" w:color="auto"/>
            <w:left w:val="none" w:sz="0" w:space="0" w:color="auto"/>
            <w:bottom w:val="none" w:sz="0" w:space="0" w:color="auto"/>
            <w:right w:val="none" w:sz="0" w:space="0" w:color="auto"/>
          </w:divBdr>
          <w:divsChild>
            <w:div w:id="488324101">
              <w:marLeft w:val="0"/>
              <w:marRight w:val="0"/>
              <w:marTop w:val="0"/>
              <w:marBottom w:val="0"/>
              <w:divBdr>
                <w:top w:val="none" w:sz="0" w:space="0" w:color="auto"/>
                <w:left w:val="none" w:sz="0" w:space="0" w:color="auto"/>
                <w:bottom w:val="none" w:sz="0" w:space="0" w:color="auto"/>
                <w:right w:val="none" w:sz="0" w:space="0" w:color="auto"/>
              </w:divBdr>
            </w:div>
          </w:divsChild>
        </w:div>
        <w:div w:id="101073436">
          <w:marLeft w:val="0"/>
          <w:marRight w:val="0"/>
          <w:marTop w:val="0"/>
          <w:marBottom w:val="0"/>
          <w:divBdr>
            <w:top w:val="none" w:sz="0" w:space="0" w:color="auto"/>
            <w:left w:val="none" w:sz="0" w:space="0" w:color="auto"/>
            <w:bottom w:val="none" w:sz="0" w:space="0" w:color="auto"/>
            <w:right w:val="none" w:sz="0" w:space="0" w:color="auto"/>
          </w:divBdr>
          <w:divsChild>
            <w:div w:id="2101947410">
              <w:marLeft w:val="0"/>
              <w:marRight w:val="0"/>
              <w:marTop w:val="0"/>
              <w:marBottom w:val="0"/>
              <w:divBdr>
                <w:top w:val="none" w:sz="0" w:space="0" w:color="auto"/>
                <w:left w:val="none" w:sz="0" w:space="0" w:color="auto"/>
                <w:bottom w:val="none" w:sz="0" w:space="0" w:color="auto"/>
                <w:right w:val="none" w:sz="0" w:space="0" w:color="auto"/>
              </w:divBdr>
            </w:div>
            <w:div w:id="82655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217767">
      <w:bodyDiv w:val="1"/>
      <w:marLeft w:val="0"/>
      <w:marRight w:val="0"/>
      <w:marTop w:val="0"/>
      <w:marBottom w:val="0"/>
      <w:divBdr>
        <w:top w:val="none" w:sz="0" w:space="0" w:color="auto"/>
        <w:left w:val="none" w:sz="0" w:space="0" w:color="auto"/>
        <w:bottom w:val="none" w:sz="0" w:space="0" w:color="auto"/>
        <w:right w:val="none" w:sz="0" w:space="0" w:color="auto"/>
      </w:divBdr>
      <w:divsChild>
        <w:div w:id="1742479480">
          <w:marLeft w:val="0"/>
          <w:marRight w:val="0"/>
          <w:marTop w:val="0"/>
          <w:marBottom w:val="0"/>
          <w:divBdr>
            <w:top w:val="none" w:sz="0" w:space="0" w:color="auto"/>
            <w:left w:val="none" w:sz="0" w:space="0" w:color="auto"/>
            <w:bottom w:val="none" w:sz="0" w:space="0" w:color="auto"/>
            <w:right w:val="none" w:sz="0" w:space="0" w:color="auto"/>
          </w:divBdr>
          <w:divsChild>
            <w:div w:id="1695300611">
              <w:marLeft w:val="0"/>
              <w:marRight w:val="0"/>
              <w:marTop w:val="0"/>
              <w:marBottom w:val="0"/>
              <w:divBdr>
                <w:top w:val="none" w:sz="0" w:space="0" w:color="auto"/>
                <w:left w:val="none" w:sz="0" w:space="0" w:color="auto"/>
                <w:bottom w:val="none" w:sz="0" w:space="0" w:color="auto"/>
                <w:right w:val="none" w:sz="0" w:space="0" w:color="auto"/>
              </w:divBdr>
            </w:div>
          </w:divsChild>
        </w:div>
        <w:div w:id="948465541">
          <w:marLeft w:val="0"/>
          <w:marRight w:val="0"/>
          <w:marTop w:val="0"/>
          <w:marBottom w:val="0"/>
          <w:divBdr>
            <w:top w:val="none" w:sz="0" w:space="0" w:color="auto"/>
            <w:left w:val="none" w:sz="0" w:space="0" w:color="auto"/>
            <w:bottom w:val="none" w:sz="0" w:space="0" w:color="auto"/>
            <w:right w:val="none" w:sz="0" w:space="0" w:color="auto"/>
          </w:divBdr>
          <w:divsChild>
            <w:div w:id="990980695">
              <w:marLeft w:val="0"/>
              <w:marRight w:val="0"/>
              <w:marTop w:val="0"/>
              <w:marBottom w:val="0"/>
              <w:divBdr>
                <w:top w:val="none" w:sz="0" w:space="0" w:color="auto"/>
                <w:left w:val="none" w:sz="0" w:space="0" w:color="auto"/>
                <w:bottom w:val="none" w:sz="0" w:space="0" w:color="auto"/>
                <w:right w:val="none" w:sz="0" w:space="0" w:color="auto"/>
              </w:divBdr>
            </w:div>
            <w:div w:id="54075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655453">
      <w:bodyDiv w:val="1"/>
      <w:marLeft w:val="0"/>
      <w:marRight w:val="0"/>
      <w:marTop w:val="0"/>
      <w:marBottom w:val="0"/>
      <w:divBdr>
        <w:top w:val="none" w:sz="0" w:space="0" w:color="auto"/>
        <w:left w:val="none" w:sz="0" w:space="0" w:color="auto"/>
        <w:bottom w:val="none" w:sz="0" w:space="0" w:color="auto"/>
        <w:right w:val="none" w:sz="0" w:space="0" w:color="auto"/>
      </w:divBdr>
      <w:divsChild>
        <w:div w:id="98378046">
          <w:marLeft w:val="0"/>
          <w:marRight w:val="0"/>
          <w:marTop w:val="0"/>
          <w:marBottom w:val="0"/>
          <w:divBdr>
            <w:top w:val="none" w:sz="0" w:space="0" w:color="auto"/>
            <w:left w:val="none" w:sz="0" w:space="0" w:color="auto"/>
            <w:bottom w:val="none" w:sz="0" w:space="0" w:color="auto"/>
            <w:right w:val="none" w:sz="0" w:space="0" w:color="auto"/>
          </w:divBdr>
          <w:divsChild>
            <w:div w:id="2034382281">
              <w:marLeft w:val="0"/>
              <w:marRight w:val="0"/>
              <w:marTop w:val="0"/>
              <w:marBottom w:val="0"/>
              <w:divBdr>
                <w:top w:val="none" w:sz="0" w:space="0" w:color="auto"/>
                <w:left w:val="none" w:sz="0" w:space="0" w:color="auto"/>
                <w:bottom w:val="none" w:sz="0" w:space="0" w:color="auto"/>
                <w:right w:val="none" w:sz="0" w:space="0" w:color="auto"/>
              </w:divBdr>
            </w:div>
          </w:divsChild>
        </w:div>
        <w:div w:id="1502043148">
          <w:marLeft w:val="0"/>
          <w:marRight w:val="0"/>
          <w:marTop w:val="0"/>
          <w:marBottom w:val="0"/>
          <w:divBdr>
            <w:top w:val="none" w:sz="0" w:space="0" w:color="auto"/>
            <w:left w:val="none" w:sz="0" w:space="0" w:color="auto"/>
            <w:bottom w:val="none" w:sz="0" w:space="0" w:color="auto"/>
            <w:right w:val="none" w:sz="0" w:space="0" w:color="auto"/>
          </w:divBdr>
          <w:divsChild>
            <w:div w:id="1433167972">
              <w:marLeft w:val="0"/>
              <w:marRight w:val="0"/>
              <w:marTop w:val="0"/>
              <w:marBottom w:val="0"/>
              <w:divBdr>
                <w:top w:val="none" w:sz="0" w:space="0" w:color="auto"/>
                <w:left w:val="none" w:sz="0" w:space="0" w:color="auto"/>
                <w:bottom w:val="none" w:sz="0" w:space="0" w:color="auto"/>
                <w:right w:val="none" w:sz="0" w:space="0" w:color="auto"/>
              </w:divBdr>
            </w:div>
            <w:div w:id="79032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095720">
      <w:bodyDiv w:val="1"/>
      <w:marLeft w:val="0"/>
      <w:marRight w:val="0"/>
      <w:marTop w:val="0"/>
      <w:marBottom w:val="0"/>
      <w:divBdr>
        <w:top w:val="none" w:sz="0" w:space="0" w:color="auto"/>
        <w:left w:val="none" w:sz="0" w:space="0" w:color="auto"/>
        <w:bottom w:val="none" w:sz="0" w:space="0" w:color="auto"/>
        <w:right w:val="none" w:sz="0" w:space="0" w:color="auto"/>
      </w:divBdr>
      <w:divsChild>
        <w:div w:id="83770152">
          <w:marLeft w:val="0"/>
          <w:marRight w:val="0"/>
          <w:marTop w:val="0"/>
          <w:marBottom w:val="0"/>
          <w:divBdr>
            <w:top w:val="none" w:sz="0" w:space="0" w:color="auto"/>
            <w:left w:val="none" w:sz="0" w:space="0" w:color="auto"/>
            <w:bottom w:val="none" w:sz="0" w:space="0" w:color="auto"/>
            <w:right w:val="none" w:sz="0" w:space="0" w:color="auto"/>
          </w:divBdr>
          <w:divsChild>
            <w:div w:id="1990397976">
              <w:marLeft w:val="0"/>
              <w:marRight w:val="0"/>
              <w:marTop w:val="0"/>
              <w:marBottom w:val="0"/>
              <w:divBdr>
                <w:top w:val="none" w:sz="0" w:space="0" w:color="auto"/>
                <w:left w:val="none" w:sz="0" w:space="0" w:color="auto"/>
                <w:bottom w:val="none" w:sz="0" w:space="0" w:color="auto"/>
                <w:right w:val="none" w:sz="0" w:space="0" w:color="auto"/>
              </w:divBdr>
            </w:div>
          </w:divsChild>
        </w:div>
        <w:div w:id="761949511">
          <w:marLeft w:val="0"/>
          <w:marRight w:val="0"/>
          <w:marTop w:val="0"/>
          <w:marBottom w:val="0"/>
          <w:divBdr>
            <w:top w:val="none" w:sz="0" w:space="0" w:color="auto"/>
            <w:left w:val="none" w:sz="0" w:space="0" w:color="auto"/>
            <w:bottom w:val="none" w:sz="0" w:space="0" w:color="auto"/>
            <w:right w:val="none" w:sz="0" w:space="0" w:color="auto"/>
          </w:divBdr>
          <w:divsChild>
            <w:div w:id="223875020">
              <w:marLeft w:val="0"/>
              <w:marRight w:val="0"/>
              <w:marTop w:val="0"/>
              <w:marBottom w:val="0"/>
              <w:divBdr>
                <w:top w:val="none" w:sz="0" w:space="0" w:color="auto"/>
                <w:left w:val="none" w:sz="0" w:space="0" w:color="auto"/>
                <w:bottom w:val="none" w:sz="0" w:space="0" w:color="auto"/>
                <w:right w:val="none" w:sz="0" w:space="0" w:color="auto"/>
              </w:divBdr>
            </w:div>
            <w:div w:id="54398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798871">
      <w:bodyDiv w:val="1"/>
      <w:marLeft w:val="0"/>
      <w:marRight w:val="0"/>
      <w:marTop w:val="0"/>
      <w:marBottom w:val="0"/>
      <w:divBdr>
        <w:top w:val="none" w:sz="0" w:space="0" w:color="auto"/>
        <w:left w:val="none" w:sz="0" w:space="0" w:color="auto"/>
        <w:bottom w:val="none" w:sz="0" w:space="0" w:color="auto"/>
        <w:right w:val="none" w:sz="0" w:space="0" w:color="auto"/>
      </w:divBdr>
      <w:divsChild>
        <w:div w:id="1822193594">
          <w:marLeft w:val="0"/>
          <w:marRight w:val="0"/>
          <w:marTop w:val="0"/>
          <w:marBottom w:val="0"/>
          <w:divBdr>
            <w:top w:val="none" w:sz="0" w:space="0" w:color="auto"/>
            <w:left w:val="none" w:sz="0" w:space="0" w:color="auto"/>
            <w:bottom w:val="none" w:sz="0" w:space="0" w:color="auto"/>
            <w:right w:val="none" w:sz="0" w:space="0" w:color="auto"/>
          </w:divBdr>
          <w:divsChild>
            <w:div w:id="2029990274">
              <w:marLeft w:val="0"/>
              <w:marRight w:val="0"/>
              <w:marTop w:val="0"/>
              <w:marBottom w:val="0"/>
              <w:divBdr>
                <w:top w:val="none" w:sz="0" w:space="0" w:color="auto"/>
                <w:left w:val="none" w:sz="0" w:space="0" w:color="auto"/>
                <w:bottom w:val="none" w:sz="0" w:space="0" w:color="auto"/>
                <w:right w:val="none" w:sz="0" w:space="0" w:color="auto"/>
              </w:divBdr>
            </w:div>
          </w:divsChild>
        </w:div>
        <w:div w:id="199167870">
          <w:marLeft w:val="0"/>
          <w:marRight w:val="0"/>
          <w:marTop w:val="0"/>
          <w:marBottom w:val="0"/>
          <w:divBdr>
            <w:top w:val="none" w:sz="0" w:space="0" w:color="auto"/>
            <w:left w:val="none" w:sz="0" w:space="0" w:color="auto"/>
            <w:bottom w:val="none" w:sz="0" w:space="0" w:color="auto"/>
            <w:right w:val="none" w:sz="0" w:space="0" w:color="auto"/>
          </w:divBdr>
          <w:divsChild>
            <w:div w:id="1434009462">
              <w:marLeft w:val="0"/>
              <w:marRight w:val="0"/>
              <w:marTop w:val="0"/>
              <w:marBottom w:val="0"/>
              <w:divBdr>
                <w:top w:val="none" w:sz="0" w:space="0" w:color="auto"/>
                <w:left w:val="none" w:sz="0" w:space="0" w:color="auto"/>
                <w:bottom w:val="none" w:sz="0" w:space="0" w:color="auto"/>
                <w:right w:val="none" w:sz="0" w:space="0" w:color="auto"/>
              </w:divBdr>
            </w:div>
            <w:div w:id="94577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065883">
      <w:bodyDiv w:val="1"/>
      <w:marLeft w:val="0"/>
      <w:marRight w:val="0"/>
      <w:marTop w:val="0"/>
      <w:marBottom w:val="0"/>
      <w:divBdr>
        <w:top w:val="none" w:sz="0" w:space="0" w:color="auto"/>
        <w:left w:val="none" w:sz="0" w:space="0" w:color="auto"/>
        <w:bottom w:val="none" w:sz="0" w:space="0" w:color="auto"/>
        <w:right w:val="none" w:sz="0" w:space="0" w:color="auto"/>
      </w:divBdr>
      <w:divsChild>
        <w:div w:id="1378092786">
          <w:marLeft w:val="0"/>
          <w:marRight w:val="0"/>
          <w:marTop w:val="0"/>
          <w:marBottom w:val="0"/>
          <w:divBdr>
            <w:top w:val="none" w:sz="0" w:space="0" w:color="auto"/>
            <w:left w:val="none" w:sz="0" w:space="0" w:color="auto"/>
            <w:bottom w:val="none" w:sz="0" w:space="0" w:color="auto"/>
            <w:right w:val="none" w:sz="0" w:space="0" w:color="auto"/>
          </w:divBdr>
          <w:divsChild>
            <w:div w:id="502211412">
              <w:marLeft w:val="0"/>
              <w:marRight w:val="0"/>
              <w:marTop w:val="0"/>
              <w:marBottom w:val="0"/>
              <w:divBdr>
                <w:top w:val="none" w:sz="0" w:space="0" w:color="auto"/>
                <w:left w:val="none" w:sz="0" w:space="0" w:color="auto"/>
                <w:bottom w:val="none" w:sz="0" w:space="0" w:color="auto"/>
                <w:right w:val="none" w:sz="0" w:space="0" w:color="auto"/>
              </w:divBdr>
            </w:div>
          </w:divsChild>
        </w:div>
        <w:div w:id="1260872986">
          <w:marLeft w:val="0"/>
          <w:marRight w:val="0"/>
          <w:marTop w:val="0"/>
          <w:marBottom w:val="0"/>
          <w:divBdr>
            <w:top w:val="none" w:sz="0" w:space="0" w:color="auto"/>
            <w:left w:val="none" w:sz="0" w:space="0" w:color="auto"/>
            <w:bottom w:val="none" w:sz="0" w:space="0" w:color="auto"/>
            <w:right w:val="none" w:sz="0" w:space="0" w:color="auto"/>
          </w:divBdr>
          <w:divsChild>
            <w:div w:id="179398544">
              <w:marLeft w:val="0"/>
              <w:marRight w:val="0"/>
              <w:marTop w:val="0"/>
              <w:marBottom w:val="0"/>
              <w:divBdr>
                <w:top w:val="none" w:sz="0" w:space="0" w:color="auto"/>
                <w:left w:val="none" w:sz="0" w:space="0" w:color="auto"/>
                <w:bottom w:val="none" w:sz="0" w:space="0" w:color="auto"/>
                <w:right w:val="none" w:sz="0" w:space="0" w:color="auto"/>
              </w:divBdr>
            </w:div>
            <w:div w:id="691957673">
              <w:marLeft w:val="0"/>
              <w:marRight w:val="0"/>
              <w:marTop w:val="0"/>
              <w:marBottom w:val="0"/>
              <w:divBdr>
                <w:top w:val="none" w:sz="0" w:space="0" w:color="auto"/>
                <w:left w:val="none" w:sz="0" w:space="0" w:color="auto"/>
                <w:bottom w:val="none" w:sz="0" w:space="0" w:color="auto"/>
                <w:right w:val="none" w:sz="0" w:space="0" w:color="auto"/>
              </w:divBdr>
            </w:div>
          </w:divsChild>
        </w:div>
        <w:div w:id="1864198414">
          <w:marLeft w:val="0"/>
          <w:marRight w:val="0"/>
          <w:marTop w:val="0"/>
          <w:marBottom w:val="0"/>
          <w:divBdr>
            <w:top w:val="none" w:sz="0" w:space="0" w:color="auto"/>
            <w:left w:val="none" w:sz="0" w:space="0" w:color="auto"/>
            <w:bottom w:val="none" w:sz="0" w:space="0" w:color="auto"/>
            <w:right w:val="none" w:sz="0" w:space="0" w:color="auto"/>
          </w:divBdr>
          <w:divsChild>
            <w:div w:id="1216625515">
              <w:marLeft w:val="0"/>
              <w:marRight w:val="0"/>
              <w:marTop w:val="0"/>
              <w:marBottom w:val="0"/>
              <w:divBdr>
                <w:top w:val="none" w:sz="0" w:space="0" w:color="auto"/>
                <w:left w:val="none" w:sz="0" w:space="0" w:color="auto"/>
                <w:bottom w:val="none" w:sz="0" w:space="0" w:color="auto"/>
                <w:right w:val="none" w:sz="0" w:space="0" w:color="auto"/>
              </w:divBdr>
            </w:div>
            <w:div w:id="823668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668">
      <w:bodyDiv w:val="1"/>
      <w:marLeft w:val="0"/>
      <w:marRight w:val="0"/>
      <w:marTop w:val="0"/>
      <w:marBottom w:val="0"/>
      <w:divBdr>
        <w:top w:val="none" w:sz="0" w:space="0" w:color="auto"/>
        <w:left w:val="none" w:sz="0" w:space="0" w:color="auto"/>
        <w:bottom w:val="none" w:sz="0" w:space="0" w:color="auto"/>
        <w:right w:val="none" w:sz="0" w:space="0" w:color="auto"/>
      </w:divBdr>
      <w:divsChild>
        <w:div w:id="1720475177">
          <w:marLeft w:val="0"/>
          <w:marRight w:val="0"/>
          <w:marTop w:val="0"/>
          <w:marBottom w:val="0"/>
          <w:divBdr>
            <w:top w:val="none" w:sz="0" w:space="0" w:color="auto"/>
            <w:left w:val="none" w:sz="0" w:space="0" w:color="auto"/>
            <w:bottom w:val="none" w:sz="0" w:space="0" w:color="auto"/>
            <w:right w:val="none" w:sz="0" w:space="0" w:color="auto"/>
          </w:divBdr>
          <w:divsChild>
            <w:div w:id="1882325368">
              <w:marLeft w:val="0"/>
              <w:marRight w:val="0"/>
              <w:marTop w:val="0"/>
              <w:marBottom w:val="0"/>
              <w:divBdr>
                <w:top w:val="none" w:sz="0" w:space="0" w:color="auto"/>
                <w:left w:val="none" w:sz="0" w:space="0" w:color="auto"/>
                <w:bottom w:val="none" w:sz="0" w:space="0" w:color="auto"/>
                <w:right w:val="none" w:sz="0" w:space="0" w:color="auto"/>
              </w:divBdr>
            </w:div>
          </w:divsChild>
        </w:div>
        <w:div w:id="821049027">
          <w:marLeft w:val="0"/>
          <w:marRight w:val="0"/>
          <w:marTop w:val="0"/>
          <w:marBottom w:val="0"/>
          <w:divBdr>
            <w:top w:val="none" w:sz="0" w:space="0" w:color="auto"/>
            <w:left w:val="none" w:sz="0" w:space="0" w:color="auto"/>
            <w:bottom w:val="none" w:sz="0" w:space="0" w:color="auto"/>
            <w:right w:val="none" w:sz="0" w:space="0" w:color="auto"/>
          </w:divBdr>
          <w:divsChild>
            <w:div w:id="1552304229">
              <w:marLeft w:val="0"/>
              <w:marRight w:val="0"/>
              <w:marTop w:val="0"/>
              <w:marBottom w:val="0"/>
              <w:divBdr>
                <w:top w:val="none" w:sz="0" w:space="0" w:color="auto"/>
                <w:left w:val="none" w:sz="0" w:space="0" w:color="auto"/>
                <w:bottom w:val="none" w:sz="0" w:space="0" w:color="auto"/>
                <w:right w:val="none" w:sz="0" w:space="0" w:color="auto"/>
              </w:divBdr>
            </w:div>
            <w:div w:id="57640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328519">
      <w:bodyDiv w:val="1"/>
      <w:marLeft w:val="0"/>
      <w:marRight w:val="0"/>
      <w:marTop w:val="0"/>
      <w:marBottom w:val="0"/>
      <w:divBdr>
        <w:top w:val="none" w:sz="0" w:space="0" w:color="auto"/>
        <w:left w:val="none" w:sz="0" w:space="0" w:color="auto"/>
        <w:bottom w:val="none" w:sz="0" w:space="0" w:color="auto"/>
        <w:right w:val="none" w:sz="0" w:space="0" w:color="auto"/>
      </w:divBdr>
      <w:divsChild>
        <w:div w:id="2134908176">
          <w:marLeft w:val="0"/>
          <w:marRight w:val="0"/>
          <w:marTop w:val="0"/>
          <w:marBottom w:val="0"/>
          <w:divBdr>
            <w:top w:val="none" w:sz="0" w:space="0" w:color="auto"/>
            <w:left w:val="none" w:sz="0" w:space="0" w:color="auto"/>
            <w:bottom w:val="none" w:sz="0" w:space="0" w:color="auto"/>
            <w:right w:val="none" w:sz="0" w:space="0" w:color="auto"/>
          </w:divBdr>
          <w:divsChild>
            <w:div w:id="2012095997">
              <w:marLeft w:val="0"/>
              <w:marRight w:val="0"/>
              <w:marTop w:val="0"/>
              <w:marBottom w:val="0"/>
              <w:divBdr>
                <w:top w:val="none" w:sz="0" w:space="0" w:color="auto"/>
                <w:left w:val="none" w:sz="0" w:space="0" w:color="auto"/>
                <w:bottom w:val="none" w:sz="0" w:space="0" w:color="auto"/>
                <w:right w:val="none" w:sz="0" w:space="0" w:color="auto"/>
              </w:divBdr>
            </w:div>
          </w:divsChild>
        </w:div>
        <w:div w:id="797377752">
          <w:marLeft w:val="0"/>
          <w:marRight w:val="0"/>
          <w:marTop w:val="0"/>
          <w:marBottom w:val="0"/>
          <w:divBdr>
            <w:top w:val="none" w:sz="0" w:space="0" w:color="auto"/>
            <w:left w:val="none" w:sz="0" w:space="0" w:color="auto"/>
            <w:bottom w:val="none" w:sz="0" w:space="0" w:color="auto"/>
            <w:right w:val="none" w:sz="0" w:space="0" w:color="auto"/>
          </w:divBdr>
          <w:divsChild>
            <w:div w:id="144444268">
              <w:marLeft w:val="0"/>
              <w:marRight w:val="0"/>
              <w:marTop w:val="0"/>
              <w:marBottom w:val="0"/>
              <w:divBdr>
                <w:top w:val="none" w:sz="0" w:space="0" w:color="auto"/>
                <w:left w:val="none" w:sz="0" w:space="0" w:color="auto"/>
                <w:bottom w:val="none" w:sz="0" w:space="0" w:color="auto"/>
                <w:right w:val="none" w:sz="0" w:space="0" w:color="auto"/>
              </w:divBdr>
            </w:div>
            <w:div w:id="105801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96076">
      <w:bodyDiv w:val="1"/>
      <w:marLeft w:val="0"/>
      <w:marRight w:val="0"/>
      <w:marTop w:val="0"/>
      <w:marBottom w:val="0"/>
      <w:divBdr>
        <w:top w:val="none" w:sz="0" w:space="0" w:color="auto"/>
        <w:left w:val="none" w:sz="0" w:space="0" w:color="auto"/>
        <w:bottom w:val="none" w:sz="0" w:space="0" w:color="auto"/>
        <w:right w:val="none" w:sz="0" w:space="0" w:color="auto"/>
      </w:divBdr>
      <w:divsChild>
        <w:div w:id="79059290">
          <w:marLeft w:val="0"/>
          <w:marRight w:val="0"/>
          <w:marTop w:val="0"/>
          <w:marBottom w:val="0"/>
          <w:divBdr>
            <w:top w:val="none" w:sz="0" w:space="0" w:color="auto"/>
            <w:left w:val="none" w:sz="0" w:space="0" w:color="auto"/>
            <w:bottom w:val="none" w:sz="0" w:space="0" w:color="auto"/>
            <w:right w:val="none" w:sz="0" w:space="0" w:color="auto"/>
          </w:divBdr>
          <w:divsChild>
            <w:div w:id="518810732">
              <w:marLeft w:val="0"/>
              <w:marRight w:val="0"/>
              <w:marTop w:val="0"/>
              <w:marBottom w:val="0"/>
              <w:divBdr>
                <w:top w:val="none" w:sz="0" w:space="0" w:color="auto"/>
                <w:left w:val="none" w:sz="0" w:space="0" w:color="auto"/>
                <w:bottom w:val="none" w:sz="0" w:space="0" w:color="auto"/>
                <w:right w:val="none" w:sz="0" w:space="0" w:color="auto"/>
              </w:divBdr>
            </w:div>
          </w:divsChild>
        </w:div>
        <w:div w:id="777526607">
          <w:marLeft w:val="0"/>
          <w:marRight w:val="0"/>
          <w:marTop w:val="0"/>
          <w:marBottom w:val="0"/>
          <w:divBdr>
            <w:top w:val="none" w:sz="0" w:space="0" w:color="auto"/>
            <w:left w:val="none" w:sz="0" w:space="0" w:color="auto"/>
            <w:bottom w:val="none" w:sz="0" w:space="0" w:color="auto"/>
            <w:right w:val="none" w:sz="0" w:space="0" w:color="auto"/>
          </w:divBdr>
          <w:divsChild>
            <w:div w:id="1825049585">
              <w:marLeft w:val="0"/>
              <w:marRight w:val="0"/>
              <w:marTop w:val="0"/>
              <w:marBottom w:val="0"/>
              <w:divBdr>
                <w:top w:val="none" w:sz="0" w:space="0" w:color="auto"/>
                <w:left w:val="none" w:sz="0" w:space="0" w:color="auto"/>
                <w:bottom w:val="none" w:sz="0" w:space="0" w:color="auto"/>
                <w:right w:val="none" w:sz="0" w:space="0" w:color="auto"/>
              </w:divBdr>
            </w:div>
            <w:div w:id="70374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626667">
      <w:bodyDiv w:val="1"/>
      <w:marLeft w:val="0"/>
      <w:marRight w:val="0"/>
      <w:marTop w:val="0"/>
      <w:marBottom w:val="0"/>
      <w:divBdr>
        <w:top w:val="none" w:sz="0" w:space="0" w:color="auto"/>
        <w:left w:val="none" w:sz="0" w:space="0" w:color="auto"/>
        <w:bottom w:val="none" w:sz="0" w:space="0" w:color="auto"/>
        <w:right w:val="none" w:sz="0" w:space="0" w:color="auto"/>
      </w:divBdr>
    </w:div>
    <w:div w:id="1845703468">
      <w:bodyDiv w:val="1"/>
      <w:marLeft w:val="0"/>
      <w:marRight w:val="0"/>
      <w:marTop w:val="0"/>
      <w:marBottom w:val="0"/>
      <w:divBdr>
        <w:top w:val="none" w:sz="0" w:space="0" w:color="auto"/>
        <w:left w:val="none" w:sz="0" w:space="0" w:color="auto"/>
        <w:bottom w:val="none" w:sz="0" w:space="0" w:color="auto"/>
        <w:right w:val="none" w:sz="0" w:space="0" w:color="auto"/>
      </w:divBdr>
      <w:divsChild>
        <w:div w:id="1702700616">
          <w:marLeft w:val="0"/>
          <w:marRight w:val="0"/>
          <w:marTop w:val="0"/>
          <w:marBottom w:val="0"/>
          <w:divBdr>
            <w:top w:val="none" w:sz="0" w:space="0" w:color="auto"/>
            <w:left w:val="none" w:sz="0" w:space="0" w:color="auto"/>
            <w:bottom w:val="none" w:sz="0" w:space="0" w:color="auto"/>
            <w:right w:val="none" w:sz="0" w:space="0" w:color="auto"/>
          </w:divBdr>
          <w:divsChild>
            <w:div w:id="1582910442">
              <w:marLeft w:val="0"/>
              <w:marRight w:val="0"/>
              <w:marTop w:val="0"/>
              <w:marBottom w:val="0"/>
              <w:divBdr>
                <w:top w:val="none" w:sz="0" w:space="0" w:color="auto"/>
                <w:left w:val="none" w:sz="0" w:space="0" w:color="auto"/>
                <w:bottom w:val="none" w:sz="0" w:space="0" w:color="auto"/>
                <w:right w:val="none" w:sz="0" w:space="0" w:color="auto"/>
              </w:divBdr>
            </w:div>
          </w:divsChild>
        </w:div>
        <w:div w:id="855998306">
          <w:marLeft w:val="0"/>
          <w:marRight w:val="0"/>
          <w:marTop w:val="0"/>
          <w:marBottom w:val="0"/>
          <w:divBdr>
            <w:top w:val="none" w:sz="0" w:space="0" w:color="auto"/>
            <w:left w:val="none" w:sz="0" w:space="0" w:color="auto"/>
            <w:bottom w:val="none" w:sz="0" w:space="0" w:color="auto"/>
            <w:right w:val="none" w:sz="0" w:space="0" w:color="auto"/>
          </w:divBdr>
          <w:divsChild>
            <w:div w:id="695350547">
              <w:marLeft w:val="0"/>
              <w:marRight w:val="0"/>
              <w:marTop w:val="0"/>
              <w:marBottom w:val="0"/>
              <w:divBdr>
                <w:top w:val="none" w:sz="0" w:space="0" w:color="auto"/>
                <w:left w:val="none" w:sz="0" w:space="0" w:color="auto"/>
                <w:bottom w:val="none" w:sz="0" w:space="0" w:color="auto"/>
                <w:right w:val="none" w:sz="0" w:space="0" w:color="auto"/>
              </w:divBdr>
            </w:div>
            <w:div w:id="8435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966602">
      <w:bodyDiv w:val="1"/>
      <w:marLeft w:val="0"/>
      <w:marRight w:val="0"/>
      <w:marTop w:val="0"/>
      <w:marBottom w:val="0"/>
      <w:divBdr>
        <w:top w:val="none" w:sz="0" w:space="0" w:color="auto"/>
        <w:left w:val="none" w:sz="0" w:space="0" w:color="auto"/>
        <w:bottom w:val="none" w:sz="0" w:space="0" w:color="auto"/>
        <w:right w:val="none" w:sz="0" w:space="0" w:color="auto"/>
      </w:divBdr>
      <w:divsChild>
        <w:div w:id="937565114">
          <w:marLeft w:val="0"/>
          <w:marRight w:val="0"/>
          <w:marTop w:val="0"/>
          <w:marBottom w:val="0"/>
          <w:divBdr>
            <w:top w:val="none" w:sz="0" w:space="0" w:color="auto"/>
            <w:left w:val="none" w:sz="0" w:space="0" w:color="auto"/>
            <w:bottom w:val="none" w:sz="0" w:space="0" w:color="auto"/>
            <w:right w:val="none" w:sz="0" w:space="0" w:color="auto"/>
          </w:divBdr>
          <w:divsChild>
            <w:div w:id="595090046">
              <w:marLeft w:val="0"/>
              <w:marRight w:val="0"/>
              <w:marTop w:val="0"/>
              <w:marBottom w:val="0"/>
              <w:divBdr>
                <w:top w:val="none" w:sz="0" w:space="0" w:color="auto"/>
                <w:left w:val="none" w:sz="0" w:space="0" w:color="auto"/>
                <w:bottom w:val="none" w:sz="0" w:space="0" w:color="auto"/>
                <w:right w:val="none" w:sz="0" w:space="0" w:color="auto"/>
              </w:divBdr>
            </w:div>
          </w:divsChild>
        </w:div>
        <w:div w:id="1439179171">
          <w:marLeft w:val="0"/>
          <w:marRight w:val="0"/>
          <w:marTop w:val="0"/>
          <w:marBottom w:val="0"/>
          <w:divBdr>
            <w:top w:val="none" w:sz="0" w:space="0" w:color="auto"/>
            <w:left w:val="none" w:sz="0" w:space="0" w:color="auto"/>
            <w:bottom w:val="none" w:sz="0" w:space="0" w:color="auto"/>
            <w:right w:val="none" w:sz="0" w:space="0" w:color="auto"/>
          </w:divBdr>
          <w:divsChild>
            <w:div w:id="1234658459">
              <w:marLeft w:val="0"/>
              <w:marRight w:val="0"/>
              <w:marTop w:val="0"/>
              <w:marBottom w:val="0"/>
              <w:divBdr>
                <w:top w:val="none" w:sz="0" w:space="0" w:color="auto"/>
                <w:left w:val="none" w:sz="0" w:space="0" w:color="auto"/>
                <w:bottom w:val="none" w:sz="0" w:space="0" w:color="auto"/>
                <w:right w:val="none" w:sz="0" w:space="0" w:color="auto"/>
              </w:divBdr>
            </w:div>
            <w:div w:id="166967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224304">
      <w:bodyDiv w:val="1"/>
      <w:marLeft w:val="0"/>
      <w:marRight w:val="0"/>
      <w:marTop w:val="0"/>
      <w:marBottom w:val="0"/>
      <w:divBdr>
        <w:top w:val="none" w:sz="0" w:space="0" w:color="auto"/>
        <w:left w:val="none" w:sz="0" w:space="0" w:color="auto"/>
        <w:bottom w:val="none" w:sz="0" w:space="0" w:color="auto"/>
        <w:right w:val="none" w:sz="0" w:space="0" w:color="auto"/>
      </w:divBdr>
      <w:divsChild>
        <w:div w:id="1045325948">
          <w:marLeft w:val="0"/>
          <w:marRight w:val="0"/>
          <w:marTop w:val="0"/>
          <w:marBottom w:val="0"/>
          <w:divBdr>
            <w:top w:val="none" w:sz="0" w:space="0" w:color="auto"/>
            <w:left w:val="none" w:sz="0" w:space="0" w:color="auto"/>
            <w:bottom w:val="none" w:sz="0" w:space="0" w:color="auto"/>
            <w:right w:val="none" w:sz="0" w:space="0" w:color="auto"/>
          </w:divBdr>
          <w:divsChild>
            <w:div w:id="503671357">
              <w:marLeft w:val="0"/>
              <w:marRight w:val="0"/>
              <w:marTop w:val="0"/>
              <w:marBottom w:val="0"/>
              <w:divBdr>
                <w:top w:val="none" w:sz="0" w:space="0" w:color="auto"/>
                <w:left w:val="none" w:sz="0" w:space="0" w:color="auto"/>
                <w:bottom w:val="none" w:sz="0" w:space="0" w:color="auto"/>
                <w:right w:val="none" w:sz="0" w:space="0" w:color="auto"/>
              </w:divBdr>
            </w:div>
          </w:divsChild>
        </w:div>
        <w:div w:id="1025525648">
          <w:marLeft w:val="0"/>
          <w:marRight w:val="0"/>
          <w:marTop w:val="0"/>
          <w:marBottom w:val="0"/>
          <w:divBdr>
            <w:top w:val="none" w:sz="0" w:space="0" w:color="auto"/>
            <w:left w:val="none" w:sz="0" w:space="0" w:color="auto"/>
            <w:bottom w:val="none" w:sz="0" w:space="0" w:color="auto"/>
            <w:right w:val="none" w:sz="0" w:space="0" w:color="auto"/>
          </w:divBdr>
          <w:divsChild>
            <w:div w:id="327052110">
              <w:marLeft w:val="0"/>
              <w:marRight w:val="0"/>
              <w:marTop w:val="0"/>
              <w:marBottom w:val="0"/>
              <w:divBdr>
                <w:top w:val="none" w:sz="0" w:space="0" w:color="auto"/>
                <w:left w:val="none" w:sz="0" w:space="0" w:color="auto"/>
                <w:bottom w:val="none" w:sz="0" w:space="0" w:color="auto"/>
                <w:right w:val="none" w:sz="0" w:space="0" w:color="auto"/>
              </w:divBdr>
            </w:div>
            <w:div w:id="61821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931183">
      <w:bodyDiv w:val="1"/>
      <w:marLeft w:val="0"/>
      <w:marRight w:val="0"/>
      <w:marTop w:val="0"/>
      <w:marBottom w:val="0"/>
      <w:divBdr>
        <w:top w:val="none" w:sz="0" w:space="0" w:color="auto"/>
        <w:left w:val="none" w:sz="0" w:space="0" w:color="auto"/>
        <w:bottom w:val="none" w:sz="0" w:space="0" w:color="auto"/>
        <w:right w:val="none" w:sz="0" w:space="0" w:color="auto"/>
      </w:divBdr>
      <w:divsChild>
        <w:div w:id="396755774">
          <w:marLeft w:val="0"/>
          <w:marRight w:val="0"/>
          <w:marTop w:val="0"/>
          <w:marBottom w:val="0"/>
          <w:divBdr>
            <w:top w:val="none" w:sz="0" w:space="0" w:color="auto"/>
            <w:left w:val="none" w:sz="0" w:space="0" w:color="auto"/>
            <w:bottom w:val="none" w:sz="0" w:space="0" w:color="auto"/>
            <w:right w:val="none" w:sz="0" w:space="0" w:color="auto"/>
          </w:divBdr>
          <w:divsChild>
            <w:div w:id="480000501">
              <w:marLeft w:val="0"/>
              <w:marRight w:val="0"/>
              <w:marTop w:val="0"/>
              <w:marBottom w:val="0"/>
              <w:divBdr>
                <w:top w:val="none" w:sz="0" w:space="0" w:color="auto"/>
                <w:left w:val="none" w:sz="0" w:space="0" w:color="auto"/>
                <w:bottom w:val="none" w:sz="0" w:space="0" w:color="auto"/>
                <w:right w:val="none" w:sz="0" w:space="0" w:color="auto"/>
              </w:divBdr>
            </w:div>
          </w:divsChild>
        </w:div>
        <w:div w:id="1975090385">
          <w:marLeft w:val="0"/>
          <w:marRight w:val="0"/>
          <w:marTop w:val="0"/>
          <w:marBottom w:val="0"/>
          <w:divBdr>
            <w:top w:val="none" w:sz="0" w:space="0" w:color="auto"/>
            <w:left w:val="none" w:sz="0" w:space="0" w:color="auto"/>
            <w:bottom w:val="none" w:sz="0" w:space="0" w:color="auto"/>
            <w:right w:val="none" w:sz="0" w:space="0" w:color="auto"/>
          </w:divBdr>
          <w:divsChild>
            <w:div w:id="1729763392">
              <w:marLeft w:val="0"/>
              <w:marRight w:val="0"/>
              <w:marTop w:val="0"/>
              <w:marBottom w:val="0"/>
              <w:divBdr>
                <w:top w:val="none" w:sz="0" w:space="0" w:color="auto"/>
                <w:left w:val="none" w:sz="0" w:space="0" w:color="auto"/>
                <w:bottom w:val="none" w:sz="0" w:space="0" w:color="auto"/>
                <w:right w:val="none" w:sz="0" w:space="0" w:color="auto"/>
              </w:divBdr>
            </w:div>
            <w:div w:id="3535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414</TotalTime>
  <Pages>30</Pages>
  <Words>12683</Words>
  <Characters>72299</Characters>
  <Application>Microsoft Office Word</Application>
  <DocSecurity>0</DocSecurity>
  <Lines>602</Lines>
  <Paragraphs>169</Paragraphs>
  <ScaleCrop>false</ScaleCrop>
  <Company/>
  <LinksUpToDate>false</LinksUpToDate>
  <CharactersWithSpaces>84813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俊 邱</dc:creator>
  <cp:keywords/>
  <dc:description/>
  <cp:lastModifiedBy>HD1611</cp:lastModifiedBy>
  <cp:revision>14</cp:revision>
  <dcterms:created xsi:type="dcterms:W3CDTF">2023-12-25T11:32:00Z</dcterms:created>
  <dcterms:modified xsi:type="dcterms:W3CDTF">2024-07-31T10:34:00Z</dcterms:modified>
</cp:coreProperties>
</file>