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D8098C" w:rsidRPr="00B853C6"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77777777" w:rsidR="00D8098C" w:rsidRPr="00F0337F" w:rsidRDefault="00D8098C" w:rsidP="00426603">
            <w:pPr>
              <w:spacing w:beforeLines="40" w:before="96" w:afterLines="40" w:after="96" w:line="24" w:lineRule="atLeast"/>
              <w:rPr>
                <w:rFonts w:eastAsia="Times New Roman"/>
                <w:sz w:val="18"/>
                <w:szCs w:val="18"/>
                <w:lang w:val="en-GB" w:eastAsia="en-GB"/>
              </w:rPr>
            </w:pPr>
          </w:p>
        </w:tc>
        <w:tc>
          <w:tcPr>
            <w:tcW w:w="4320" w:type="dxa"/>
            <w:tcBorders>
              <w:top w:val="single" w:sz="6" w:space="0" w:color="7F7F7F"/>
              <w:bottom w:val="single" w:sz="6" w:space="0" w:color="7F7F7F"/>
            </w:tcBorders>
            <w:shd w:val="clear" w:color="auto" w:fill="EEEEEE"/>
          </w:tcPr>
          <w:p w14:paraId="79DF86FF" w14:textId="64F8D310" w:rsidR="00D8098C" w:rsidRPr="005D7B74" w:rsidRDefault="00ED1CB3"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T</w:t>
            </w:r>
            <w:r>
              <w:rPr>
                <w:rFonts w:eastAsiaTheme="minorEastAsia" w:hint="eastAsia"/>
                <w:sz w:val="18"/>
                <w:szCs w:val="18"/>
                <w:lang w:val="en-GB" w:eastAsia="zh-CN"/>
              </w:rPr>
              <w:t>itle:</w:t>
            </w:r>
            <w:r w:rsidR="002C02F2">
              <w:rPr>
                <w:rFonts w:eastAsiaTheme="minorEastAsia" w:hint="eastAsia"/>
                <w:sz w:val="18"/>
                <w:szCs w:val="18"/>
                <w:lang w:eastAsia="zh-CN"/>
              </w:rPr>
              <w:t xml:space="preserve"> </w:t>
            </w:r>
            <w:r w:rsidR="005D7B74">
              <w:rPr>
                <w:rFonts w:eastAsiaTheme="minorEastAsia"/>
                <w:lang w:eastAsia="zh-CN"/>
              </w:rPr>
              <w:t>“</w:t>
            </w:r>
            <w:r w:rsidR="005D7B74" w:rsidRPr="005D7B74">
              <w:rPr>
                <w:rFonts w:eastAsiaTheme="minorEastAsia"/>
                <w:sz w:val="18"/>
                <w:szCs w:val="18"/>
                <w:lang w:val="en-GB" w:eastAsia="zh-CN"/>
              </w:rPr>
              <w:t>Genetic evidence causally linking gastroesophageal reflux disease to cholecystitis</w:t>
            </w:r>
            <w:r w:rsidR="005D7B74" w:rsidRPr="005D7B74">
              <w:rPr>
                <w:rFonts w:eastAsiaTheme="minorEastAsia" w:hint="eastAsia"/>
                <w:sz w:val="18"/>
                <w:szCs w:val="18"/>
                <w:lang w:val="en-GB" w:eastAsia="zh-CN"/>
              </w:rPr>
              <w:t>：</w:t>
            </w:r>
            <w:r w:rsidR="005D7B74" w:rsidRPr="005D7B74">
              <w:rPr>
                <w:rFonts w:eastAsiaTheme="minorEastAsia"/>
                <w:sz w:val="18"/>
                <w:szCs w:val="18"/>
                <w:lang w:val="en-GB" w:eastAsia="zh-CN"/>
              </w:rPr>
              <w:t>a two-sample Mendelian randomization study</w:t>
            </w:r>
            <w:r w:rsidR="005D7B74">
              <w:rPr>
                <w:rFonts w:eastAsiaTheme="minorEastAsia"/>
                <w:sz w:val="18"/>
                <w:szCs w:val="18"/>
                <w:lang w:val="en-GB" w:eastAsia="zh-CN"/>
              </w:rPr>
              <w:t>”</w:t>
            </w:r>
          </w:p>
          <w:p w14:paraId="2F6D1FAF" w14:textId="7018D504" w:rsidR="00ED1CB3" w:rsidRPr="00ED1CB3" w:rsidRDefault="00ED1CB3" w:rsidP="002C02F2">
            <w:pPr>
              <w:spacing w:beforeLines="40" w:before="96" w:afterLines="40" w:after="96" w:line="24" w:lineRule="atLeast"/>
              <w:jc w:val="both"/>
              <w:rPr>
                <w:rFonts w:eastAsiaTheme="minorEastAsia"/>
                <w:sz w:val="18"/>
                <w:szCs w:val="18"/>
                <w:lang w:val="en-GB" w:eastAsia="zh-CN"/>
              </w:rPr>
            </w:pPr>
            <w:r w:rsidRPr="00F0337F">
              <w:rPr>
                <w:rFonts w:eastAsia="Times New Roman"/>
                <w:sz w:val="18"/>
                <w:szCs w:val="18"/>
                <w:lang w:val="en-GB" w:eastAsia="en-GB"/>
              </w:rPr>
              <w:t>Abstract</w:t>
            </w:r>
            <w:r>
              <w:rPr>
                <w:rFonts w:eastAsiaTheme="minorEastAsia" w:hint="eastAsia"/>
                <w:sz w:val="18"/>
                <w:szCs w:val="18"/>
                <w:lang w:val="en-GB" w:eastAsia="zh-CN"/>
              </w:rPr>
              <w:t>:</w:t>
            </w:r>
            <w:r>
              <w:t xml:space="preserve"> </w:t>
            </w:r>
            <w:r>
              <w:rPr>
                <w:rFonts w:eastAsiaTheme="minorEastAsia"/>
                <w:lang w:eastAsia="zh-CN"/>
              </w:rPr>
              <w:t>“</w:t>
            </w:r>
            <w:r w:rsidRPr="00ED1CB3">
              <w:rPr>
                <w:rFonts w:eastAsiaTheme="minorEastAsia"/>
                <w:sz w:val="18"/>
                <w:szCs w:val="18"/>
                <w:lang w:val="en-GB" w:eastAsia="zh-CN"/>
              </w:rPr>
              <w:t xml:space="preserve">Background: </w:t>
            </w:r>
            <w:r w:rsidR="005D7B74" w:rsidRPr="005D7B74">
              <w:rPr>
                <w:rFonts w:eastAsiaTheme="minorEastAsia"/>
                <w:sz w:val="18"/>
                <w:szCs w:val="18"/>
                <w:lang w:val="en-GB" w:eastAsia="zh-CN"/>
              </w:rPr>
              <w:t>This study aimed to investigate the causal link between GERD and cholecystitis using a Mendelian randomization (MR) approach</w:t>
            </w:r>
            <w:r w:rsidRPr="00ED1CB3">
              <w:rPr>
                <w:rFonts w:eastAsiaTheme="minorEastAsia"/>
                <w:sz w:val="18"/>
                <w:szCs w:val="18"/>
                <w:lang w:val="en-GB" w:eastAsia="zh-CN"/>
              </w:rPr>
              <w:t>.</w:t>
            </w:r>
            <w:r>
              <w:rPr>
                <w:rFonts w:eastAsiaTheme="minorEastAsia"/>
                <w:sz w:val="18"/>
                <w:szCs w:val="18"/>
                <w:lang w:val="en-GB" w:eastAsia="zh-CN"/>
              </w:rPr>
              <w:t>”</w:t>
            </w:r>
          </w:p>
        </w:tc>
      </w:tr>
      <w:tr w:rsidR="00D8098C" w:rsidRPr="00B853C6" w14:paraId="641E6A58" w14:textId="3A4EC1CE" w:rsidTr="003D447D">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7A6DC6E9" w14:textId="77777777" w:rsidR="00D8098C" w:rsidRDefault="00D8098C" w:rsidP="002C02F2">
            <w:pPr>
              <w:spacing w:beforeLines="40" w:before="96" w:afterLines="40" w:after="96" w:line="24" w:lineRule="atLeast"/>
              <w:jc w:val="both"/>
              <w:rPr>
                <w:rFonts w:eastAsia="Cambria"/>
                <w:sz w:val="18"/>
                <w:szCs w:val="18"/>
                <w:lang w:val="en-GB" w:eastAsia="en-US"/>
              </w:rPr>
            </w:pPr>
          </w:p>
        </w:tc>
      </w:tr>
      <w:tr w:rsidR="00D8098C" w:rsidRPr="00B853C6" w14:paraId="7DB622D8" w14:textId="3921B7E8" w:rsidTr="003D447D">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77777777" w:rsidR="00D8098C" w:rsidRPr="00F0337F"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43ABEC05" w14:textId="77777777" w:rsidR="00D8098C" w:rsidRDefault="00A872E5" w:rsidP="002C02F2">
            <w:pPr>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val="en-GB" w:eastAsia="zh-CN"/>
              </w:rPr>
              <w:t>1.</w:t>
            </w:r>
            <w:r w:rsidRPr="00F0337F">
              <w:rPr>
                <w:rFonts w:eastAsia="Times New Roman"/>
                <w:sz w:val="18"/>
                <w:szCs w:val="18"/>
                <w:lang w:val="en-GB" w:eastAsia="en-GB"/>
              </w:rPr>
              <w:t xml:space="preserve"> Explain the scientific background and rationale for the reported study.</w:t>
            </w:r>
          </w:p>
          <w:p w14:paraId="4A2AC976" w14:textId="59934A0E" w:rsidR="00A872E5" w:rsidRDefault="00A872E5" w:rsidP="002C02F2">
            <w:pPr>
              <w:spacing w:beforeLines="40" w:before="96" w:afterLines="40" w:after="96" w:line="24" w:lineRule="atLeast"/>
              <w:jc w:val="both"/>
              <w:rPr>
                <w:rFonts w:eastAsiaTheme="minorEastAsia"/>
                <w:sz w:val="18"/>
                <w:szCs w:val="18"/>
                <w:lang w:eastAsia="zh-CN"/>
              </w:rPr>
            </w:pPr>
            <w:r>
              <w:rPr>
                <w:rFonts w:eastAsiaTheme="minorEastAsia"/>
                <w:sz w:val="18"/>
                <w:szCs w:val="18"/>
                <w:lang w:val="en-GB" w:eastAsia="zh-CN"/>
              </w:rPr>
              <w:t>A</w:t>
            </w:r>
            <w:r>
              <w:rPr>
                <w:rFonts w:eastAsiaTheme="minorEastAsia" w:hint="eastAsia"/>
                <w:sz w:val="18"/>
                <w:szCs w:val="18"/>
                <w:lang w:val="en-GB" w:eastAsia="zh-CN"/>
              </w:rPr>
              <w:t>nswer</w:t>
            </w:r>
            <w:r w:rsidR="002C02F2">
              <w:rPr>
                <w:rFonts w:eastAsiaTheme="minorEastAsia" w:hint="eastAsia"/>
                <w:sz w:val="18"/>
                <w:szCs w:val="18"/>
                <w:lang w:val="en-GB" w:eastAsia="zh-CN"/>
              </w:rPr>
              <w:t xml:space="preserve">: </w:t>
            </w:r>
            <w:r w:rsidR="002C02F2">
              <w:rPr>
                <w:rFonts w:eastAsiaTheme="minorEastAsia"/>
                <w:sz w:val="18"/>
                <w:szCs w:val="18"/>
                <w:lang w:val="en-GB" w:eastAsia="zh-CN"/>
              </w:rPr>
              <w:t>“</w:t>
            </w:r>
            <w:r w:rsidR="00C13816" w:rsidRPr="00C13816">
              <w:rPr>
                <w:rFonts w:eastAsiaTheme="minorEastAsia"/>
                <w:sz w:val="18"/>
                <w:szCs w:val="18"/>
                <w:lang w:val="en-GB" w:eastAsia="zh-CN"/>
              </w:rPr>
              <w:t xml:space="preserve">In clinical practice, gastroesophageal reflux disease (GERD) often coexists with cholecystitis, potentially leading to diagnostic challenges due to overlapping </w:t>
            </w:r>
            <w:proofErr w:type="gramStart"/>
            <w:r w:rsidR="00C13816" w:rsidRPr="00C13816">
              <w:rPr>
                <w:rFonts w:eastAsiaTheme="minorEastAsia"/>
                <w:sz w:val="18"/>
                <w:szCs w:val="18"/>
                <w:lang w:val="en-GB" w:eastAsia="zh-CN"/>
              </w:rPr>
              <w:t>symptoms .</w:t>
            </w:r>
            <w:proofErr w:type="gramEnd"/>
            <w:r w:rsidR="00C13816" w:rsidRPr="00C13816">
              <w:rPr>
                <w:rFonts w:eastAsiaTheme="minorEastAsia"/>
                <w:sz w:val="18"/>
                <w:szCs w:val="18"/>
                <w:lang w:val="en-GB" w:eastAsia="zh-CN"/>
              </w:rPr>
              <w:t xml:space="preserve"> However, evidence regarding the causal relationship between GERD and cholecystitis remains inconclusive, underscoring the need for further investigation to prevent misdiagnosis and ensure timely interventions. The symptomatic similarities between GERD and cholecystitis exceed chance expectations, increasing the likelihood of diagnostic errors and compromising patient treatment and outcomes. </w:t>
            </w:r>
            <w:proofErr w:type="spellStart"/>
            <w:r w:rsidR="00C13816" w:rsidRPr="00C13816">
              <w:rPr>
                <w:rFonts w:eastAsiaTheme="minorEastAsia"/>
                <w:sz w:val="18"/>
                <w:szCs w:val="18"/>
                <w:lang w:val="en-GB" w:eastAsia="zh-CN"/>
              </w:rPr>
              <w:t>Vagus</w:t>
            </w:r>
            <w:proofErr w:type="spellEnd"/>
            <w:r w:rsidR="00C13816" w:rsidRPr="00C13816">
              <w:rPr>
                <w:rFonts w:eastAsiaTheme="minorEastAsia"/>
                <w:sz w:val="18"/>
                <w:szCs w:val="18"/>
                <w:lang w:val="en-GB" w:eastAsia="zh-CN"/>
              </w:rPr>
              <w:t xml:space="preserve"> nerve abnormalities lead to dyskinesia and </w:t>
            </w:r>
            <w:proofErr w:type="spellStart"/>
            <w:r w:rsidR="00C13816" w:rsidRPr="00C13816">
              <w:rPr>
                <w:rFonts w:eastAsiaTheme="minorEastAsia"/>
                <w:sz w:val="18"/>
                <w:szCs w:val="18"/>
                <w:lang w:val="en-GB" w:eastAsia="zh-CN"/>
              </w:rPr>
              <w:t>paresthesia</w:t>
            </w:r>
            <w:proofErr w:type="spellEnd"/>
            <w:r w:rsidR="00C13816" w:rsidRPr="00C13816">
              <w:rPr>
                <w:rFonts w:eastAsiaTheme="minorEastAsia"/>
                <w:sz w:val="18"/>
                <w:szCs w:val="18"/>
                <w:lang w:val="en-GB" w:eastAsia="zh-CN"/>
              </w:rPr>
              <w:t xml:space="preserve"> in the gastroesophageal and biliary systems, and some studies have reported an increased incidence of GERD after cholecystectomy, suggesting that there may be a connection between GERD and cholecystitis, or due to neurological or endocrine factors</w:t>
            </w:r>
            <w:r w:rsidR="00C13816">
              <w:rPr>
                <w:rFonts w:eastAsiaTheme="minorEastAsia" w:hint="eastAsia"/>
                <w:sz w:val="18"/>
                <w:szCs w:val="18"/>
                <w:lang w:val="en-GB" w:eastAsia="zh-CN"/>
              </w:rPr>
              <w:t>.</w:t>
            </w:r>
            <w:r>
              <w:rPr>
                <w:rFonts w:eastAsiaTheme="minorEastAsia"/>
                <w:sz w:val="18"/>
                <w:szCs w:val="18"/>
                <w:lang w:eastAsia="zh-CN"/>
              </w:rPr>
              <w:t>”</w:t>
            </w:r>
          </w:p>
          <w:p w14:paraId="5E2A4318" w14:textId="77777777" w:rsidR="00A872E5" w:rsidRDefault="002B5276" w:rsidP="002C02F2">
            <w:pPr>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eastAsia="zh-CN"/>
              </w:rPr>
              <w:t>2.</w:t>
            </w:r>
            <w:r w:rsidRPr="00F0337F">
              <w:rPr>
                <w:rFonts w:eastAsia="Times New Roman"/>
                <w:sz w:val="18"/>
                <w:szCs w:val="18"/>
                <w:lang w:val="en-GB" w:eastAsia="en-GB"/>
              </w:rPr>
              <w:t xml:space="preserve"> What is the exposure?</w:t>
            </w:r>
          </w:p>
          <w:p w14:paraId="72CCF448" w14:textId="17D952B2" w:rsidR="002B5276" w:rsidRDefault="006F24C2" w:rsidP="002C02F2">
            <w:pPr>
              <w:spacing w:beforeLines="40" w:before="96" w:afterLines="40" w:after="96" w:line="24" w:lineRule="atLeast"/>
              <w:jc w:val="both"/>
              <w:rPr>
                <w:rFonts w:eastAsiaTheme="minorEastAsia"/>
                <w:sz w:val="18"/>
                <w:szCs w:val="18"/>
                <w:lang w:eastAsia="zh-CN"/>
              </w:rPr>
            </w:pPr>
            <w:r>
              <w:rPr>
                <w:rFonts w:eastAsiaTheme="minorEastAsia"/>
                <w:sz w:val="18"/>
                <w:szCs w:val="18"/>
                <w:lang w:eastAsia="zh-CN"/>
              </w:rPr>
              <w:t>A</w:t>
            </w:r>
            <w:r>
              <w:rPr>
                <w:rFonts w:eastAsiaTheme="minorEastAsia" w:hint="eastAsia"/>
                <w:sz w:val="18"/>
                <w:szCs w:val="18"/>
                <w:lang w:eastAsia="zh-CN"/>
              </w:rPr>
              <w:t xml:space="preserve">nswer: </w:t>
            </w:r>
            <w:r>
              <w:rPr>
                <w:rFonts w:eastAsiaTheme="minorEastAsia"/>
                <w:sz w:val="18"/>
                <w:szCs w:val="18"/>
                <w:lang w:eastAsia="zh-CN"/>
              </w:rPr>
              <w:t>“</w:t>
            </w:r>
            <w:r w:rsidR="00C13816" w:rsidRPr="00C13816">
              <w:rPr>
                <w:rFonts w:eastAsiaTheme="minorEastAsia"/>
                <w:sz w:val="18"/>
                <w:szCs w:val="18"/>
                <w:lang w:eastAsia="zh-CN"/>
              </w:rPr>
              <w:t>we conducted a two-sample MR study utilizing single SNPs obtained from genome-wide association studies linked to exposure factor GERD as IVs in this study, in order to examine the causal impact of GERD on outcome factor cholecystitis risk, marking the first such attempt</w:t>
            </w:r>
            <w:r>
              <w:rPr>
                <w:rFonts w:eastAsiaTheme="minorEastAsia" w:hint="eastAsia"/>
                <w:sz w:val="18"/>
                <w:szCs w:val="18"/>
                <w:lang w:eastAsia="zh-CN"/>
              </w:rPr>
              <w:t>.</w:t>
            </w:r>
            <w:r>
              <w:rPr>
                <w:rFonts w:eastAsiaTheme="minorEastAsia"/>
                <w:sz w:val="18"/>
                <w:szCs w:val="18"/>
                <w:lang w:eastAsia="zh-CN"/>
              </w:rPr>
              <w:t>”</w:t>
            </w:r>
          </w:p>
          <w:p w14:paraId="22310619" w14:textId="77777777" w:rsidR="00344884" w:rsidRDefault="00344884" w:rsidP="002C02F2">
            <w:pPr>
              <w:spacing w:beforeLines="40" w:before="96" w:afterLines="40" w:after="96" w:line="24" w:lineRule="atLeast"/>
              <w:jc w:val="both"/>
              <w:rPr>
                <w:rFonts w:eastAsiaTheme="minorEastAsia"/>
                <w:sz w:val="18"/>
                <w:szCs w:val="18"/>
                <w:lang w:eastAsia="zh-CN"/>
              </w:rPr>
            </w:pPr>
            <w:r>
              <w:rPr>
                <w:rFonts w:eastAsiaTheme="minorEastAsia" w:hint="eastAsia"/>
                <w:sz w:val="18"/>
                <w:szCs w:val="18"/>
                <w:lang w:eastAsia="zh-CN"/>
              </w:rPr>
              <w:lastRenderedPageBreak/>
              <w:t>3.</w:t>
            </w:r>
            <w:r w:rsidRPr="00344884">
              <w:rPr>
                <w:rFonts w:eastAsiaTheme="minorEastAsia"/>
                <w:sz w:val="18"/>
                <w:szCs w:val="18"/>
                <w:lang w:eastAsia="zh-CN"/>
              </w:rPr>
              <w:t xml:space="preserve"> Is a potential causal relationship between exposure and outcome plausible? Justify why MR is a helpful method to address the study question</w:t>
            </w:r>
            <w:r>
              <w:rPr>
                <w:rFonts w:eastAsiaTheme="minorEastAsia" w:hint="eastAsia"/>
                <w:sz w:val="18"/>
                <w:szCs w:val="18"/>
                <w:lang w:eastAsia="zh-CN"/>
              </w:rPr>
              <w:t>.</w:t>
            </w:r>
          </w:p>
          <w:p w14:paraId="5D990A22" w14:textId="4CDFBBDA" w:rsidR="00344884" w:rsidRPr="001A1840" w:rsidRDefault="00344884" w:rsidP="002C02F2">
            <w:pPr>
              <w:spacing w:beforeLines="40" w:before="96" w:afterLines="40" w:after="96" w:line="24" w:lineRule="atLeast"/>
              <w:jc w:val="both"/>
              <w:rPr>
                <w:rFonts w:eastAsiaTheme="minorEastAsia"/>
                <w:sz w:val="18"/>
                <w:szCs w:val="18"/>
                <w:lang w:val="en-US" w:eastAsia="zh-CN"/>
              </w:rPr>
            </w:pPr>
            <w:r w:rsidRPr="00C13816">
              <w:rPr>
                <w:rFonts w:eastAsiaTheme="minorEastAsia"/>
                <w:sz w:val="18"/>
                <w:szCs w:val="18"/>
                <w:lang w:eastAsia="zh-CN"/>
              </w:rPr>
              <w:t>A</w:t>
            </w:r>
            <w:r w:rsidRPr="00C13816">
              <w:rPr>
                <w:rFonts w:eastAsiaTheme="minorEastAsia" w:hint="eastAsia"/>
                <w:sz w:val="18"/>
                <w:szCs w:val="18"/>
                <w:lang w:eastAsia="zh-CN"/>
              </w:rPr>
              <w:t>nswer:</w:t>
            </w:r>
            <w:r w:rsidR="00C13816" w:rsidRPr="00C13816">
              <w:rPr>
                <w:rFonts w:eastAsiaTheme="minorEastAsia" w:hint="eastAsia"/>
                <w:sz w:val="18"/>
                <w:szCs w:val="18"/>
                <w:lang w:eastAsia="zh-CN"/>
              </w:rPr>
              <w:t xml:space="preserve"> </w:t>
            </w:r>
            <w:r w:rsidR="001A1840" w:rsidRPr="00C13816">
              <w:rPr>
                <w:rFonts w:eastAsiaTheme="minorEastAsia"/>
                <w:kern w:val="2"/>
                <w:sz w:val="18"/>
                <w:szCs w:val="18"/>
                <w:lang w:val="en-US" w:eastAsia="zh-CN"/>
                <w14:ligatures w14:val="standardContextual"/>
              </w:rPr>
              <w:t>“</w:t>
            </w:r>
            <w:proofErr w:type="spellStart"/>
            <w:r w:rsidR="00C13816" w:rsidRPr="00C13816">
              <w:rPr>
                <w:rFonts w:eastAsiaTheme="minorEastAsia"/>
                <w:kern w:val="2"/>
                <w:sz w:val="18"/>
                <w:szCs w:val="18"/>
                <w:lang w:val="en-US" w:eastAsia="zh-CN"/>
                <w14:ligatures w14:val="standardContextual"/>
              </w:rPr>
              <w:t>Vagus</w:t>
            </w:r>
            <w:proofErr w:type="spellEnd"/>
            <w:r w:rsidR="00C13816" w:rsidRPr="00C13816">
              <w:rPr>
                <w:rFonts w:eastAsiaTheme="minorEastAsia"/>
                <w:kern w:val="2"/>
                <w:sz w:val="18"/>
                <w:szCs w:val="18"/>
                <w:lang w:val="en-US" w:eastAsia="zh-CN"/>
                <w14:ligatures w14:val="standardContextual"/>
              </w:rPr>
              <w:t xml:space="preserve"> nerve abnormalities lead to dyskinesia and paresthesia in the gastroesophageal and biliary systems, and some studies have reported an increased incidence of GERD after cholecystectomy, suggesting that there may be a connection between GERD and cholecystitis, or due to neurological or endocrine factors. Additionally, the direction and causative association between GERD and cholecystitis remain uncertain. Therefore, the objective of this study is to elucidate the causal relationship between these two conditions, and we have employed a Mendelian randomization (MR) analysis</w:t>
            </w:r>
            <w:r w:rsidR="001A1840" w:rsidRPr="00C13816">
              <w:rPr>
                <w:rFonts w:eastAsiaTheme="minorEastAsia" w:hint="eastAsia"/>
                <w:sz w:val="18"/>
                <w:szCs w:val="18"/>
                <w:lang w:val="en-US" w:eastAsia="zh-CN"/>
              </w:rPr>
              <w:t>.</w:t>
            </w:r>
            <w:r w:rsidR="009127E9">
              <w:t xml:space="preserve"> </w:t>
            </w:r>
            <w:r w:rsidR="009127E9" w:rsidRPr="009127E9">
              <w:rPr>
                <w:rFonts w:eastAsiaTheme="minorEastAsia"/>
                <w:sz w:val="18"/>
                <w:szCs w:val="18"/>
                <w:lang w:val="en-US" w:eastAsia="zh-CN"/>
              </w:rPr>
              <w:t>MR offers an alternative approach in epidemiology for inferring causality, utilizing single nucleotide polymorphisms (SNPs) as instrumental variables (IVs) to explore causal relationships between exposures and outcomes. Given the random inheritance of alleles during gamete formation, genetic variants may serve as a means of controlling for reverse causation bias and confounding. As a result, MR designs can be employed to address causal assumptions, with outcomes deemed comparable to those of randomized trials.</w:t>
            </w:r>
            <w:r w:rsidR="001A1840" w:rsidRPr="00C13816">
              <w:rPr>
                <w:rFonts w:eastAsiaTheme="minorEastAsia"/>
                <w:sz w:val="18"/>
                <w:szCs w:val="18"/>
                <w:lang w:val="en-US" w:eastAsia="zh-CN"/>
              </w:rPr>
              <w:t>”</w:t>
            </w:r>
          </w:p>
        </w:tc>
      </w:tr>
      <w:tr w:rsidR="00D8098C" w:rsidRPr="00B853C6" w14:paraId="7907A3D3" w14:textId="5AB948A7" w:rsidTr="003D447D">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3</w:t>
            </w:r>
          </w:p>
        </w:tc>
        <w:tc>
          <w:tcPr>
            <w:tcW w:w="1822"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tcPr>
          <w:p w14:paraId="11250836" w14:textId="22E910F8" w:rsidR="00D8098C" w:rsidRPr="005A20C6" w:rsidRDefault="00227755" w:rsidP="002C02F2">
            <w:pPr>
              <w:spacing w:beforeLines="40" w:before="96" w:afterLines="40" w:after="96" w:line="24" w:lineRule="atLeast"/>
              <w:jc w:val="both"/>
              <w:rPr>
                <w:rFonts w:eastAsia="Times New Roman"/>
                <w:sz w:val="18"/>
                <w:szCs w:val="18"/>
                <w:lang w:val="en-GB" w:eastAsia="en-GB"/>
              </w:rPr>
            </w:pPr>
            <w:r>
              <w:rPr>
                <w:rFonts w:eastAsiaTheme="minorEastAsia"/>
                <w:sz w:val="18"/>
                <w:szCs w:val="18"/>
                <w:lang w:val="en-GB" w:eastAsia="zh-CN"/>
              </w:rPr>
              <w:t>A</w:t>
            </w:r>
            <w:r>
              <w:rPr>
                <w:rFonts w:eastAsiaTheme="minorEastAsia" w:hint="eastAsia"/>
                <w:sz w:val="18"/>
                <w:szCs w:val="18"/>
                <w:lang w:val="en-GB" w:eastAsia="zh-CN"/>
              </w:rPr>
              <w:t xml:space="preserve">nswer: </w:t>
            </w:r>
            <w:r>
              <w:rPr>
                <w:rFonts w:eastAsiaTheme="minorEastAsia"/>
                <w:sz w:val="18"/>
                <w:szCs w:val="18"/>
                <w:lang w:val="en-GB" w:eastAsia="zh-CN"/>
              </w:rPr>
              <w:t>“</w:t>
            </w:r>
            <w:r w:rsidR="005A20C6" w:rsidRPr="005A20C6">
              <w:rPr>
                <w:rFonts w:eastAsia="Times New Roman"/>
                <w:sz w:val="18"/>
                <w:szCs w:val="18"/>
                <w:lang w:val="en-GB" w:eastAsia="en-GB"/>
              </w:rPr>
              <w:t xml:space="preserve">MR offers an alternative approach in epidemiology for inferring causality, utilizing single nucleotide polymorphisms (SNPs) as instrumental variables (IVs) to explore causal relationships between exposures and outcomes. Given the random inheritance of alleles during gamete formation, genetic variants may serve as a means of controlling for reverse causation bias and confounding. As a result, MR designs can be employed to address causal assumptions, with outcomes deemed comparable to those of randomized trials. Therefore, we conducted a two-sample MR study utilizing single SNPs obtained from genome-wide association studies linked to exposure factor GERD as IVs in this study, in order to examine the causal impact of GERD on outcome factor cholecystitis risk, marking the first such attempt. And we found that GERD was positively associated with the risk of cholecystitis. These </w:t>
            </w:r>
            <w:r w:rsidR="005A20C6" w:rsidRPr="005A20C6">
              <w:rPr>
                <w:rFonts w:eastAsia="Times New Roman"/>
                <w:sz w:val="18"/>
                <w:szCs w:val="18"/>
                <w:lang w:val="en-GB" w:eastAsia="en-GB"/>
              </w:rPr>
              <w:lastRenderedPageBreak/>
              <w:t>findings can serve as a fundamental basis for understanding the intricate interactions between GERD and cholecystitis, which can further provide new ideas for the prevention and treatment of cholecystitis in GERD patients.</w:t>
            </w:r>
            <w:r>
              <w:rPr>
                <w:rFonts w:eastAsiaTheme="minorEastAsia"/>
                <w:sz w:val="18"/>
                <w:szCs w:val="18"/>
                <w:lang w:val="en-GB" w:eastAsia="zh-CN"/>
              </w:rPr>
              <w:t>”</w:t>
            </w:r>
          </w:p>
        </w:tc>
      </w:tr>
      <w:tr w:rsidR="00D8098C" w:rsidRPr="00B853C6" w14:paraId="59599383" w14:textId="2880B554" w:rsidTr="003D447D">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shd w:val="clear" w:color="auto" w:fill="EEEEEE"/>
          </w:tcPr>
          <w:p w14:paraId="6CB9315A" w14:textId="77777777" w:rsidR="00D8098C" w:rsidRDefault="00D8098C" w:rsidP="002C02F2">
            <w:pPr>
              <w:spacing w:beforeLines="40" w:before="96" w:afterLines="40" w:after="96" w:line="24" w:lineRule="atLeast"/>
              <w:jc w:val="both"/>
              <w:rPr>
                <w:rFonts w:eastAsia="Cambria"/>
                <w:sz w:val="18"/>
                <w:szCs w:val="18"/>
                <w:lang w:val="en-GB" w:eastAsia="en-US"/>
              </w:rPr>
            </w:pPr>
          </w:p>
        </w:tc>
      </w:tr>
      <w:tr w:rsidR="00D8098C" w:rsidRPr="00B853C6" w14:paraId="6440155E" w14:textId="16610A1F" w:rsidTr="003D447D">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23CE0AC6" w14:textId="103DFB00" w:rsidR="00D8098C" w:rsidRDefault="0015516B" w:rsidP="002C02F2">
            <w:pPr>
              <w:spacing w:beforeLines="40" w:before="96" w:afterLines="40" w:after="96" w:line="24" w:lineRule="atLeast"/>
              <w:jc w:val="both"/>
              <w:rPr>
                <w:rFonts w:eastAsia="Times New Roman"/>
                <w:sz w:val="18"/>
                <w:szCs w:val="18"/>
                <w:lang w:val="en-GB" w:eastAsia="en-GB"/>
              </w:rPr>
            </w:pPr>
            <w:r>
              <w:rPr>
                <w:rFonts w:eastAsiaTheme="minorEastAsia"/>
                <w:sz w:val="18"/>
                <w:szCs w:val="18"/>
                <w:shd w:val="clear" w:color="auto" w:fill="FFFFFF"/>
                <w:lang w:val="en-GB" w:eastAsia="zh-CN"/>
              </w:rPr>
              <w:t>A</w:t>
            </w:r>
            <w:r>
              <w:rPr>
                <w:rFonts w:eastAsiaTheme="minorEastAsia" w:hint="eastAsia"/>
                <w:sz w:val="18"/>
                <w:szCs w:val="18"/>
                <w:shd w:val="clear" w:color="auto" w:fill="FFFFFF"/>
                <w:lang w:val="en-GB" w:eastAsia="zh-CN"/>
              </w:rPr>
              <w:t xml:space="preserve">nswer: </w:t>
            </w:r>
            <w:r>
              <w:rPr>
                <w:rFonts w:eastAsiaTheme="minorEastAsia"/>
                <w:sz w:val="18"/>
                <w:szCs w:val="18"/>
                <w:shd w:val="clear" w:color="auto" w:fill="FFFFFF"/>
                <w:lang w:val="en-GB" w:eastAsia="zh-CN"/>
              </w:rPr>
              <w:t>“</w:t>
            </w:r>
            <w:r w:rsidRPr="0015516B">
              <w:rPr>
                <w:rFonts w:eastAsiaTheme="minorEastAsia"/>
                <w:sz w:val="18"/>
                <w:szCs w:val="18"/>
                <w:shd w:val="clear" w:color="auto" w:fill="FFFFFF"/>
                <w:lang w:val="en-GB" w:eastAsia="zh-CN"/>
              </w:rPr>
              <w:t>Fig. 1 presents a flowchart that provides a concise overview of the two-sample MR analysis employed in this study to investigate the causal associations between GERD and cholecystitis, utilizing genetic variants as IVs. Table 1 provides a detailed overview of all GWASs that were included in this investigation.</w:t>
            </w:r>
            <w:r>
              <w:rPr>
                <w:rFonts w:eastAsiaTheme="minorEastAsia"/>
                <w:sz w:val="18"/>
                <w:szCs w:val="18"/>
                <w:shd w:val="clear" w:color="auto" w:fill="FFFFFF"/>
                <w:lang w:val="en-US" w:eastAsia="zh-CN"/>
              </w:rPr>
              <w:t>”</w:t>
            </w:r>
          </w:p>
        </w:tc>
      </w:tr>
      <w:tr w:rsidR="00D8098C" w:rsidRPr="00B853C6" w14:paraId="47D5AE21" w14:textId="3CA8D4AF" w:rsidTr="003D447D">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77777777" w:rsidR="00D8098C" w:rsidRPr="00A1236D" w:rsidRDefault="00D8098C" w:rsidP="00426603">
            <w:pPr>
              <w:spacing w:beforeLines="40" w:before="96" w:afterLines="40" w:after="96" w:line="24" w:lineRule="atLeast"/>
              <w:rPr>
                <w:rFonts w:eastAsia="Times New Roman"/>
                <w:sz w:val="18"/>
                <w:szCs w:val="18"/>
                <w:shd w:val="clear" w:color="auto" w:fill="FFFFFF"/>
                <w:lang w:val="en-GB" w:eastAsia="en-GB"/>
              </w:rPr>
            </w:pPr>
          </w:p>
        </w:tc>
        <w:tc>
          <w:tcPr>
            <w:tcW w:w="4320" w:type="dxa"/>
            <w:shd w:val="clear" w:color="auto" w:fill="EEEEEE"/>
          </w:tcPr>
          <w:p w14:paraId="33F4171D" w14:textId="226B3155" w:rsidR="00D8098C" w:rsidRPr="00EC37AF" w:rsidRDefault="002C2A86" w:rsidP="002C02F2">
            <w:pPr>
              <w:spacing w:beforeLines="40" w:before="96" w:afterLines="40" w:after="96" w:line="24" w:lineRule="atLeast"/>
              <w:jc w:val="both"/>
              <w:rPr>
                <w:rFonts w:eastAsiaTheme="minorEastAsia"/>
                <w:sz w:val="18"/>
                <w:szCs w:val="18"/>
                <w:shd w:val="clear" w:color="auto" w:fill="FFFFFF"/>
                <w:lang w:val="en-US" w:eastAsia="zh-CN"/>
              </w:rPr>
            </w:pPr>
            <w:r>
              <w:rPr>
                <w:rFonts w:eastAsiaTheme="minorEastAsia"/>
                <w:sz w:val="18"/>
                <w:szCs w:val="18"/>
                <w:shd w:val="clear" w:color="auto" w:fill="FFFFFF"/>
                <w:lang w:val="en-GB" w:eastAsia="zh-CN"/>
              </w:rPr>
              <w:t>A</w:t>
            </w:r>
            <w:r>
              <w:rPr>
                <w:rFonts w:eastAsiaTheme="minorEastAsia" w:hint="eastAsia"/>
                <w:sz w:val="18"/>
                <w:szCs w:val="18"/>
                <w:shd w:val="clear" w:color="auto" w:fill="FFFFFF"/>
                <w:lang w:val="en-GB" w:eastAsia="zh-CN"/>
              </w:rPr>
              <w:t xml:space="preserve">nswer: </w:t>
            </w:r>
            <w:r>
              <w:rPr>
                <w:rFonts w:eastAsiaTheme="minorEastAsia"/>
                <w:sz w:val="18"/>
                <w:szCs w:val="18"/>
                <w:shd w:val="clear" w:color="auto" w:fill="FFFFFF"/>
                <w:lang w:val="en-GB" w:eastAsia="zh-CN"/>
              </w:rPr>
              <w:t>“</w:t>
            </w:r>
            <w:r w:rsidR="0015516B" w:rsidRPr="0015516B">
              <w:rPr>
                <w:rFonts w:eastAsiaTheme="minorEastAsia"/>
                <w:sz w:val="18"/>
                <w:szCs w:val="18"/>
                <w:shd w:val="clear" w:color="auto" w:fill="FFFFFF"/>
                <w:lang w:val="en-GB" w:eastAsia="zh-CN"/>
              </w:rPr>
              <w:t>MR is an epidemiological method that utilizes IVs which are highly linked with the exposures (e.g., GERD), such as SNPs, to establish causal relationships in statistical analyses. Fig. 1 presents a flowchart that provides a concise overview of the two-sample MR analysis employed in this study to investigate the causal associations between GERD and cholecystitis, utilizing genetic variants as IVs. Three key assumptions underlie MR analysis: the IV must be strongly correlated with the exposure of interest, must not be associated with any confounders, and must exclusively influence outcomes through the exposure variable.</w:t>
            </w:r>
            <w:r w:rsidR="0015516B">
              <w:rPr>
                <w:rFonts w:eastAsiaTheme="minorEastAsia" w:hint="eastAsia"/>
                <w:sz w:val="18"/>
                <w:szCs w:val="18"/>
                <w:shd w:val="clear" w:color="auto" w:fill="FFFFFF"/>
                <w:lang w:val="en-GB" w:eastAsia="zh-CN"/>
              </w:rPr>
              <w:t xml:space="preserve"> </w:t>
            </w:r>
            <w:r w:rsidR="0015516B" w:rsidRPr="0015516B">
              <w:rPr>
                <w:rFonts w:eastAsiaTheme="minorEastAsia"/>
                <w:sz w:val="18"/>
                <w:szCs w:val="18"/>
                <w:shd w:val="clear" w:color="auto" w:fill="FFFFFF"/>
                <w:lang w:val="en-GB" w:eastAsia="zh-CN"/>
              </w:rPr>
              <w:t>Publicly-available data were used for this study. Specifically, exposure data for GERD</w:t>
            </w:r>
            <w:r w:rsidR="0015516B">
              <w:rPr>
                <w:rFonts w:eastAsiaTheme="minorEastAsia" w:hint="eastAsia"/>
                <w:sz w:val="18"/>
                <w:szCs w:val="18"/>
                <w:shd w:val="clear" w:color="auto" w:fill="FFFFFF"/>
                <w:lang w:val="en-GB" w:eastAsia="zh-CN"/>
              </w:rPr>
              <w:t xml:space="preserve"> </w:t>
            </w:r>
            <w:r w:rsidR="0015516B" w:rsidRPr="0015516B">
              <w:rPr>
                <w:rFonts w:eastAsiaTheme="minorEastAsia"/>
                <w:sz w:val="18"/>
                <w:szCs w:val="18"/>
                <w:shd w:val="clear" w:color="auto" w:fill="FFFFFF"/>
                <w:lang w:val="en-GB" w:eastAsia="zh-CN"/>
              </w:rPr>
              <w:t>were obtained from GWASs with larger sample sizes, comprising 602,604 individuals (N cases= 129,080 cases; N control= 473,524) of European ancestry, which were accessible through the IEU open GWAS project (https://gwas.mrcieu.ac.uk/datasets/ebi-a-GCST90000514/). Additionally, the pooled statistics GWASs for cholecystitis (N cases = 1,930; N control=359,264) were obtained from https://gwas.mrcieu.ac.uk/datasets/ukb-d-K81/. Table 1 provides a detailed overview of all GWASs that were included in this investigation.</w:t>
            </w:r>
            <w:r w:rsidR="0015516B">
              <w:rPr>
                <w:rFonts w:eastAsiaTheme="minorEastAsia"/>
                <w:sz w:val="18"/>
                <w:szCs w:val="18"/>
                <w:shd w:val="clear" w:color="auto" w:fill="FFFFFF"/>
                <w:lang w:val="en-US" w:eastAsia="zh-CN"/>
              </w:rPr>
              <w:t>”</w:t>
            </w:r>
          </w:p>
        </w:tc>
      </w:tr>
      <w:tr w:rsidR="00D8098C" w:rsidRPr="00B853C6" w14:paraId="376A6F82" w14:textId="43693FDC" w:rsidTr="003D447D">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77777777" w:rsidR="00D8098C" w:rsidRPr="00A1236D"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c>
          <w:tcPr>
            <w:tcW w:w="4320" w:type="dxa"/>
          </w:tcPr>
          <w:p w14:paraId="37C3B4C3" w14:textId="196A122F" w:rsidR="00D8098C" w:rsidRPr="00DA7F1D" w:rsidRDefault="00DA7F1D" w:rsidP="002C02F2">
            <w:pPr>
              <w:spacing w:beforeLines="40" w:before="96" w:afterLines="40" w:after="96" w:line="24" w:lineRule="atLeast"/>
              <w:jc w:val="both"/>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Answer:</w:t>
            </w:r>
            <w:r>
              <w:rPr>
                <w:rFonts w:hint="eastAsia"/>
              </w:rPr>
              <w:t xml:space="preserve"> </w:t>
            </w:r>
            <w:r w:rsidRPr="00DA7F1D">
              <w:rPr>
                <w:rFonts w:eastAsiaTheme="minorEastAsia" w:hint="eastAsia"/>
                <w:sz w:val="18"/>
                <w:szCs w:val="18"/>
                <w:shd w:val="clear" w:color="auto" w:fill="FFFFFF"/>
                <w:lang w:val="en-GB" w:eastAsia="zh-CN"/>
              </w:rPr>
              <w:t>“</w:t>
            </w:r>
            <w:r w:rsidR="0020119D" w:rsidRPr="0020119D">
              <w:rPr>
                <w:rFonts w:eastAsiaTheme="minorEastAsia"/>
                <w:sz w:val="18"/>
                <w:szCs w:val="18"/>
                <w:shd w:val="clear" w:color="auto" w:fill="FFFFFF"/>
                <w:lang w:val="en-GB" w:eastAsia="zh-CN"/>
              </w:rPr>
              <w:t xml:space="preserve">Publicly-available data were used for this study. Specifically, exposure data for GERD were obtained from GWASs with larger sample sizes, comprising 602,604 individuals (N cases= 129,080 cases; N control= 473,524) of European ancestry, </w:t>
            </w:r>
            <w:r w:rsidR="0020119D" w:rsidRPr="0020119D">
              <w:rPr>
                <w:rFonts w:eastAsiaTheme="minorEastAsia"/>
                <w:sz w:val="18"/>
                <w:szCs w:val="18"/>
                <w:shd w:val="clear" w:color="auto" w:fill="FFFFFF"/>
                <w:lang w:val="en-GB" w:eastAsia="zh-CN"/>
              </w:rPr>
              <w:lastRenderedPageBreak/>
              <w:t>which were accessible through the IEU open GWAS project (https://gwas.mrcieu.ac.uk/datasets/ebi-a-GCST90000514/). Additionally, the pooled statistics GWASs for cholecystitis (N cases = 1,930; N control=359,264) were obtained from https://gwas.mrcieu.ac.uk/datasets/ukb-d-K81/. Table 1 provides a detailed overview of all GWASs that were included in this investigation.</w:t>
            </w:r>
            <w:r w:rsidRPr="00DA7F1D">
              <w:rPr>
                <w:rFonts w:eastAsiaTheme="minorEastAsia"/>
                <w:sz w:val="18"/>
                <w:szCs w:val="18"/>
                <w:shd w:val="clear" w:color="auto" w:fill="FFFFFF"/>
                <w:lang w:val="en-GB" w:eastAsia="zh-CN"/>
              </w:rPr>
              <w:t>”</w:t>
            </w:r>
          </w:p>
        </w:tc>
      </w:tr>
      <w:tr w:rsidR="00D8098C" w:rsidRPr="00B853C6" w14:paraId="04B065C7" w14:textId="72F11B68" w:rsidTr="003D447D">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26B556E6" w14:textId="3949A7F7" w:rsidR="00D8098C" w:rsidRPr="00DA7F1D" w:rsidRDefault="00DA7F1D"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nswer:</w:t>
            </w:r>
            <w:r>
              <w:t xml:space="preserve"> </w:t>
            </w:r>
            <w:r>
              <w:rPr>
                <w:rFonts w:eastAsiaTheme="minorEastAsia"/>
                <w:lang w:eastAsia="zh-CN"/>
              </w:rPr>
              <w:t>“</w:t>
            </w:r>
            <w:r w:rsidR="0020119D" w:rsidRPr="0020119D">
              <w:rPr>
                <w:rFonts w:eastAsiaTheme="minorEastAsia"/>
                <w:sz w:val="18"/>
                <w:szCs w:val="18"/>
                <w:lang w:val="en-GB" w:eastAsia="zh-CN"/>
              </w:rPr>
              <w:t>Our study identified SNPs linked to GERD at a genome-wide significant level (p &lt; 5 × 10</w:t>
            </w:r>
            <w:r w:rsidR="0020119D" w:rsidRPr="0020119D">
              <w:rPr>
                <w:rFonts w:eastAsiaTheme="minorEastAsia"/>
                <w:sz w:val="18"/>
                <w:szCs w:val="18"/>
                <w:vertAlign w:val="superscript"/>
                <w:lang w:val="en-GB" w:eastAsia="zh-CN"/>
              </w:rPr>
              <w:t>−8</w:t>
            </w:r>
            <w:r w:rsidR="0020119D" w:rsidRPr="0020119D">
              <w:rPr>
                <w:rFonts w:eastAsiaTheme="minorEastAsia"/>
                <w:sz w:val="18"/>
                <w:szCs w:val="18"/>
                <w:lang w:val="en-GB" w:eastAsia="zh-CN"/>
              </w:rPr>
              <w:t xml:space="preserve">), while also considering factors such as linkage disequilibrium (LD, R2 </w:t>
            </w:r>
            <w:r w:rsidR="0020119D" w:rsidRPr="0020119D">
              <w:rPr>
                <w:rFonts w:eastAsiaTheme="minorEastAsia" w:hint="eastAsia"/>
                <w:sz w:val="18"/>
                <w:szCs w:val="18"/>
                <w:lang w:val="en-GB" w:eastAsia="zh-CN"/>
              </w:rPr>
              <w:t>≤</w:t>
            </w:r>
            <w:r w:rsidR="0020119D" w:rsidRPr="0020119D">
              <w:rPr>
                <w:rFonts w:eastAsiaTheme="minorEastAsia"/>
                <w:sz w:val="18"/>
                <w:szCs w:val="18"/>
                <w:lang w:val="en-GB" w:eastAsia="zh-CN"/>
              </w:rPr>
              <w:t xml:space="preserve"> 0.001) and genetic clumping distance &lt; 10,000 kb. If a specific exposure SNP did not exist in the outcome GWAS, a proxy SNP in linkage disequilibrium with the exposure SNP (minimum LD R</w:t>
            </w:r>
            <w:r w:rsidR="0020119D" w:rsidRPr="002C02F2">
              <w:rPr>
                <w:rFonts w:eastAsiaTheme="minorEastAsia"/>
                <w:sz w:val="18"/>
                <w:szCs w:val="18"/>
                <w:vertAlign w:val="superscript"/>
                <w:lang w:val="en-GB" w:eastAsia="zh-CN"/>
              </w:rPr>
              <w:t>2</w:t>
            </w:r>
            <w:r w:rsidR="0020119D" w:rsidRPr="0020119D">
              <w:rPr>
                <w:rFonts w:eastAsiaTheme="minorEastAsia"/>
                <w:sz w:val="18"/>
                <w:szCs w:val="18"/>
                <w:lang w:val="en-GB" w:eastAsia="zh-CN"/>
              </w:rPr>
              <w:t xml:space="preserve"> value of 0.8) was used. To avoid bias caused by weak proxies, the R</w:t>
            </w:r>
            <w:r w:rsidR="0020119D" w:rsidRPr="0020119D">
              <w:rPr>
                <w:rFonts w:eastAsiaTheme="minorEastAsia"/>
                <w:sz w:val="18"/>
                <w:szCs w:val="18"/>
                <w:vertAlign w:val="superscript"/>
                <w:lang w:val="en-GB" w:eastAsia="zh-CN"/>
              </w:rPr>
              <w:t xml:space="preserve">2 </w:t>
            </w:r>
            <w:r w:rsidR="0020119D" w:rsidRPr="0020119D">
              <w:rPr>
                <w:rFonts w:eastAsiaTheme="minorEastAsia"/>
                <w:sz w:val="18"/>
                <w:szCs w:val="18"/>
                <w:lang w:val="en-GB" w:eastAsia="zh-CN"/>
              </w:rPr>
              <w:t>and F-statistics for each SNP were computed. The R</w:t>
            </w:r>
            <w:r w:rsidR="0020119D" w:rsidRPr="0020119D">
              <w:rPr>
                <w:rFonts w:eastAsiaTheme="minorEastAsia"/>
                <w:sz w:val="18"/>
                <w:szCs w:val="18"/>
                <w:vertAlign w:val="superscript"/>
                <w:lang w:val="en-GB" w:eastAsia="zh-CN"/>
              </w:rPr>
              <w:t>2</w:t>
            </w:r>
            <w:r w:rsidR="0020119D" w:rsidRPr="0020119D">
              <w:rPr>
                <w:rFonts w:eastAsiaTheme="minorEastAsia"/>
                <w:sz w:val="18"/>
                <w:szCs w:val="18"/>
                <w:lang w:val="en-GB" w:eastAsia="zh-CN"/>
              </w:rPr>
              <w:t xml:space="preserve"> value denotes the fraction of variability in a risk factor accounted for by the IVs. The F-statistic, commonly employed as an indicator of the potency of the relationship between instruments and the exposure of interest, is deemed weak if it falls below a threshold of F &lt; 10; such weak instruments are precluded from the MR analysis.</w:t>
            </w:r>
            <w:r w:rsidR="0020119D">
              <w:t xml:space="preserve"> </w:t>
            </w:r>
            <w:r w:rsidR="00D963C4">
              <w:rPr>
                <w:rFonts w:eastAsiaTheme="minorEastAsia"/>
                <w:sz w:val="18"/>
                <w:szCs w:val="18"/>
                <w:lang w:val="en-GB" w:eastAsia="zh-CN"/>
              </w:rPr>
              <w:t>Additional file</w:t>
            </w:r>
            <w:r w:rsidR="0020119D" w:rsidRPr="0020119D">
              <w:rPr>
                <w:rFonts w:eastAsiaTheme="minorEastAsia"/>
                <w:sz w:val="18"/>
                <w:szCs w:val="18"/>
                <w:lang w:val="en-GB" w:eastAsia="zh-CN"/>
              </w:rPr>
              <w:t xml:space="preserve"> </w:t>
            </w:r>
            <w:r w:rsidR="001C4AE7">
              <w:rPr>
                <w:rFonts w:eastAsiaTheme="minorEastAsia"/>
                <w:sz w:val="18"/>
                <w:szCs w:val="18"/>
                <w:lang w:val="en-GB" w:eastAsia="zh-CN"/>
              </w:rPr>
              <w:t>1-2</w:t>
            </w:r>
            <w:r w:rsidR="0020119D" w:rsidRPr="0020119D">
              <w:rPr>
                <w:rFonts w:eastAsiaTheme="minorEastAsia"/>
                <w:sz w:val="18"/>
                <w:szCs w:val="18"/>
                <w:lang w:val="en-GB" w:eastAsia="zh-CN"/>
              </w:rPr>
              <w:t xml:space="preserve"> provide detailed information on each SNP, including the EA and effect allele frequency (EAF), as well as estimations of their associations with GERD and cholecystitis, including the beta, SE, and P values.</w:t>
            </w:r>
            <w:r>
              <w:rPr>
                <w:rFonts w:eastAsiaTheme="minorEastAsia"/>
                <w:sz w:val="18"/>
                <w:szCs w:val="18"/>
                <w:lang w:val="en-GB" w:eastAsia="zh-CN"/>
              </w:rPr>
              <w:t>”</w:t>
            </w:r>
          </w:p>
        </w:tc>
      </w:tr>
      <w:tr w:rsidR="00D8098C" w:rsidRPr="00B853C6" w14:paraId="215DDE8E" w14:textId="5C8C984B" w:rsidTr="003D447D">
        <w:tc>
          <w:tcPr>
            <w:tcW w:w="587"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77777777" w:rsidR="00D8098C" w:rsidRPr="00A1236D"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c>
          <w:tcPr>
            <w:tcW w:w="4320" w:type="dxa"/>
          </w:tcPr>
          <w:p w14:paraId="18BB4B57" w14:textId="2A3CE5D1" w:rsidR="00D8098C" w:rsidRPr="00587B18" w:rsidRDefault="00587B18" w:rsidP="002C02F2">
            <w:pPr>
              <w:spacing w:beforeLines="40" w:before="96" w:afterLines="40" w:after="96" w:line="24" w:lineRule="atLeast"/>
              <w:jc w:val="both"/>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Answer:</w:t>
            </w:r>
            <w:r>
              <w:rPr>
                <w:rFonts w:eastAsiaTheme="minorEastAsia" w:hint="eastAsia"/>
                <w:sz w:val="18"/>
                <w:szCs w:val="18"/>
                <w:shd w:val="clear" w:color="auto" w:fill="FFFFFF"/>
                <w:lang w:val="en-GB" w:eastAsia="zh-CN"/>
              </w:rPr>
              <w:t>“</w:t>
            </w:r>
            <w:r w:rsidR="006656A7" w:rsidRPr="006656A7">
              <w:rPr>
                <w:rFonts w:eastAsiaTheme="minorEastAsia"/>
                <w:sz w:val="18"/>
                <w:szCs w:val="18"/>
                <w:shd w:val="clear" w:color="auto" w:fill="FFFFFF"/>
                <w:lang w:val="en-GB" w:eastAsia="zh-CN"/>
              </w:rPr>
              <w:t>exposure data for GERD were obtained from GWASs with larger sample sizes, comprising 602,604 individuals (N cases= 129,080 cases; N control= 473,524) of European ancestry, which were accessible through the IEU open GWAS project (https://gwas.mrcieu.ac.uk/datasets/ebi-a-GCST90000514/). Additionally, the pooled statistics GWASs for cholecystitis (N cases = 1,930; N control=359,264) were obtained from https://gwas.mrcieu.ac.uk/datasets/ukb-d-K81/.</w:t>
            </w:r>
            <w:r w:rsidR="006656A7">
              <w:t xml:space="preserve"> </w:t>
            </w:r>
            <w:r w:rsidR="006656A7">
              <w:rPr>
                <w:rFonts w:eastAsiaTheme="minorEastAsia" w:hint="eastAsia"/>
                <w:lang w:eastAsia="zh-CN"/>
              </w:rPr>
              <w:t>T</w:t>
            </w:r>
            <w:r w:rsidR="006656A7" w:rsidRPr="006656A7">
              <w:rPr>
                <w:rFonts w:eastAsiaTheme="minorEastAsia"/>
                <w:sz w:val="18"/>
                <w:szCs w:val="18"/>
                <w:shd w:val="clear" w:color="auto" w:fill="FFFFFF"/>
                <w:lang w:val="en-GB" w:eastAsia="zh-CN"/>
              </w:rPr>
              <w:t>he reliance on self-reported GERD diagnosis may have affected the reliability of the MR results</w:t>
            </w:r>
            <w:r w:rsidRPr="00587B18">
              <w:rPr>
                <w:rFonts w:eastAsiaTheme="minorEastAsia"/>
                <w:sz w:val="18"/>
                <w:szCs w:val="18"/>
                <w:shd w:val="clear" w:color="auto" w:fill="FFFFFF"/>
                <w:lang w:val="en-GB" w:eastAsia="zh-CN"/>
              </w:rPr>
              <w:t>.</w:t>
            </w:r>
            <w:r>
              <w:rPr>
                <w:rFonts w:eastAsiaTheme="minorEastAsia" w:hint="eastAsia"/>
                <w:sz w:val="18"/>
                <w:szCs w:val="18"/>
                <w:shd w:val="clear" w:color="auto" w:fill="FFFFFF"/>
                <w:lang w:val="en-GB" w:eastAsia="zh-CN"/>
              </w:rPr>
              <w:t>”</w:t>
            </w:r>
          </w:p>
        </w:tc>
      </w:tr>
      <w:tr w:rsidR="00D8098C" w:rsidRPr="00B853C6" w14:paraId="69A6C8B1" w14:textId="39D94CE4" w:rsidTr="003D447D">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77777777" w:rsidR="00D8098C" w:rsidRPr="00A1236D"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c>
          <w:tcPr>
            <w:tcW w:w="4320" w:type="dxa"/>
            <w:shd w:val="clear" w:color="auto" w:fill="EEEEEE"/>
          </w:tcPr>
          <w:p w14:paraId="6067A95B" w14:textId="02B40D86" w:rsidR="00D8098C" w:rsidRPr="004A7ACB" w:rsidRDefault="004A7ACB" w:rsidP="002C02F2">
            <w:pPr>
              <w:spacing w:beforeLines="40" w:before="96" w:afterLines="40" w:after="96" w:line="24" w:lineRule="atLeast"/>
              <w:jc w:val="both"/>
              <w:textAlignment w:val="baseline"/>
              <w:rPr>
                <w:rFonts w:eastAsiaTheme="minorEastAsia"/>
                <w:sz w:val="18"/>
                <w:szCs w:val="18"/>
                <w:shd w:val="clear" w:color="auto" w:fill="FFFFFF"/>
                <w:lang w:val="en-GB" w:eastAsia="zh-CN"/>
              </w:rPr>
            </w:pPr>
            <w:r>
              <w:rPr>
                <w:rFonts w:eastAsiaTheme="minorEastAsia"/>
                <w:sz w:val="18"/>
                <w:szCs w:val="18"/>
                <w:shd w:val="clear" w:color="auto" w:fill="FFFFFF"/>
                <w:lang w:val="en-GB" w:eastAsia="zh-CN"/>
              </w:rPr>
              <w:t>A</w:t>
            </w:r>
            <w:r>
              <w:rPr>
                <w:rFonts w:eastAsiaTheme="minorEastAsia" w:hint="eastAsia"/>
                <w:sz w:val="18"/>
                <w:szCs w:val="18"/>
                <w:shd w:val="clear" w:color="auto" w:fill="FFFFFF"/>
                <w:lang w:val="en-GB" w:eastAsia="zh-CN"/>
              </w:rPr>
              <w:t xml:space="preserve">nswer: </w:t>
            </w:r>
            <w:r>
              <w:rPr>
                <w:rFonts w:eastAsiaTheme="minorEastAsia"/>
                <w:sz w:val="18"/>
                <w:szCs w:val="18"/>
                <w:shd w:val="clear" w:color="auto" w:fill="FFFFFF"/>
                <w:lang w:val="en-GB" w:eastAsia="zh-CN"/>
              </w:rPr>
              <w:t>“</w:t>
            </w:r>
            <w:r w:rsidR="006656A7" w:rsidRPr="006656A7">
              <w:rPr>
                <w:rFonts w:eastAsiaTheme="minorEastAsia"/>
                <w:sz w:val="18"/>
                <w:szCs w:val="18"/>
                <w:shd w:val="clear" w:color="auto" w:fill="FFFFFF"/>
                <w:lang w:val="en-GB" w:eastAsia="zh-CN"/>
              </w:rPr>
              <w:t xml:space="preserve">Ethical approval was deemed unnecessary for the present study, which utilized aggregate-level genetic data sourced from publicly </w:t>
            </w:r>
            <w:r w:rsidR="006656A7" w:rsidRPr="006656A7">
              <w:rPr>
                <w:rFonts w:eastAsiaTheme="minorEastAsia"/>
                <w:sz w:val="18"/>
                <w:szCs w:val="18"/>
                <w:shd w:val="clear" w:color="auto" w:fill="FFFFFF"/>
                <w:lang w:val="en-GB" w:eastAsia="zh-CN"/>
              </w:rPr>
              <w:lastRenderedPageBreak/>
              <w:t>accessible repositories of extensive genome-wide association studies (GWASs)</w:t>
            </w:r>
            <w:r w:rsidRPr="004A7ACB">
              <w:rPr>
                <w:rFonts w:eastAsiaTheme="minorEastAsia"/>
                <w:sz w:val="18"/>
                <w:szCs w:val="18"/>
                <w:shd w:val="clear" w:color="auto" w:fill="FFFFFF"/>
                <w:lang w:val="en-GB" w:eastAsia="zh-CN"/>
              </w:rPr>
              <w:t>.</w:t>
            </w:r>
            <w:r>
              <w:rPr>
                <w:rFonts w:eastAsiaTheme="minorEastAsia"/>
                <w:sz w:val="18"/>
                <w:szCs w:val="18"/>
                <w:shd w:val="clear" w:color="auto" w:fill="FFFFFF"/>
                <w:lang w:val="en-GB" w:eastAsia="zh-CN"/>
              </w:rPr>
              <w:t>”</w:t>
            </w:r>
          </w:p>
        </w:tc>
      </w:tr>
      <w:tr w:rsidR="00D8098C" w:rsidRPr="00B853C6" w14:paraId="23EA53EC" w14:textId="1D3E4E77" w:rsidTr="003D447D">
        <w:tc>
          <w:tcPr>
            <w:tcW w:w="587"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5</w:t>
            </w:r>
          </w:p>
        </w:tc>
        <w:tc>
          <w:tcPr>
            <w:tcW w:w="1822"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A54DE1B" w14:textId="57B527AE" w:rsidR="00DC675E" w:rsidRPr="00DC675E" w:rsidRDefault="00DC675E"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 xml:space="preserve">nswer: </w:t>
            </w:r>
            <w:r w:rsidR="00CE12B1">
              <w:rPr>
                <w:rFonts w:eastAsiaTheme="minorEastAsia"/>
                <w:sz w:val="18"/>
                <w:szCs w:val="18"/>
                <w:lang w:val="en-GB" w:eastAsia="zh-CN"/>
              </w:rPr>
              <w:t>“</w:t>
            </w:r>
            <w:r w:rsidR="006656A7" w:rsidRPr="006656A7">
              <w:rPr>
                <w:rFonts w:eastAsiaTheme="minorEastAsia"/>
                <w:sz w:val="18"/>
                <w:szCs w:val="18"/>
                <w:lang w:val="en-GB" w:eastAsia="zh-CN"/>
              </w:rPr>
              <w:t>Three key assumptions underlie MR analysis: the IV must be strongly correlated with the exposure of interest, must not be associated with any confounders, and must exclusively influence outcomes through the exposure variable.</w:t>
            </w:r>
            <w:r w:rsidR="006656A7">
              <w:rPr>
                <w:rFonts w:eastAsiaTheme="minorEastAsia" w:hint="eastAsia"/>
                <w:sz w:val="18"/>
                <w:szCs w:val="18"/>
                <w:lang w:val="en-GB" w:eastAsia="zh-CN"/>
              </w:rPr>
              <w:t xml:space="preserve"> </w:t>
            </w:r>
            <w:r w:rsidR="006656A7" w:rsidRPr="006656A7">
              <w:rPr>
                <w:rFonts w:eastAsiaTheme="minorEastAsia"/>
                <w:sz w:val="18"/>
                <w:szCs w:val="18"/>
                <w:lang w:val="en-GB" w:eastAsia="zh-CN"/>
              </w:rPr>
              <w:t>The potential pleiotropic effects of the instrumental SNPs were evaluated using MR-Egger regression. To assess heterogeneity among the various genetic variations, the Cochran's test and the I</w:t>
            </w:r>
            <w:r w:rsidR="006656A7" w:rsidRPr="006656A7">
              <w:rPr>
                <w:rFonts w:eastAsiaTheme="minorEastAsia"/>
                <w:sz w:val="18"/>
                <w:szCs w:val="18"/>
                <w:vertAlign w:val="superscript"/>
                <w:lang w:val="en-GB" w:eastAsia="zh-CN"/>
              </w:rPr>
              <w:t xml:space="preserve">2 </w:t>
            </w:r>
            <w:r w:rsidR="006656A7" w:rsidRPr="006656A7">
              <w:rPr>
                <w:rFonts w:eastAsiaTheme="minorEastAsia"/>
                <w:sz w:val="18"/>
                <w:szCs w:val="18"/>
                <w:lang w:val="en-GB" w:eastAsia="zh-CN"/>
              </w:rPr>
              <w:t>test were employed. Furthermore, a leave-one-out sensitivity analysis was conducted to verify the conformity of each SNP. Funnel plots were used to present the heterogeneity of the results, and asymmetric plots indicated the absence of heterogeneity</w:t>
            </w:r>
            <w:r w:rsidR="00CE12B1" w:rsidRPr="00CE12B1">
              <w:rPr>
                <w:rFonts w:eastAsiaTheme="minorEastAsia"/>
                <w:sz w:val="18"/>
                <w:szCs w:val="18"/>
                <w:lang w:val="en-GB" w:eastAsia="zh-CN"/>
              </w:rPr>
              <w:t>.</w:t>
            </w:r>
            <w:r w:rsidR="00CE12B1">
              <w:rPr>
                <w:rFonts w:eastAsiaTheme="minorEastAsia"/>
                <w:sz w:val="18"/>
                <w:szCs w:val="18"/>
                <w:lang w:val="en-GB" w:eastAsia="zh-CN"/>
              </w:rPr>
              <w:t>”</w:t>
            </w:r>
          </w:p>
        </w:tc>
      </w:tr>
      <w:tr w:rsidR="00D8098C" w:rsidRPr="00B853C6" w14:paraId="6209F8C8" w14:textId="78A53B40" w:rsidTr="003D447D">
        <w:tc>
          <w:tcPr>
            <w:tcW w:w="587"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22"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5DF0C4B" w14:textId="77777777" w:rsidR="00D8098C" w:rsidRDefault="00D8098C" w:rsidP="002C02F2">
            <w:pPr>
              <w:spacing w:beforeLines="40" w:before="96" w:afterLines="40" w:after="96" w:line="24" w:lineRule="atLeast"/>
              <w:jc w:val="both"/>
              <w:rPr>
                <w:rFonts w:eastAsia="Times New Roman"/>
                <w:sz w:val="18"/>
                <w:szCs w:val="18"/>
                <w:lang w:val="en-GB" w:eastAsia="en-GB"/>
              </w:rPr>
            </w:pPr>
          </w:p>
        </w:tc>
      </w:tr>
      <w:tr w:rsidR="00D8098C" w:rsidRPr="00B853C6" w14:paraId="4346E621" w14:textId="11B8B572" w:rsidTr="003D447D">
        <w:tc>
          <w:tcPr>
            <w:tcW w:w="587" w:type="dxa"/>
            <w:shd w:val="clear" w:color="auto" w:fill="auto"/>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6159846" w14:textId="4787A31E" w:rsidR="00D8098C" w:rsidRPr="002A2838" w:rsidRDefault="002A2838"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nswer:</w:t>
            </w:r>
            <w:r w:rsidR="00D76F31">
              <w:t xml:space="preserve"> </w:t>
            </w:r>
            <w:r w:rsidR="00D76F31">
              <w:rPr>
                <w:rFonts w:eastAsiaTheme="minorEastAsia"/>
                <w:lang w:eastAsia="zh-CN"/>
              </w:rPr>
              <w:t>“</w:t>
            </w:r>
            <w:r w:rsidR="00D76F31" w:rsidRPr="00D76F31">
              <w:rPr>
                <w:rFonts w:eastAsiaTheme="minorEastAsia"/>
                <w:sz w:val="18"/>
                <w:szCs w:val="18"/>
                <w:lang w:val="en-GB" w:eastAsia="zh-CN"/>
              </w:rPr>
              <w:t>Our study identified SNPs linked to GERD at a genome-wide significant level (p &lt; 5 × 10</w:t>
            </w:r>
            <w:r w:rsidR="00D76F31" w:rsidRPr="00D76F31">
              <w:rPr>
                <w:rFonts w:eastAsiaTheme="minorEastAsia"/>
                <w:sz w:val="18"/>
                <w:szCs w:val="18"/>
                <w:vertAlign w:val="superscript"/>
                <w:lang w:val="en-GB" w:eastAsia="zh-CN"/>
              </w:rPr>
              <w:t>−8</w:t>
            </w:r>
            <w:r w:rsidR="00D76F31" w:rsidRPr="00D76F31">
              <w:rPr>
                <w:rFonts w:eastAsiaTheme="minorEastAsia"/>
                <w:sz w:val="18"/>
                <w:szCs w:val="18"/>
                <w:lang w:val="en-GB" w:eastAsia="zh-CN"/>
              </w:rPr>
              <w:t>), while also considering factors such as linkage disequilibrium (LD, R</w:t>
            </w:r>
            <w:r w:rsidR="00D76F31" w:rsidRPr="00D76F31">
              <w:rPr>
                <w:rFonts w:eastAsiaTheme="minorEastAsia"/>
                <w:sz w:val="18"/>
                <w:szCs w:val="18"/>
                <w:vertAlign w:val="superscript"/>
                <w:lang w:val="en-GB" w:eastAsia="zh-CN"/>
              </w:rPr>
              <w:t>2</w:t>
            </w:r>
            <w:r w:rsidR="00D76F31" w:rsidRPr="00D76F31">
              <w:rPr>
                <w:rFonts w:eastAsiaTheme="minorEastAsia"/>
                <w:sz w:val="18"/>
                <w:szCs w:val="18"/>
                <w:lang w:val="en-GB" w:eastAsia="zh-CN"/>
              </w:rPr>
              <w:t xml:space="preserve"> </w:t>
            </w:r>
            <w:r w:rsidR="00D76F31" w:rsidRPr="00D76F31">
              <w:rPr>
                <w:rFonts w:eastAsiaTheme="minorEastAsia" w:hint="eastAsia"/>
                <w:sz w:val="18"/>
                <w:szCs w:val="18"/>
                <w:lang w:val="en-GB" w:eastAsia="zh-CN"/>
              </w:rPr>
              <w:t>≤</w:t>
            </w:r>
            <w:r w:rsidR="00D76F31" w:rsidRPr="00D76F31">
              <w:rPr>
                <w:rFonts w:eastAsiaTheme="minorEastAsia"/>
                <w:sz w:val="18"/>
                <w:szCs w:val="18"/>
                <w:lang w:val="en-GB" w:eastAsia="zh-CN"/>
              </w:rPr>
              <w:t xml:space="preserve"> 0.001) and genetic clumping distance &lt; 10,000 kb. If a specific exposure SNP did not exist in the outcome GWAS, a proxy SNP in linkage disequilibrium with the exposure SNP (minimum LD R</w:t>
            </w:r>
            <w:r w:rsidR="00D76F31" w:rsidRPr="00D76F31">
              <w:rPr>
                <w:rFonts w:eastAsiaTheme="minorEastAsia"/>
                <w:sz w:val="18"/>
                <w:szCs w:val="18"/>
                <w:vertAlign w:val="superscript"/>
                <w:lang w:val="en-GB" w:eastAsia="zh-CN"/>
              </w:rPr>
              <w:t>2</w:t>
            </w:r>
            <w:r w:rsidR="00D76F31" w:rsidRPr="00D76F31">
              <w:rPr>
                <w:rFonts w:eastAsiaTheme="minorEastAsia"/>
                <w:sz w:val="18"/>
                <w:szCs w:val="18"/>
                <w:lang w:val="en-GB" w:eastAsia="zh-CN"/>
              </w:rPr>
              <w:t xml:space="preserve"> value of 0.8) was used. To avoid bias caused by weak proxies, the R</w:t>
            </w:r>
            <w:r w:rsidR="00D76F31" w:rsidRPr="00D76F31">
              <w:rPr>
                <w:rFonts w:eastAsiaTheme="minorEastAsia"/>
                <w:sz w:val="18"/>
                <w:szCs w:val="18"/>
                <w:vertAlign w:val="superscript"/>
                <w:lang w:val="en-GB" w:eastAsia="zh-CN"/>
              </w:rPr>
              <w:t>2</w:t>
            </w:r>
            <w:r w:rsidR="00D76F31" w:rsidRPr="00D76F31">
              <w:rPr>
                <w:rFonts w:eastAsiaTheme="minorEastAsia"/>
                <w:sz w:val="18"/>
                <w:szCs w:val="18"/>
                <w:lang w:val="en-GB" w:eastAsia="zh-CN"/>
              </w:rPr>
              <w:t xml:space="preserve"> and F-statistics for each SNP were computed.</w:t>
            </w:r>
            <w:r>
              <w:rPr>
                <w:rFonts w:eastAsiaTheme="minorEastAsia"/>
                <w:sz w:val="18"/>
                <w:szCs w:val="18"/>
                <w:lang w:val="en-GB" w:eastAsia="zh-CN"/>
              </w:rPr>
              <w:t>”</w:t>
            </w:r>
          </w:p>
        </w:tc>
      </w:tr>
      <w:tr w:rsidR="00D8098C" w:rsidRPr="00B853C6" w14:paraId="642A4D4B" w14:textId="4880F3BA" w:rsidTr="003D447D">
        <w:tc>
          <w:tcPr>
            <w:tcW w:w="587" w:type="dxa"/>
            <w:shd w:val="clear" w:color="auto" w:fill="EEEEEE"/>
          </w:tcPr>
          <w:p w14:paraId="11F7484C"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77777777" w:rsidR="00D8098C" w:rsidRPr="00A1236D" w:rsidRDefault="00D8098C" w:rsidP="00D76F31">
            <w:pPr>
              <w:spacing w:beforeLines="40" w:before="96" w:afterLines="40" w:after="96" w:line="24" w:lineRule="atLeast"/>
              <w:jc w:val="both"/>
              <w:rPr>
                <w:rFonts w:eastAsia="Times New Roman"/>
                <w:sz w:val="18"/>
                <w:szCs w:val="18"/>
                <w:lang w:val="en-GB" w:eastAsia="en-GB"/>
              </w:rPr>
            </w:pPr>
          </w:p>
        </w:tc>
        <w:tc>
          <w:tcPr>
            <w:tcW w:w="4320" w:type="dxa"/>
            <w:shd w:val="clear" w:color="auto" w:fill="EEEEEE"/>
          </w:tcPr>
          <w:p w14:paraId="1612F89F" w14:textId="028CDE5F" w:rsidR="00D8098C" w:rsidRPr="009B36E6" w:rsidRDefault="009B36E6"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 xml:space="preserve">nswer: </w:t>
            </w:r>
            <w:r w:rsidR="00D76F31">
              <w:rPr>
                <w:rFonts w:eastAsiaTheme="minorEastAsia"/>
                <w:lang w:eastAsia="zh-CN"/>
              </w:rPr>
              <w:t>“</w:t>
            </w:r>
            <w:r w:rsidR="00D76F31" w:rsidRPr="00D76F31">
              <w:rPr>
                <w:rFonts w:eastAsiaTheme="minorEastAsia"/>
                <w:sz w:val="18"/>
                <w:szCs w:val="18"/>
                <w:lang w:val="en-GB" w:eastAsia="zh-CN"/>
              </w:rPr>
              <w:t>Our study identified SNPs linked to GERD at a genome-wide significant level (p &lt; 5 × 10</w:t>
            </w:r>
            <w:r w:rsidR="00D76F31" w:rsidRPr="00D76F31">
              <w:rPr>
                <w:rFonts w:eastAsiaTheme="minorEastAsia"/>
                <w:sz w:val="18"/>
                <w:szCs w:val="18"/>
                <w:vertAlign w:val="superscript"/>
                <w:lang w:val="en-GB" w:eastAsia="zh-CN"/>
              </w:rPr>
              <w:t>−8</w:t>
            </w:r>
            <w:r w:rsidR="00D76F31" w:rsidRPr="00D76F31">
              <w:rPr>
                <w:rFonts w:eastAsiaTheme="minorEastAsia"/>
                <w:sz w:val="18"/>
                <w:szCs w:val="18"/>
                <w:lang w:val="en-GB" w:eastAsia="zh-CN"/>
              </w:rPr>
              <w:t>), while also considering factors such as linkage disequilibrium (LD, R</w:t>
            </w:r>
            <w:r w:rsidR="00D76F31" w:rsidRPr="00D76F31">
              <w:rPr>
                <w:rFonts w:eastAsiaTheme="minorEastAsia"/>
                <w:sz w:val="18"/>
                <w:szCs w:val="18"/>
                <w:vertAlign w:val="superscript"/>
                <w:lang w:val="en-GB" w:eastAsia="zh-CN"/>
              </w:rPr>
              <w:t>2</w:t>
            </w:r>
            <w:r w:rsidR="00D76F31" w:rsidRPr="00D76F31">
              <w:rPr>
                <w:rFonts w:eastAsiaTheme="minorEastAsia"/>
                <w:sz w:val="18"/>
                <w:szCs w:val="18"/>
                <w:lang w:val="en-GB" w:eastAsia="zh-CN"/>
              </w:rPr>
              <w:t xml:space="preserve"> </w:t>
            </w:r>
            <w:r w:rsidR="00D76F31" w:rsidRPr="00D76F31">
              <w:rPr>
                <w:rFonts w:eastAsiaTheme="minorEastAsia" w:hint="eastAsia"/>
                <w:sz w:val="18"/>
                <w:szCs w:val="18"/>
                <w:lang w:val="en-GB" w:eastAsia="zh-CN"/>
              </w:rPr>
              <w:t>≤</w:t>
            </w:r>
            <w:r w:rsidR="00D76F31" w:rsidRPr="00D76F31">
              <w:rPr>
                <w:rFonts w:eastAsiaTheme="minorEastAsia"/>
                <w:sz w:val="18"/>
                <w:szCs w:val="18"/>
                <w:lang w:val="en-GB" w:eastAsia="zh-CN"/>
              </w:rPr>
              <w:t xml:space="preserve"> 0.001) and genetic clumping distance &lt; 10,000 kb. If a specific exposure SNP did not exist in the outcome GWAS, a proxy SNP in linkage disequilibrium with the exposure SNP (minimum LD R</w:t>
            </w:r>
            <w:r w:rsidR="00D76F31" w:rsidRPr="00D76F31">
              <w:rPr>
                <w:rFonts w:eastAsiaTheme="minorEastAsia"/>
                <w:sz w:val="18"/>
                <w:szCs w:val="18"/>
                <w:vertAlign w:val="superscript"/>
                <w:lang w:val="en-GB" w:eastAsia="zh-CN"/>
              </w:rPr>
              <w:t>2</w:t>
            </w:r>
            <w:r w:rsidR="00D76F31" w:rsidRPr="00D76F31">
              <w:rPr>
                <w:rFonts w:eastAsiaTheme="minorEastAsia"/>
                <w:sz w:val="18"/>
                <w:szCs w:val="18"/>
                <w:lang w:val="en-GB" w:eastAsia="zh-CN"/>
              </w:rPr>
              <w:t xml:space="preserve"> value of 0.8) was used. To avoid bias caused by weak proxies, the R</w:t>
            </w:r>
            <w:r w:rsidR="00D76F31" w:rsidRPr="00D76F31">
              <w:rPr>
                <w:rFonts w:eastAsiaTheme="minorEastAsia"/>
                <w:sz w:val="18"/>
                <w:szCs w:val="18"/>
                <w:vertAlign w:val="superscript"/>
                <w:lang w:val="en-GB" w:eastAsia="zh-CN"/>
              </w:rPr>
              <w:t>2</w:t>
            </w:r>
            <w:r w:rsidR="00D76F31" w:rsidRPr="00D76F31">
              <w:rPr>
                <w:rFonts w:eastAsiaTheme="minorEastAsia"/>
                <w:sz w:val="18"/>
                <w:szCs w:val="18"/>
                <w:lang w:val="en-GB" w:eastAsia="zh-CN"/>
              </w:rPr>
              <w:t xml:space="preserve"> and F-statistics for each SNP were computed. Seventy-seven SNPs were utilized as IVs following the coordination of effect alleles (EAs) from GWAS in both GERD and cholecystitis. Several MR analysis methods were employed to determine the </w:t>
            </w:r>
            <w:r w:rsidR="00D76F31" w:rsidRPr="00D76F31">
              <w:rPr>
                <w:rFonts w:eastAsiaTheme="minorEastAsia"/>
                <w:sz w:val="18"/>
                <w:szCs w:val="18"/>
                <w:lang w:val="en-GB" w:eastAsia="zh-CN"/>
              </w:rPr>
              <w:lastRenderedPageBreak/>
              <w:t>causal relationship between GERD and cholecystitis, including the inverse-variance weighted (IVW), MR-Egger, weighted median, and weighted mode approaches</w:t>
            </w:r>
            <w:r w:rsidR="002C02F2">
              <w:rPr>
                <w:rFonts w:eastAsiaTheme="minorEastAsia" w:hint="eastAsia"/>
                <w:sz w:val="18"/>
                <w:szCs w:val="18"/>
                <w:lang w:val="en-GB" w:eastAsia="zh-CN"/>
              </w:rPr>
              <w:t>.</w:t>
            </w:r>
            <w:r w:rsidR="00D76F31">
              <w:rPr>
                <w:rFonts w:eastAsiaTheme="minorEastAsia"/>
                <w:sz w:val="18"/>
                <w:szCs w:val="18"/>
                <w:lang w:val="en-GB" w:eastAsia="zh-CN"/>
              </w:rPr>
              <w:t>”</w:t>
            </w:r>
          </w:p>
        </w:tc>
      </w:tr>
      <w:tr w:rsidR="00D8098C" w:rsidRPr="00B853C6" w14:paraId="70378831" w14:textId="0868B0A4" w:rsidTr="003D447D">
        <w:tc>
          <w:tcPr>
            <w:tcW w:w="587" w:type="dxa"/>
            <w:shd w:val="clear" w:color="auto" w:fill="auto"/>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334D44EB" w14:textId="6A41D499" w:rsidR="009B36E6" w:rsidRPr="009B36E6" w:rsidRDefault="009B36E6"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 xml:space="preserve">nswer: </w:t>
            </w:r>
            <w:r>
              <w:rPr>
                <w:rFonts w:eastAsiaTheme="minorEastAsia"/>
                <w:sz w:val="18"/>
                <w:szCs w:val="18"/>
                <w:lang w:val="en-GB" w:eastAsia="zh-CN"/>
              </w:rPr>
              <w:t>“</w:t>
            </w:r>
            <w:r w:rsidR="00D76F31" w:rsidRPr="00D76F31">
              <w:rPr>
                <w:rFonts w:eastAsiaTheme="minorEastAsia"/>
                <w:sz w:val="18"/>
                <w:szCs w:val="18"/>
                <w:lang w:val="en-GB" w:eastAsia="zh-CN"/>
              </w:rPr>
              <w:t>Seventy-seven SNPs were utilized as IVs following the coordination of effect alleles (EAs) from GWAS in both GERD and cholecystitis. Several MR analysis methods were employed to determine the causal relationship between GERD and cholecystitis, including the inverse-variance weighted (IVW), MR-Egger, weighted median, and weighted mode approaches. The random-effects model of IVW was the primary statistical method used in the MR analysis. The IVW method, which combines Wald ratio estimates through inverse variance weighting, was employed to evaluate the causal effect of exposure on the outcomes. MR-Egger regression was used to address potential issues of the causal effects and the directional pleiotropy, which are robust to invalid IVs. Additionally, the weighted median method was employed to provide a consistent estimate of causality, even when up to 50% of the genetic IVs used were invalid. The robustness of the significant findings was further tested by applying the weighted mode method, which accommodated more than 50% of the invalid IVs</w:t>
            </w:r>
            <w:r w:rsidRPr="009B36E6">
              <w:rPr>
                <w:rFonts w:eastAsiaTheme="minorEastAsia"/>
                <w:sz w:val="18"/>
                <w:szCs w:val="18"/>
                <w:lang w:val="en-GB" w:eastAsia="zh-CN"/>
              </w:rPr>
              <w:t>.</w:t>
            </w:r>
            <w:r>
              <w:rPr>
                <w:rFonts w:eastAsiaTheme="minorEastAsia"/>
                <w:sz w:val="18"/>
                <w:szCs w:val="18"/>
                <w:lang w:val="en-GB" w:eastAsia="zh-CN"/>
              </w:rPr>
              <w:t>”</w:t>
            </w:r>
          </w:p>
        </w:tc>
      </w:tr>
      <w:tr w:rsidR="00D8098C" w:rsidRPr="00B853C6" w14:paraId="0D8F3A7E" w14:textId="14623463" w:rsidTr="003D447D">
        <w:tc>
          <w:tcPr>
            <w:tcW w:w="587"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16808665" w14:textId="22A2E2E8" w:rsidR="009B36E6" w:rsidRPr="009B36E6" w:rsidRDefault="009B36E6"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 xml:space="preserve">nswer: </w:t>
            </w:r>
            <w:r>
              <w:rPr>
                <w:rFonts w:eastAsiaTheme="minorEastAsia"/>
                <w:sz w:val="18"/>
                <w:szCs w:val="18"/>
                <w:lang w:val="en-GB" w:eastAsia="zh-CN"/>
              </w:rPr>
              <w:t>“</w:t>
            </w:r>
            <w:r w:rsidR="00D76F31" w:rsidRPr="00D76F31">
              <w:rPr>
                <w:rFonts w:eastAsiaTheme="minorEastAsia"/>
                <w:sz w:val="18"/>
                <w:szCs w:val="18"/>
                <w:lang w:val="en-GB" w:eastAsia="zh-CN"/>
              </w:rPr>
              <w:t>If a specific exposure SNP did not exist in the outcome GWAS, a proxy SNP in linkage disequilibrium with the exposure SNP (minimum LD R</w:t>
            </w:r>
            <w:r w:rsidR="00D76F31" w:rsidRPr="00D76F31">
              <w:rPr>
                <w:rFonts w:eastAsiaTheme="minorEastAsia"/>
                <w:sz w:val="18"/>
                <w:szCs w:val="18"/>
                <w:vertAlign w:val="superscript"/>
                <w:lang w:val="en-GB" w:eastAsia="zh-CN"/>
              </w:rPr>
              <w:t xml:space="preserve">2 </w:t>
            </w:r>
            <w:r w:rsidR="00D76F31" w:rsidRPr="00D76F31">
              <w:rPr>
                <w:rFonts w:eastAsiaTheme="minorEastAsia"/>
                <w:sz w:val="18"/>
                <w:szCs w:val="18"/>
                <w:lang w:val="en-GB" w:eastAsia="zh-CN"/>
              </w:rPr>
              <w:t>value of 0.8) was used.</w:t>
            </w:r>
            <w:r>
              <w:rPr>
                <w:rFonts w:eastAsiaTheme="minorEastAsia"/>
                <w:sz w:val="18"/>
                <w:szCs w:val="18"/>
                <w:lang w:val="en-GB" w:eastAsia="zh-CN"/>
              </w:rPr>
              <w:t>”</w:t>
            </w:r>
          </w:p>
        </w:tc>
      </w:tr>
      <w:tr w:rsidR="00D8098C" w:rsidRPr="00B853C6" w14:paraId="77F037B8" w14:textId="6696FA54" w:rsidTr="003D447D">
        <w:tc>
          <w:tcPr>
            <w:tcW w:w="587"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490E44D4" w14:textId="61F4DB67" w:rsidR="00D8098C" w:rsidRDefault="00AF2FE5" w:rsidP="002C02F2">
            <w:pPr>
              <w:spacing w:beforeLines="40" w:before="96" w:afterLines="40" w:after="96" w:line="24" w:lineRule="atLeast"/>
              <w:jc w:val="both"/>
              <w:rPr>
                <w:rFonts w:eastAsia="Times New Roman"/>
                <w:sz w:val="18"/>
                <w:szCs w:val="18"/>
                <w:lang w:val="en-GB" w:eastAsia="en-GB"/>
              </w:rPr>
            </w:pPr>
            <w:r w:rsidRPr="00AF2FE5">
              <w:rPr>
                <w:rFonts w:eastAsia="Times New Roman"/>
                <w:sz w:val="18"/>
                <w:szCs w:val="18"/>
                <w:lang w:val="en-GB" w:eastAsia="en-GB"/>
              </w:rPr>
              <w:t xml:space="preserve">No </w:t>
            </w:r>
            <w:r w:rsidRPr="00A1236D">
              <w:rPr>
                <w:rFonts w:eastAsia="Times New Roman"/>
                <w:sz w:val="18"/>
                <w:szCs w:val="18"/>
                <w:lang w:val="en-GB" w:eastAsia="en-GB"/>
              </w:rPr>
              <w:t>multiple test</w:t>
            </w:r>
            <w:r w:rsidR="00D76F31">
              <w:rPr>
                <w:rFonts w:eastAsiaTheme="minorEastAsia" w:hint="eastAsia"/>
                <w:sz w:val="18"/>
                <w:szCs w:val="18"/>
                <w:lang w:val="en-GB" w:eastAsia="zh-CN"/>
              </w:rPr>
              <w:t>s</w:t>
            </w:r>
            <w:r w:rsidRPr="00AF2FE5">
              <w:rPr>
                <w:rFonts w:eastAsia="Times New Roman"/>
                <w:sz w:val="18"/>
                <w:szCs w:val="18"/>
                <w:lang w:val="en-GB" w:eastAsia="en-GB"/>
              </w:rPr>
              <w:t xml:space="preserve"> were performed in this study</w:t>
            </w:r>
          </w:p>
        </w:tc>
      </w:tr>
      <w:tr w:rsidR="00D8098C" w:rsidRPr="00B853C6" w14:paraId="585043CE" w14:textId="4922F612" w:rsidTr="003D447D">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720" w:type="dxa"/>
            <w:shd w:val="clear" w:color="auto" w:fill="EEEEEE"/>
          </w:tcPr>
          <w:p w14:paraId="61C50F74" w14:textId="77777777" w:rsidR="00D8098C" w:rsidRPr="00EF754F" w:rsidRDefault="00D8098C" w:rsidP="00426603">
            <w:pPr>
              <w:tabs>
                <w:tab w:val="left" w:pos="1620"/>
              </w:tabs>
              <w:spacing w:beforeLines="40" w:before="96" w:afterLines="40" w:after="96" w:line="24" w:lineRule="atLeast"/>
              <w:rPr>
                <w:rFonts w:eastAsia="Times New Roman"/>
                <w:sz w:val="18"/>
                <w:szCs w:val="18"/>
                <w:lang w:val="en-GB" w:eastAsia="en-GB"/>
              </w:rPr>
            </w:pPr>
          </w:p>
        </w:tc>
        <w:tc>
          <w:tcPr>
            <w:tcW w:w="4320" w:type="dxa"/>
            <w:shd w:val="clear" w:color="auto" w:fill="EEEEEE"/>
          </w:tcPr>
          <w:p w14:paraId="5D46DB2B" w14:textId="6E17431C" w:rsidR="00E97A91" w:rsidRPr="00EF754F" w:rsidRDefault="00E97A91" w:rsidP="002C02F2">
            <w:pPr>
              <w:tabs>
                <w:tab w:val="left" w:pos="1620"/>
              </w:tabs>
              <w:spacing w:beforeLines="40" w:before="96" w:afterLines="40" w:after="96" w:line="24" w:lineRule="atLeast"/>
              <w:jc w:val="both"/>
              <w:rPr>
                <w:rFonts w:eastAsiaTheme="minorEastAsia"/>
                <w:sz w:val="18"/>
                <w:szCs w:val="18"/>
                <w:lang w:val="en-GB" w:eastAsia="zh-CN"/>
              </w:rPr>
            </w:pPr>
            <w:r w:rsidRPr="00EF754F">
              <w:rPr>
                <w:rFonts w:eastAsiaTheme="minorEastAsia"/>
                <w:sz w:val="18"/>
                <w:szCs w:val="18"/>
                <w:lang w:val="en-GB" w:eastAsia="zh-CN"/>
              </w:rPr>
              <w:t>A</w:t>
            </w:r>
            <w:r w:rsidRPr="00EF754F">
              <w:rPr>
                <w:rFonts w:eastAsiaTheme="minorEastAsia" w:hint="eastAsia"/>
                <w:sz w:val="18"/>
                <w:szCs w:val="18"/>
                <w:lang w:val="en-GB" w:eastAsia="zh-CN"/>
              </w:rPr>
              <w:t xml:space="preserve">nswer: </w:t>
            </w:r>
            <w:r w:rsidRPr="00EF754F">
              <w:rPr>
                <w:rFonts w:eastAsiaTheme="minorEastAsia"/>
                <w:sz w:val="18"/>
                <w:szCs w:val="18"/>
                <w:lang w:val="en-GB" w:eastAsia="zh-CN"/>
              </w:rPr>
              <w:t>“</w:t>
            </w:r>
            <w:r w:rsidR="00EF754F" w:rsidRPr="00EF754F">
              <w:rPr>
                <w:rFonts w:eastAsiaTheme="minorEastAsia"/>
                <w:sz w:val="18"/>
                <w:szCs w:val="18"/>
                <w:lang w:val="en-GB" w:eastAsia="zh-CN"/>
              </w:rPr>
              <w:t>To avoid bias caused by weak proxies, the R</w:t>
            </w:r>
            <w:r w:rsidR="00EF754F" w:rsidRPr="00EF754F">
              <w:rPr>
                <w:rFonts w:eastAsiaTheme="minorEastAsia"/>
                <w:sz w:val="18"/>
                <w:szCs w:val="18"/>
                <w:vertAlign w:val="superscript"/>
                <w:lang w:val="en-GB" w:eastAsia="zh-CN"/>
              </w:rPr>
              <w:t xml:space="preserve">2 </w:t>
            </w:r>
            <w:r w:rsidR="00EF754F" w:rsidRPr="00EF754F">
              <w:rPr>
                <w:rFonts w:eastAsiaTheme="minorEastAsia"/>
                <w:sz w:val="18"/>
                <w:szCs w:val="18"/>
                <w:lang w:val="en-GB" w:eastAsia="zh-CN"/>
              </w:rPr>
              <w:t>and F-statistics for each SNP were computed. The R</w:t>
            </w:r>
            <w:r w:rsidR="00EF754F" w:rsidRPr="00EF754F">
              <w:rPr>
                <w:rFonts w:eastAsiaTheme="minorEastAsia"/>
                <w:sz w:val="18"/>
                <w:szCs w:val="18"/>
                <w:vertAlign w:val="superscript"/>
                <w:lang w:val="en-GB" w:eastAsia="zh-CN"/>
              </w:rPr>
              <w:t>2</w:t>
            </w:r>
            <w:r w:rsidR="00EF754F" w:rsidRPr="00EF754F">
              <w:rPr>
                <w:rFonts w:eastAsiaTheme="minorEastAsia"/>
                <w:sz w:val="18"/>
                <w:szCs w:val="18"/>
                <w:lang w:val="en-GB" w:eastAsia="zh-CN"/>
              </w:rPr>
              <w:t xml:space="preserve"> value denotes the fraction of variability in a risk factor accounted for by the IVs. The F-statistic, commonly employed as an indicator of the potency of the relationship between instruments and the exposure of interest, is deemed weak if it falls below a threshold of F &lt; 10; such weak instruments are precluded from the MR analysis</w:t>
            </w:r>
            <w:r w:rsidRPr="00EF754F">
              <w:rPr>
                <w:rFonts w:eastAsiaTheme="minorEastAsia"/>
                <w:sz w:val="18"/>
                <w:szCs w:val="18"/>
                <w:lang w:val="en-GB" w:eastAsia="zh-CN"/>
              </w:rPr>
              <w:t>.”</w:t>
            </w:r>
          </w:p>
        </w:tc>
      </w:tr>
      <w:tr w:rsidR="00D8098C" w:rsidRPr="00B853C6" w14:paraId="383932D9" w14:textId="2C1AFE56" w:rsidTr="003D447D">
        <w:tc>
          <w:tcPr>
            <w:tcW w:w="587"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8</w:t>
            </w:r>
          </w:p>
        </w:tc>
        <w:tc>
          <w:tcPr>
            <w:tcW w:w="1822"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229BFDFD" w14:textId="7CF7A666" w:rsidR="00D8098C" w:rsidRPr="002A2838" w:rsidRDefault="002A2838"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 xml:space="preserve">nswer: </w:t>
            </w:r>
            <w:r>
              <w:rPr>
                <w:rFonts w:eastAsiaTheme="minorEastAsia"/>
                <w:sz w:val="18"/>
                <w:szCs w:val="18"/>
                <w:lang w:val="en-GB" w:eastAsia="zh-CN"/>
              </w:rPr>
              <w:t>“</w:t>
            </w:r>
            <w:r w:rsidR="00EF754F" w:rsidRPr="00EF754F">
              <w:rPr>
                <w:rFonts w:eastAsiaTheme="minorEastAsia"/>
                <w:sz w:val="18"/>
                <w:szCs w:val="18"/>
                <w:lang w:val="en-GB" w:eastAsia="zh-CN"/>
              </w:rPr>
              <w:t>Several MR analysis methods were employed to determine the causal relationship between GERD and cholecystitis, including the inverse-variance weighted (IVW), MR-Egger, weighted median, and weighted mode approaches. The potential pleiotropic effects of the instrumental SNPs were evaluated using MR-Egger regression. To assess heterogeneity among the various genetic variations, the Cochran's test and the I</w:t>
            </w:r>
            <w:r w:rsidR="00EF754F" w:rsidRPr="00EF754F">
              <w:rPr>
                <w:rFonts w:eastAsiaTheme="minorEastAsia"/>
                <w:sz w:val="18"/>
                <w:szCs w:val="18"/>
                <w:vertAlign w:val="superscript"/>
                <w:lang w:val="en-GB" w:eastAsia="zh-CN"/>
              </w:rPr>
              <w:t>2</w:t>
            </w:r>
            <w:r w:rsidR="00EF754F" w:rsidRPr="00EF754F">
              <w:rPr>
                <w:rFonts w:eastAsiaTheme="minorEastAsia"/>
                <w:sz w:val="18"/>
                <w:szCs w:val="18"/>
                <w:lang w:val="en-GB" w:eastAsia="zh-CN"/>
              </w:rPr>
              <w:t xml:space="preserve"> test were employed. Furthermore, a leave-one-out sensitivity analysis was conducted to verify the conformity of each SNP. Funnel plots were used to present the heterogeneity of the results, and asymmetric plots indicated the absence of heterogeneity.</w:t>
            </w:r>
            <w:r>
              <w:rPr>
                <w:rFonts w:eastAsiaTheme="minorEastAsia"/>
                <w:sz w:val="18"/>
                <w:szCs w:val="18"/>
                <w:lang w:val="en-GB" w:eastAsia="zh-CN"/>
              </w:rPr>
              <w:t>”</w:t>
            </w:r>
          </w:p>
        </w:tc>
      </w:tr>
      <w:tr w:rsidR="00D8098C" w:rsidRPr="00B853C6" w14:paraId="55C7A410" w14:textId="0BAB653A" w:rsidTr="003D447D">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22"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D8098C" w:rsidRDefault="00D8098C" w:rsidP="002C02F2">
            <w:pPr>
              <w:spacing w:beforeLines="40" w:before="96" w:afterLines="40" w:after="96" w:line="24" w:lineRule="atLeast"/>
              <w:jc w:val="both"/>
              <w:rPr>
                <w:rFonts w:eastAsia="Cambria"/>
                <w:sz w:val="18"/>
                <w:szCs w:val="18"/>
                <w:lang w:val="en-GB" w:eastAsia="en-US"/>
              </w:rPr>
            </w:pPr>
          </w:p>
        </w:tc>
      </w:tr>
      <w:tr w:rsidR="00D8098C" w:rsidRPr="00B853C6" w14:paraId="5EA9EBD1" w14:textId="4D05FA5B" w:rsidTr="003D447D">
        <w:tc>
          <w:tcPr>
            <w:tcW w:w="587"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9626260" w14:textId="7E09E4A6" w:rsidR="00742742" w:rsidRPr="00742742" w:rsidRDefault="00742742"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 xml:space="preserve">nswer: </w:t>
            </w:r>
            <w:r>
              <w:rPr>
                <w:rFonts w:eastAsiaTheme="minorEastAsia"/>
                <w:sz w:val="18"/>
                <w:szCs w:val="18"/>
                <w:lang w:val="en-GB" w:eastAsia="zh-CN"/>
              </w:rPr>
              <w:t>“</w:t>
            </w:r>
            <w:r w:rsidR="00EF754F" w:rsidRPr="00EF754F">
              <w:rPr>
                <w:rFonts w:eastAsiaTheme="minorEastAsia"/>
                <w:sz w:val="18"/>
                <w:szCs w:val="18"/>
                <w:lang w:val="en-GB" w:eastAsia="zh-CN"/>
              </w:rPr>
              <w:t>Statistical analyses were conducted with R software version 4.2.1, utilizing the R-based package “</w:t>
            </w:r>
            <w:proofErr w:type="spellStart"/>
            <w:r w:rsidR="00EF754F" w:rsidRPr="00EF754F">
              <w:rPr>
                <w:rFonts w:eastAsiaTheme="minorEastAsia"/>
                <w:sz w:val="18"/>
                <w:szCs w:val="18"/>
                <w:lang w:val="en-GB" w:eastAsia="zh-CN"/>
              </w:rPr>
              <w:t>TwoSampleMR</w:t>
            </w:r>
            <w:proofErr w:type="spellEnd"/>
            <w:r w:rsidR="00EF754F" w:rsidRPr="00EF754F">
              <w:rPr>
                <w:rFonts w:eastAsiaTheme="minorEastAsia"/>
                <w:sz w:val="18"/>
                <w:szCs w:val="18"/>
                <w:lang w:val="en-GB" w:eastAsia="zh-CN"/>
              </w:rPr>
              <w:t xml:space="preserve"> (0.5.5)” for MR analysis</w:t>
            </w:r>
            <w:r w:rsidRPr="00742742">
              <w:rPr>
                <w:rFonts w:eastAsiaTheme="minorEastAsia"/>
                <w:sz w:val="18"/>
                <w:szCs w:val="18"/>
                <w:lang w:val="en-GB" w:eastAsia="zh-CN"/>
              </w:rPr>
              <w:t>.</w:t>
            </w:r>
            <w:r>
              <w:rPr>
                <w:rFonts w:eastAsiaTheme="minorEastAsia"/>
                <w:sz w:val="18"/>
                <w:szCs w:val="18"/>
                <w:lang w:val="en-GB" w:eastAsia="zh-CN"/>
              </w:rPr>
              <w:t>”</w:t>
            </w:r>
          </w:p>
        </w:tc>
      </w:tr>
      <w:tr w:rsidR="00D8098C" w:rsidRPr="00B853C6" w14:paraId="6A631D93" w14:textId="2BD5AA8E" w:rsidTr="003D447D">
        <w:tc>
          <w:tcPr>
            <w:tcW w:w="587"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3EFCD231" w14:textId="5C95A991" w:rsidR="00D8098C" w:rsidRPr="00EF754F" w:rsidRDefault="00E97A91" w:rsidP="002C02F2">
            <w:pPr>
              <w:spacing w:beforeLines="40" w:before="96" w:afterLines="40" w:after="96" w:line="24" w:lineRule="atLeast"/>
              <w:jc w:val="both"/>
              <w:rPr>
                <w:rFonts w:eastAsiaTheme="minorEastAsia"/>
                <w:sz w:val="18"/>
                <w:szCs w:val="18"/>
                <w:lang w:val="en-GB" w:eastAsia="zh-CN"/>
              </w:rPr>
            </w:pPr>
            <w:r w:rsidRPr="00E97A91">
              <w:rPr>
                <w:rFonts w:eastAsia="Times New Roman"/>
                <w:sz w:val="18"/>
                <w:szCs w:val="18"/>
                <w:lang w:val="en-GB" w:eastAsia="en-GB"/>
              </w:rPr>
              <w:t>There is no pre-registration for this study protocol and details</w:t>
            </w:r>
            <w:r w:rsidR="00EF754F">
              <w:rPr>
                <w:rFonts w:eastAsiaTheme="minorEastAsia" w:hint="eastAsia"/>
                <w:sz w:val="18"/>
                <w:szCs w:val="18"/>
                <w:lang w:val="en-GB" w:eastAsia="zh-CN"/>
              </w:rPr>
              <w:t>.</w:t>
            </w:r>
          </w:p>
        </w:tc>
      </w:tr>
      <w:tr w:rsidR="00D8098C" w:rsidRPr="00B853C6" w14:paraId="040F15E5" w14:textId="3B11C618" w:rsidTr="003D447D">
        <w:tc>
          <w:tcPr>
            <w:tcW w:w="587"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D8098C" w:rsidRDefault="00D8098C" w:rsidP="002C02F2">
            <w:pPr>
              <w:spacing w:beforeLines="40" w:before="96" w:afterLines="40" w:after="96" w:line="24" w:lineRule="atLeast"/>
              <w:jc w:val="both"/>
              <w:rPr>
                <w:rFonts w:eastAsia="Cambria"/>
                <w:sz w:val="18"/>
                <w:szCs w:val="18"/>
                <w:lang w:val="en-GB" w:eastAsia="en-US"/>
              </w:rPr>
            </w:pPr>
          </w:p>
        </w:tc>
      </w:tr>
      <w:tr w:rsidR="00D8098C" w:rsidRPr="00B853C6" w14:paraId="67F47EED" w14:textId="4A481C08" w:rsidTr="003D447D">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D8098C" w:rsidRDefault="00D8098C" w:rsidP="002C02F2">
            <w:pPr>
              <w:spacing w:beforeLines="40" w:before="96" w:afterLines="40" w:after="96" w:line="24" w:lineRule="atLeast"/>
              <w:jc w:val="both"/>
              <w:rPr>
                <w:rFonts w:eastAsia="Cambria"/>
                <w:sz w:val="18"/>
                <w:szCs w:val="18"/>
                <w:lang w:val="en-GB" w:eastAsia="en-US"/>
              </w:rPr>
            </w:pPr>
          </w:p>
        </w:tc>
      </w:tr>
      <w:tr w:rsidR="00D8098C" w:rsidRPr="00B853C6" w14:paraId="6CA228D1" w14:textId="316B6A36" w:rsidTr="003D447D">
        <w:tc>
          <w:tcPr>
            <w:tcW w:w="587"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AF8CC23"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00D65497" w14:textId="6F8ED1D5" w:rsidR="0029741B" w:rsidRPr="0029741B" w:rsidRDefault="0029741B"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 xml:space="preserve">nswer: </w:t>
            </w:r>
            <w:r>
              <w:rPr>
                <w:rFonts w:eastAsiaTheme="minorEastAsia"/>
                <w:sz w:val="18"/>
                <w:szCs w:val="18"/>
                <w:lang w:val="en-GB" w:eastAsia="zh-CN"/>
              </w:rPr>
              <w:t>“</w:t>
            </w:r>
            <w:r w:rsidR="00052B1A" w:rsidRPr="00052B1A">
              <w:rPr>
                <w:rFonts w:eastAsiaTheme="minorEastAsia"/>
                <w:sz w:val="18"/>
                <w:szCs w:val="18"/>
                <w:lang w:val="en-GB" w:eastAsia="zh-CN"/>
              </w:rPr>
              <w:t>Fig. 1 presents a flowchart that provides a concise overview of the two-sample MR analysis employed in this study to investigate the causal associations between GERD and cholecystitis, utilizing genetic variants as IVs</w:t>
            </w:r>
            <w:r w:rsidRPr="0029741B">
              <w:rPr>
                <w:rFonts w:eastAsiaTheme="minorEastAsia"/>
                <w:sz w:val="18"/>
                <w:szCs w:val="18"/>
                <w:lang w:val="en-GB" w:eastAsia="zh-CN"/>
              </w:rPr>
              <w:t>.</w:t>
            </w:r>
            <w:r w:rsidR="00052B1A">
              <w:t xml:space="preserve"> </w:t>
            </w:r>
            <w:r w:rsidR="00052B1A" w:rsidRPr="00052B1A">
              <w:rPr>
                <w:rFonts w:eastAsiaTheme="minorEastAsia"/>
                <w:sz w:val="18"/>
                <w:szCs w:val="18"/>
                <w:lang w:val="en-GB" w:eastAsia="zh-CN"/>
              </w:rPr>
              <w:t>Publicly-available data were used for this study. Specifically, exposure data for GERD were obtained from GWASs with larger sample sizes, comprising 602,604 individuals (N cases= 129,080 cases; N control= 473,524) of European ancestry, which were accessible through the IEU open GWAS project (https://gwas.mrcieu.ac.uk/datasets/ebi-a-GCST90000514/). Additionally, the pooled statistics GWASs for cholecystitis (N cases = 1,930; N control=359,264) were obtained from https://gwas.mrcieu.ac.uk/datasets/ukb-d-K81/. Table 1 provides a detailed overview of all GWASs that were included in this investigation.</w:t>
            </w:r>
            <w:r>
              <w:rPr>
                <w:rFonts w:eastAsiaTheme="minorEastAsia"/>
                <w:sz w:val="18"/>
                <w:szCs w:val="18"/>
                <w:lang w:val="en-GB" w:eastAsia="zh-CN"/>
              </w:rPr>
              <w:t>”</w:t>
            </w:r>
          </w:p>
        </w:tc>
      </w:tr>
      <w:tr w:rsidR="00D8098C" w:rsidRPr="00B853C6" w14:paraId="0765C344" w14:textId="3B2EDCCF" w:rsidTr="003D447D">
        <w:tc>
          <w:tcPr>
            <w:tcW w:w="587"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77777777" w:rsidR="00D8098C" w:rsidRPr="00A1236D" w:rsidRDefault="00D8098C" w:rsidP="00052B1A">
            <w:pPr>
              <w:spacing w:beforeLines="40" w:before="96" w:afterLines="40" w:after="96" w:line="24" w:lineRule="atLeast"/>
              <w:jc w:val="both"/>
              <w:rPr>
                <w:rFonts w:eastAsia="Times New Roman"/>
                <w:sz w:val="18"/>
                <w:szCs w:val="18"/>
                <w:lang w:val="en-GB" w:eastAsia="en-GB"/>
              </w:rPr>
            </w:pPr>
          </w:p>
        </w:tc>
        <w:tc>
          <w:tcPr>
            <w:tcW w:w="4320" w:type="dxa"/>
            <w:shd w:val="clear" w:color="auto" w:fill="EEEEEE"/>
          </w:tcPr>
          <w:p w14:paraId="0FD9D468" w14:textId="56302617" w:rsidR="0029741B" w:rsidRPr="0029741B" w:rsidRDefault="0029741B"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 xml:space="preserve">nswer: </w:t>
            </w:r>
            <w:r>
              <w:rPr>
                <w:rFonts w:eastAsiaTheme="minorEastAsia"/>
                <w:sz w:val="18"/>
                <w:szCs w:val="18"/>
                <w:lang w:val="en-GB" w:eastAsia="zh-CN"/>
              </w:rPr>
              <w:t>“</w:t>
            </w:r>
            <w:r w:rsidR="00D963C4">
              <w:rPr>
                <w:rFonts w:eastAsiaTheme="minorEastAsia"/>
                <w:sz w:val="18"/>
                <w:szCs w:val="18"/>
                <w:lang w:val="en-GB" w:eastAsia="zh-CN"/>
              </w:rPr>
              <w:t>Additional file</w:t>
            </w:r>
            <w:r w:rsidR="00052B1A" w:rsidRPr="00052B1A">
              <w:rPr>
                <w:rFonts w:eastAsiaTheme="minorEastAsia"/>
                <w:sz w:val="18"/>
                <w:szCs w:val="18"/>
                <w:lang w:val="en-GB" w:eastAsia="zh-CN"/>
              </w:rPr>
              <w:t xml:space="preserve"> </w:t>
            </w:r>
            <w:r w:rsidR="001C4AE7">
              <w:rPr>
                <w:rFonts w:eastAsiaTheme="minorEastAsia"/>
                <w:sz w:val="18"/>
                <w:szCs w:val="18"/>
                <w:lang w:val="en-GB" w:eastAsia="zh-CN"/>
              </w:rPr>
              <w:t>1-2</w:t>
            </w:r>
            <w:r w:rsidR="00052B1A" w:rsidRPr="00052B1A">
              <w:rPr>
                <w:rFonts w:eastAsiaTheme="minorEastAsia"/>
                <w:sz w:val="18"/>
                <w:szCs w:val="18"/>
                <w:lang w:val="en-GB" w:eastAsia="zh-CN"/>
              </w:rPr>
              <w:t xml:space="preserve"> provide detailed information on each SNP, including the EA and effect allele frequency (EAF), as well as estimations of their associations with GERD and cholecystitis, including the beta, SE, and P values</w:t>
            </w:r>
            <w:r w:rsidRPr="0029741B">
              <w:rPr>
                <w:rFonts w:eastAsiaTheme="minorEastAsia"/>
                <w:sz w:val="18"/>
                <w:szCs w:val="18"/>
                <w:lang w:val="en-GB" w:eastAsia="zh-CN"/>
              </w:rPr>
              <w:t>.</w:t>
            </w:r>
            <w:r>
              <w:rPr>
                <w:rFonts w:eastAsiaTheme="minorEastAsia"/>
                <w:sz w:val="18"/>
                <w:szCs w:val="18"/>
                <w:lang w:val="en-GB" w:eastAsia="zh-CN"/>
              </w:rPr>
              <w:t>”</w:t>
            </w:r>
          </w:p>
        </w:tc>
      </w:tr>
      <w:tr w:rsidR="00D8098C" w:rsidRPr="00B853C6" w14:paraId="48F10342" w14:textId="398F2C24" w:rsidTr="003D447D">
        <w:tc>
          <w:tcPr>
            <w:tcW w:w="587"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77777777" w:rsidR="00D8098C" w:rsidRPr="00A1236D" w:rsidRDefault="00D8098C" w:rsidP="00052B1A">
            <w:pPr>
              <w:spacing w:beforeLines="40" w:before="96" w:afterLines="40" w:after="96" w:line="24" w:lineRule="atLeast"/>
              <w:jc w:val="both"/>
              <w:rPr>
                <w:rFonts w:eastAsia="Times New Roman"/>
                <w:sz w:val="18"/>
                <w:szCs w:val="18"/>
                <w:lang w:val="en-GB" w:eastAsia="en-GB"/>
              </w:rPr>
            </w:pPr>
          </w:p>
        </w:tc>
        <w:tc>
          <w:tcPr>
            <w:tcW w:w="4320" w:type="dxa"/>
          </w:tcPr>
          <w:p w14:paraId="449D40FD" w14:textId="6FAD649B" w:rsidR="00A66EF8" w:rsidRPr="00A66EF8" w:rsidRDefault="00A66EF8"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nswer:</w:t>
            </w:r>
            <w:r w:rsidR="00052B1A" w:rsidRPr="00052B1A">
              <w:rPr>
                <w:rFonts w:eastAsiaTheme="minorEastAsia"/>
                <w:sz w:val="18"/>
                <w:szCs w:val="18"/>
                <w:lang w:val="en-GB" w:eastAsia="zh-CN"/>
              </w:rPr>
              <w:t xml:space="preserve"> </w:t>
            </w:r>
            <w:r w:rsidR="00052B1A">
              <w:rPr>
                <w:rFonts w:eastAsiaTheme="minorEastAsia"/>
                <w:sz w:val="18"/>
                <w:szCs w:val="18"/>
                <w:lang w:val="en-GB" w:eastAsia="zh-CN"/>
              </w:rPr>
              <w:t>“</w:t>
            </w:r>
            <w:r w:rsidR="00D963C4">
              <w:rPr>
                <w:rFonts w:eastAsiaTheme="minorEastAsia"/>
                <w:sz w:val="18"/>
                <w:szCs w:val="18"/>
                <w:lang w:val="en-GB" w:eastAsia="zh-CN"/>
              </w:rPr>
              <w:t>Additional file</w:t>
            </w:r>
            <w:r w:rsidR="00052B1A" w:rsidRPr="00052B1A">
              <w:rPr>
                <w:rFonts w:eastAsiaTheme="minorEastAsia"/>
                <w:sz w:val="18"/>
                <w:szCs w:val="18"/>
                <w:lang w:val="en-GB" w:eastAsia="zh-CN"/>
              </w:rPr>
              <w:t xml:space="preserve"> </w:t>
            </w:r>
            <w:r w:rsidR="001C4AE7">
              <w:rPr>
                <w:rFonts w:eastAsiaTheme="minorEastAsia"/>
                <w:sz w:val="18"/>
                <w:szCs w:val="18"/>
                <w:lang w:val="en-GB" w:eastAsia="zh-CN"/>
              </w:rPr>
              <w:t>1-2</w:t>
            </w:r>
            <w:r w:rsidR="00052B1A" w:rsidRPr="00052B1A">
              <w:rPr>
                <w:rFonts w:eastAsiaTheme="minorEastAsia"/>
                <w:sz w:val="18"/>
                <w:szCs w:val="18"/>
                <w:lang w:val="en-GB" w:eastAsia="zh-CN"/>
              </w:rPr>
              <w:t xml:space="preserve"> provide detailed information on each SNP, including the EA and effect allele frequency (EAF), as well as estimations of their associations with GERD and cholecystitis, including the beta, SE, and P values</w:t>
            </w:r>
            <w:r w:rsidR="00052B1A">
              <w:rPr>
                <w:rFonts w:eastAsiaTheme="minorEastAsia" w:hint="eastAsia"/>
                <w:sz w:val="18"/>
                <w:szCs w:val="18"/>
                <w:lang w:val="en-GB" w:eastAsia="zh-CN"/>
              </w:rPr>
              <w:t>.</w:t>
            </w:r>
            <w:r w:rsidR="00052B1A">
              <w:t xml:space="preserve"> </w:t>
            </w:r>
            <w:r w:rsidR="00052B1A" w:rsidRPr="00052B1A">
              <w:rPr>
                <w:rFonts w:eastAsiaTheme="minorEastAsia"/>
                <w:sz w:val="18"/>
                <w:szCs w:val="18"/>
                <w:lang w:val="en-GB" w:eastAsia="zh-CN"/>
              </w:rPr>
              <w:t>Table 2 presents the results of the IVW analysis, indicating an elevated risk of cholecystitis in patients with GERD (odds ratio [OR] = 1.004; 95% confidence interval [95%CI] 1.003–1.005, p = 2.68 × 10</w:t>
            </w:r>
            <w:r w:rsidR="00052B1A" w:rsidRPr="00052B1A">
              <w:rPr>
                <w:rFonts w:eastAsiaTheme="minorEastAsia"/>
                <w:sz w:val="18"/>
                <w:szCs w:val="18"/>
                <w:vertAlign w:val="superscript"/>
                <w:lang w:val="en-GB" w:eastAsia="zh-CN"/>
              </w:rPr>
              <w:t>-9</w:t>
            </w:r>
            <w:r w:rsidR="00052B1A" w:rsidRPr="00052B1A">
              <w:rPr>
                <w:rFonts w:eastAsiaTheme="minorEastAsia"/>
                <w:sz w:val="18"/>
                <w:szCs w:val="18"/>
                <w:lang w:val="en-GB" w:eastAsia="zh-CN"/>
              </w:rPr>
              <w:t>). Cochran's Q test did not detect the existence of heterogeneity in the causality of cholecystitis, and the I</w:t>
            </w:r>
            <w:r w:rsidR="00052B1A" w:rsidRPr="00052B1A">
              <w:rPr>
                <w:rFonts w:eastAsiaTheme="minorEastAsia"/>
                <w:sz w:val="18"/>
                <w:szCs w:val="18"/>
                <w:vertAlign w:val="superscript"/>
                <w:lang w:val="en-GB" w:eastAsia="zh-CN"/>
              </w:rPr>
              <w:t>2</w:t>
            </w:r>
            <w:r w:rsidR="00052B1A" w:rsidRPr="00052B1A">
              <w:rPr>
                <w:rFonts w:eastAsiaTheme="minorEastAsia"/>
                <w:sz w:val="18"/>
                <w:szCs w:val="18"/>
                <w:lang w:val="en-GB" w:eastAsia="zh-CN"/>
              </w:rPr>
              <w:t xml:space="preserve"> values in our results showed low heterogeneity, indicating increased reliability of the MR estimates. Table 3 summarizes the results of the sensitivity analysis</w:t>
            </w:r>
            <w:r w:rsidR="00490E38">
              <w:rPr>
                <w:rFonts w:eastAsiaTheme="minorEastAsia" w:hint="eastAsia"/>
                <w:sz w:val="18"/>
                <w:szCs w:val="18"/>
                <w:lang w:val="en-GB" w:eastAsia="zh-CN"/>
              </w:rPr>
              <w:t>.</w:t>
            </w:r>
            <w:r w:rsidR="00490E38">
              <w:rPr>
                <w:rFonts w:eastAsiaTheme="minorEastAsia"/>
                <w:sz w:val="18"/>
                <w:szCs w:val="18"/>
                <w:lang w:val="en-GB" w:eastAsia="zh-CN"/>
              </w:rPr>
              <w:t>”</w:t>
            </w:r>
          </w:p>
        </w:tc>
      </w:tr>
      <w:tr w:rsidR="00D8098C" w:rsidRPr="00B853C6" w14:paraId="51930A8C" w14:textId="221D5A9E" w:rsidTr="003D447D">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w:t>
            </w:r>
            <w:proofErr w:type="spellStart"/>
            <w:r w:rsidRPr="00A1236D">
              <w:rPr>
                <w:rFonts w:eastAsia="Times New Roman"/>
                <w:sz w:val="18"/>
                <w:szCs w:val="18"/>
                <w:lang w:val="en-GB" w:eastAsia="en-GB"/>
              </w:rPr>
              <w:t>i</w:t>
            </w:r>
            <w:proofErr w:type="spellEnd"/>
            <w:r w:rsidRPr="00A1236D">
              <w:rPr>
                <w:rFonts w:eastAsia="Times New Roman"/>
                <w:sz w:val="18"/>
                <w:szCs w:val="18"/>
                <w:lang w:val="en-GB" w:eastAsia="en-GB"/>
              </w:rPr>
              <w:t>.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4948EE3D"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58688C94" w14:textId="7B6E2CB6" w:rsidR="0029741B" w:rsidRDefault="0029741B" w:rsidP="002C02F2">
            <w:pPr>
              <w:spacing w:beforeLines="40" w:before="96" w:afterLines="40" w:after="96" w:line="24" w:lineRule="atLeast"/>
              <w:jc w:val="both"/>
              <w:rPr>
                <w:rFonts w:eastAsiaTheme="minorEastAsia"/>
                <w:sz w:val="18"/>
                <w:szCs w:val="18"/>
                <w:lang w:val="en-GB" w:eastAsia="zh-CN"/>
              </w:rPr>
            </w:pPr>
            <w:proofErr w:type="spellStart"/>
            <w:r w:rsidRPr="00A1236D">
              <w:rPr>
                <w:rFonts w:eastAsia="Times New Roman"/>
                <w:sz w:val="18"/>
                <w:szCs w:val="18"/>
                <w:lang w:val="en-GB" w:eastAsia="en-GB"/>
              </w:rPr>
              <w:t>i</w:t>
            </w:r>
            <w:proofErr w:type="spellEnd"/>
            <w:r w:rsidRPr="00A1236D">
              <w:rPr>
                <w:rFonts w:eastAsia="Times New Roman"/>
                <w:sz w:val="18"/>
                <w:szCs w:val="18"/>
                <w:lang w:val="en-GB" w:eastAsia="en-GB"/>
              </w:rPr>
              <w:t>. </w:t>
            </w:r>
            <w:r>
              <w:rPr>
                <w:rFonts w:eastAsiaTheme="minorEastAsia" w:hint="eastAsia"/>
                <w:sz w:val="18"/>
                <w:szCs w:val="18"/>
                <w:lang w:val="en-GB" w:eastAsia="zh-CN"/>
              </w:rPr>
              <w:t xml:space="preserve">Answer: </w:t>
            </w:r>
            <w:r>
              <w:rPr>
                <w:rFonts w:eastAsiaTheme="minorEastAsia"/>
                <w:sz w:val="18"/>
                <w:szCs w:val="18"/>
                <w:lang w:val="en-GB" w:eastAsia="zh-CN"/>
              </w:rPr>
              <w:t>“</w:t>
            </w:r>
            <w:r w:rsidR="00B515DC" w:rsidRPr="00B515DC">
              <w:rPr>
                <w:rFonts w:eastAsiaTheme="minorEastAsia"/>
                <w:sz w:val="18"/>
                <w:szCs w:val="18"/>
                <w:lang w:val="en-GB" w:eastAsia="zh-CN"/>
              </w:rPr>
              <w:t>Publicly-available data were used for this study. Specifically, exposure data for GERD</w:t>
            </w:r>
            <w:r w:rsidR="00B515DC">
              <w:rPr>
                <w:rFonts w:eastAsiaTheme="minorEastAsia" w:hint="eastAsia"/>
                <w:sz w:val="18"/>
                <w:szCs w:val="18"/>
                <w:lang w:val="en-GB" w:eastAsia="zh-CN"/>
              </w:rPr>
              <w:t xml:space="preserve"> </w:t>
            </w:r>
            <w:r w:rsidR="00B515DC" w:rsidRPr="00B515DC">
              <w:rPr>
                <w:rFonts w:eastAsiaTheme="minorEastAsia"/>
                <w:sz w:val="18"/>
                <w:szCs w:val="18"/>
                <w:lang w:val="en-GB" w:eastAsia="zh-CN"/>
              </w:rPr>
              <w:t>were obtained from GWASs with larger sample sizes, comprising 602,604 individuals (N cases= 129,080 cases; N control= 473,524) of European ancestry, which were accessible through the IEU open GWAS project (https://gwas.mrcieu.ac.uk/datasets/ebi-a-GCST90000514/). Additionally, the pooled statistics GWASs for cholecystitis (N cases = 1,930; N control=359,264) were obtained from https://gwas.mrcieu.ac.uk/datasets/ukb-d-K81/. Table 1 provides a detailed overview of all GWASs that were included in this investigation</w:t>
            </w:r>
            <w:r w:rsidRPr="0029741B">
              <w:rPr>
                <w:rFonts w:eastAsiaTheme="minorEastAsia"/>
                <w:sz w:val="18"/>
                <w:szCs w:val="18"/>
                <w:lang w:val="en-GB" w:eastAsia="zh-CN"/>
              </w:rPr>
              <w:t>.</w:t>
            </w:r>
            <w:r>
              <w:rPr>
                <w:rFonts w:eastAsiaTheme="minorEastAsia"/>
                <w:sz w:val="18"/>
                <w:szCs w:val="18"/>
                <w:lang w:val="en-GB" w:eastAsia="zh-CN"/>
              </w:rPr>
              <w:t>”</w:t>
            </w:r>
          </w:p>
          <w:p w14:paraId="5B2A1A71" w14:textId="2BBC1E7E" w:rsidR="0029741B" w:rsidRPr="0029741B" w:rsidRDefault="0029741B" w:rsidP="002C02F2">
            <w:pPr>
              <w:spacing w:beforeLines="40" w:before="96" w:afterLines="40" w:after="96" w:line="24" w:lineRule="atLeast"/>
              <w:jc w:val="both"/>
              <w:rPr>
                <w:rFonts w:eastAsiaTheme="minorEastAsia"/>
                <w:sz w:val="18"/>
                <w:szCs w:val="18"/>
                <w:lang w:val="en-GB" w:eastAsia="zh-CN"/>
              </w:rPr>
            </w:pPr>
            <w:r w:rsidRPr="00A1236D">
              <w:rPr>
                <w:rFonts w:eastAsia="Times New Roman"/>
                <w:sz w:val="18"/>
                <w:szCs w:val="18"/>
                <w:lang w:val="en-GB" w:eastAsia="en-GB"/>
              </w:rPr>
              <w:t xml:space="preserve">   ii. </w:t>
            </w:r>
            <w:r>
              <w:rPr>
                <w:rFonts w:eastAsiaTheme="minorEastAsia" w:hint="eastAsia"/>
                <w:sz w:val="18"/>
                <w:szCs w:val="18"/>
                <w:lang w:val="en-GB" w:eastAsia="zh-CN"/>
              </w:rPr>
              <w:t>answer: t</w:t>
            </w:r>
            <w:r w:rsidRPr="0029741B">
              <w:rPr>
                <w:rFonts w:eastAsiaTheme="minorEastAsia"/>
                <w:sz w:val="18"/>
                <w:szCs w:val="18"/>
                <w:lang w:val="en-GB" w:eastAsia="zh-CN"/>
              </w:rPr>
              <w:t>here were no people with overlap between exposure and outcome studies in this study</w:t>
            </w:r>
            <w:r>
              <w:rPr>
                <w:rFonts w:eastAsiaTheme="minorEastAsia" w:hint="eastAsia"/>
                <w:sz w:val="18"/>
                <w:szCs w:val="18"/>
                <w:lang w:val="en-GB" w:eastAsia="zh-CN"/>
              </w:rPr>
              <w:t>.</w:t>
            </w:r>
          </w:p>
        </w:tc>
      </w:tr>
      <w:tr w:rsidR="00D8098C" w:rsidRPr="00B853C6" w14:paraId="52CFCA59" w14:textId="5AC9CE3E" w:rsidTr="003D447D">
        <w:tc>
          <w:tcPr>
            <w:tcW w:w="587" w:type="dxa"/>
            <w:shd w:val="clear" w:color="auto" w:fill="auto"/>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shd w:val="clear" w:color="auto" w:fill="auto"/>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AFA0083" w14:textId="77777777" w:rsidR="00D8098C" w:rsidRDefault="00D8098C" w:rsidP="002C02F2">
            <w:pPr>
              <w:spacing w:beforeLines="40" w:before="96" w:afterLines="40" w:after="96" w:line="24" w:lineRule="atLeast"/>
              <w:jc w:val="both"/>
              <w:rPr>
                <w:rFonts w:eastAsia="Cambria"/>
                <w:sz w:val="18"/>
                <w:szCs w:val="18"/>
                <w:lang w:val="en-GB" w:eastAsia="en-US"/>
              </w:rPr>
            </w:pPr>
          </w:p>
        </w:tc>
      </w:tr>
      <w:tr w:rsidR="00D8098C" w:rsidRPr="00B853C6" w14:paraId="56845A2A" w14:textId="1DC0780C" w:rsidTr="003D447D">
        <w:tc>
          <w:tcPr>
            <w:tcW w:w="587"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BCA1C07" w14:textId="24339C7B" w:rsidR="00962627" w:rsidRPr="00962627" w:rsidRDefault="00962627"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 xml:space="preserve">nswer: </w:t>
            </w:r>
            <w:r w:rsidR="00490E38">
              <w:rPr>
                <w:rFonts w:eastAsiaTheme="minorEastAsia"/>
                <w:sz w:val="18"/>
                <w:szCs w:val="18"/>
                <w:lang w:val="en-GB" w:eastAsia="zh-CN"/>
              </w:rPr>
              <w:t>“</w:t>
            </w:r>
            <w:r w:rsidR="00D963C4">
              <w:rPr>
                <w:rFonts w:eastAsiaTheme="minorEastAsia"/>
                <w:sz w:val="18"/>
                <w:szCs w:val="18"/>
                <w:lang w:val="en-GB" w:eastAsia="zh-CN"/>
              </w:rPr>
              <w:t>Additional file</w:t>
            </w:r>
            <w:r w:rsidR="00490E38" w:rsidRPr="00052B1A">
              <w:rPr>
                <w:rFonts w:eastAsiaTheme="minorEastAsia"/>
                <w:sz w:val="18"/>
                <w:szCs w:val="18"/>
                <w:lang w:val="en-GB" w:eastAsia="zh-CN"/>
              </w:rPr>
              <w:t xml:space="preserve"> </w:t>
            </w:r>
            <w:r w:rsidR="001C4AE7">
              <w:rPr>
                <w:rFonts w:eastAsiaTheme="minorEastAsia"/>
                <w:sz w:val="18"/>
                <w:szCs w:val="18"/>
                <w:lang w:val="en-GB" w:eastAsia="zh-CN"/>
              </w:rPr>
              <w:t>1-2</w:t>
            </w:r>
            <w:r w:rsidR="00490E38" w:rsidRPr="00052B1A">
              <w:rPr>
                <w:rFonts w:eastAsiaTheme="minorEastAsia"/>
                <w:sz w:val="18"/>
                <w:szCs w:val="18"/>
                <w:lang w:val="en-GB" w:eastAsia="zh-CN"/>
              </w:rPr>
              <w:t xml:space="preserve"> provide detailed information on each SNP, including the EA and effect allele frequency (EAF), as well as estimations of their associations with GERD and cholecystitis, including the beta, SE, and P values</w:t>
            </w:r>
            <w:r w:rsidR="00490E38">
              <w:rPr>
                <w:rFonts w:eastAsiaTheme="minorEastAsia" w:hint="eastAsia"/>
                <w:sz w:val="18"/>
                <w:szCs w:val="18"/>
                <w:lang w:val="en-GB" w:eastAsia="zh-CN"/>
              </w:rPr>
              <w:t>.</w:t>
            </w:r>
            <w:r w:rsidR="00490E38">
              <w:t xml:space="preserve"> </w:t>
            </w:r>
            <w:r w:rsidR="00490E38" w:rsidRPr="00052B1A">
              <w:rPr>
                <w:rFonts w:eastAsiaTheme="minorEastAsia"/>
                <w:sz w:val="18"/>
                <w:szCs w:val="18"/>
                <w:lang w:val="en-GB" w:eastAsia="zh-CN"/>
              </w:rPr>
              <w:t xml:space="preserve">Table 2 presents the results of the IVW analysis, indicating </w:t>
            </w:r>
            <w:r w:rsidR="00490E38" w:rsidRPr="00052B1A">
              <w:rPr>
                <w:rFonts w:eastAsiaTheme="minorEastAsia"/>
                <w:sz w:val="18"/>
                <w:szCs w:val="18"/>
                <w:lang w:val="en-GB" w:eastAsia="zh-CN"/>
              </w:rPr>
              <w:lastRenderedPageBreak/>
              <w:t>an elevated risk of cholecystitis in patients with GERD (odds ratio [OR] = 1.004; 95% confidence interval [95%CI] 1.003–1.005, p = 2.68 × 10</w:t>
            </w:r>
            <w:r w:rsidR="00490E38" w:rsidRPr="00052B1A">
              <w:rPr>
                <w:rFonts w:eastAsiaTheme="minorEastAsia"/>
                <w:sz w:val="18"/>
                <w:szCs w:val="18"/>
                <w:vertAlign w:val="superscript"/>
                <w:lang w:val="en-GB" w:eastAsia="zh-CN"/>
              </w:rPr>
              <w:t>-9</w:t>
            </w:r>
            <w:r w:rsidR="00490E38" w:rsidRPr="00052B1A">
              <w:rPr>
                <w:rFonts w:eastAsiaTheme="minorEastAsia"/>
                <w:sz w:val="18"/>
                <w:szCs w:val="18"/>
                <w:lang w:val="en-GB" w:eastAsia="zh-CN"/>
              </w:rPr>
              <w:t>). Cochran's Q test did not detect the existence of heterogeneity in the causality of cholecystitis, and the I</w:t>
            </w:r>
            <w:r w:rsidR="00490E38" w:rsidRPr="00052B1A">
              <w:rPr>
                <w:rFonts w:eastAsiaTheme="minorEastAsia"/>
                <w:sz w:val="18"/>
                <w:szCs w:val="18"/>
                <w:vertAlign w:val="superscript"/>
                <w:lang w:val="en-GB" w:eastAsia="zh-CN"/>
              </w:rPr>
              <w:t>2</w:t>
            </w:r>
            <w:r w:rsidR="00490E38" w:rsidRPr="00052B1A">
              <w:rPr>
                <w:rFonts w:eastAsiaTheme="minorEastAsia"/>
                <w:sz w:val="18"/>
                <w:szCs w:val="18"/>
                <w:lang w:val="en-GB" w:eastAsia="zh-CN"/>
              </w:rPr>
              <w:t xml:space="preserve"> values in our results showed low heterogeneity, indicating increased reliability of the MR estimates. Table 3 summarizes the results of the sensitivity analysis</w:t>
            </w:r>
            <w:r w:rsidR="00490E38">
              <w:rPr>
                <w:rFonts w:eastAsiaTheme="minorEastAsia" w:hint="eastAsia"/>
                <w:sz w:val="18"/>
                <w:szCs w:val="18"/>
                <w:lang w:val="en-GB" w:eastAsia="zh-CN"/>
              </w:rPr>
              <w:t>.</w:t>
            </w:r>
            <w:r w:rsidR="00490E38">
              <w:t xml:space="preserve"> </w:t>
            </w:r>
            <w:r w:rsidR="00490E38" w:rsidRPr="00490E38">
              <w:rPr>
                <w:rFonts w:eastAsiaTheme="minorEastAsia" w:hint="eastAsia"/>
                <w:sz w:val="18"/>
                <w:szCs w:val="18"/>
                <w:lang w:eastAsia="zh-CN"/>
              </w:rPr>
              <w:t>T</w:t>
            </w:r>
            <w:r w:rsidR="00490E38" w:rsidRPr="00490E38">
              <w:rPr>
                <w:rFonts w:eastAsiaTheme="minorEastAsia"/>
                <w:sz w:val="18"/>
                <w:szCs w:val="18"/>
                <w:lang w:val="en-GB" w:eastAsia="zh-CN"/>
              </w:rPr>
              <w:t>here was no evidence that the result was affected by horizontal pleiotropy (MR-Egger regression intercept = -3.6 × 10</w:t>
            </w:r>
            <w:r w:rsidR="00490E38" w:rsidRPr="002C02F2">
              <w:rPr>
                <w:rFonts w:eastAsiaTheme="minorEastAsia"/>
                <w:sz w:val="18"/>
                <w:szCs w:val="18"/>
                <w:vertAlign w:val="superscript"/>
                <w:lang w:val="en-GB" w:eastAsia="zh-CN"/>
              </w:rPr>
              <w:t>-5</w:t>
            </w:r>
            <w:r w:rsidR="00490E38" w:rsidRPr="00490E38">
              <w:rPr>
                <w:rFonts w:eastAsiaTheme="minorEastAsia"/>
                <w:sz w:val="18"/>
                <w:szCs w:val="18"/>
                <w:lang w:val="en-GB" w:eastAsia="zh-CN"/>
              </w:rPr>
              <w:t>; SE = 0.00012; directionality p = 0.772). Asymmetry in the funnel plot indicated directional horizontal pleiotropy; however, there was no evidence of asymmetry (Fig. 4). Moreover, the leave-one-out analysis results were stable when each SNP was discarded one by one (Fig. 5).</w:t>
            </w:r>
            <w:r w:rsidR="00490E38">
              <w:rPr>
                <w:rFonts w:eastAsiaTheme="minorEastAsia"/>
                <w:sz w:val="18"/>
                <w:szCs w:val="18"/>
                <w:lang w:val="en-GB" w:eastAsia="zh-CN"/>
              </w:rPr>
              <w:t>”</w:t>
            </w:r>
          </w:p>
        </w:tc>
      </w:tr>
      <w:tr w:rsidR="00D8098C" w:rsidRPr="00B853C6" w14:paraId="2FAEFE68" w14:textId="09D82DE1" w:rsidTr="003D447D">
        <w:tc>
          <w:tcPr>
            <w:tcW w:w="587" w:type="dxa"/>
            <w:shd w:val="clear" w:color="auto" w:fill="auto"/>
          </w:tcPr>
          <w:p w14:paraId="2E83DFB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D8098C" w:rsidRPr="00A1236D" w:rsidRDefault="00D8098C"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sidR="009E033F">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1E1B567F"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4564CEDB" w14:textId="7F846809" w:rsidR="00D8098C" w:rsidRPr="00962627" w:rsidRDefault="00962627"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 xml:space="preserve">nswer: </w:t>
            </w:r>
            <w:r>
              <w:rPr>
                <w:rFonts w:eastAsiaTheme="minorEastAsia"/>
                <w:sz w:val="18"/>
                <w:szCs w:val="18"/>
                <w:lang w:val="en-GB" w:eastAsia="zh-CN"/>
              </w:rPr>
              <w:t>“</w:t>
            </w:r>
            <w:r w:rsidR="00D963C4">
              <w:rPr>
                <w:rFonts w:eastAsiaTheme="minorEastAsia"/>
                <w:sz w:val="18"/>
                <w:szCs w:val="18"/>
                <w:lang w:val="en-GB" w:eastAsia="zh-CN"/>
              </w:rPr>
              <w:t>Additional file</w:t>
            </w:r>
            <w:r w:rsidR="00490E38" w:rsidRPr="00052B1A">
              <w:rPr>
                <w:rFonts w:eastAsiaTheme="minorEastAsia"/>
                <w:sz w:val="18"/>
                <w:szCs w:val="18"/>
                <w:lang w:val="en-GB" w:eastAsia="zh-CN"/>
              </w:rPr>
              <w:t xml:space="preserve"> </w:t>
            </w:r>
            <w:r w:rsidR="001C4AE7">
              <w:rPr>
                <w:rFonts w:eastAsiaTheme="minorEastAsia"/>
                <w:sz w:val="18"/>
                <w:szCs w:val="18"/>
                <w:lang w:val="en-GB" w:eastAsia="zh-CN"/>
              </w:rPr>
              <w:t>1-2</w:t>
            </w:r>
            <w:r w:rsidR="00490E38" w:rsidRPr="00052B1A">
              <w:rPr>
                <w:rFonts w:eastAsiaTheme="minorEastAsia"/>
                <w:sz w:val="18"/>
                <w:szCs w:val="18"/>
                <w:lang w:val="en-GB" w:eastAsia="zh-CN"/>
              </w:rPr>
              <w:t xml:space="preserve"> provide detailed information on each SNP, including the EA and effect allele frequency (EAF), as well as estimations of their associations with GERD and cholecystitis, including the beta, SE, and P values</w:t>
            </w:r>
            <w:r w:rsidR="00490E38">
              <w:rPr>
                <w:rFonts w:eastAsiaTheme="minorEastAsia" w:hint="eastAsia"/>
                <w:sz w:val="18"/>
                <w:szCs w:val="18"/>
                <w:lang w:val="en-GB" w:eastAsia="zh-CN"/>
              </w:rPr>
              <w:t>.</w:t>
            </w:r>
            <w:r w:rsidR="00490E38">
              <w:t xml:space="preserve"> </w:t>
            </w:r>
            <w:r w:rsidR="00490E38" w:rsidRPr="00052B1A">
              <w:rPr>
                <w:rFonts w:eastAsiaTheme="minorEastAsia"/>
                <w:sz w:val="18"/>
                <w:szCs w:val="18"/>
                <w:lang w:val="en-GB" w:eastAsia="zh-CN"/>
              </w:rPr>
              <w:t>Table 2 presents the results of the IVW analysis, indicating an elevated risk of cholecystitis in patients with GERD (odds ratio [OR] = 1.004; 95% confidence interval [95%CI] 1.003–1.005, p = 2.68 × 10</w:t>
            </w:r>
            <w:r w:rsidR="00490E38" w:rsidRPr="00052B1A">
              <w:rPr>
                <w:rFonts w:eastAsiaTheme="minorEastAsia"/>
                <w:sz w:val="18"/>
                <w:szCs w:val="18"/>
                <w:vertAlign w:val="superscript"/>
                <w:lang w:val="en-GB" w:eastAsia="zh-CN"/>
              </w:rPr>
              <w:t>-9</w:t>
            </w:r>
            <w:r w:rsidR="00490E38" w:rsidRPr="00052B1A">
              <w:rPr>
                <w:rFonts w:eastAsiaTheme="minorEastAsia"/>
                <w:sz w:val="18"/>
                <w:szCs w:val="18"/>
                <w:lang w:val="en-GB" w:eastAsia="zh-CN"/>
              </w:rPr>
              <w:t>). Cochran's Q test did not detect the existence of heterogeneity in the causality of cholecystitis, and the I</w:t>
            </w:r>
            <w:r w:rsidR="00490E38" w:rsidRPr="00052B1A">
              <w:rPr>
                <w:rFonts w:eastAsiaTheme="minorEastAsia"/>
                <w:sz w:val="18"/>
                <w:szCs w:val="18"/>
                <w:vertAlign w:val="superscript"/>
                <w:lang w:val="en-GB" w:eastAsia="zh-CN"/>
              </w:rPr>
              <w:t>2</w:t>
            </w:r>
            <w:r w:rsidR="00490E38" w:rsidRPr="00052B1A">
              <w:rPr>
                <w:rFonts w:eastAsiaTheme="minorEastAsia"/>
                <w:sz w:val="18"/>
                <w:szCs w:val="18"/>
                <w:lang w:val="en-GB" w:eastAsia="zh-CN"/>
              </w:rPr>
              <w:t xml:space="preserve"> values in our results showed low heterogeneity, indicating increased reliability of the MR estimates. Table 3 summarizes the results of the sensitivity analysis</w:t>
            </w:r>
            <w:r w:rsidR="00490E38">
              <w:rPr>
                <w:rFonts w:eastAsiaTheme="minorEastAsia" w:hint="eastAsia"/>
                <w:sz w:val="18"/>
                <w:szCs w:val="18"/>
                <w:lang w:val="en-GB" w:eastAsia="zh-CN"/>
              </w:rPr>
              <w:t>.</w:t>
            </w:r>
            <w:r w:rsidR="00490E38">
              <w:t xml:space="preserve"> </w:t>
            </w:r>
            <w:r w:rsidR="00490E38" w:rsidRPr="00490E38">
              <w:rPr>
                <w:rFonts w:eastAsiaTheme="minorEastAsia" w:hint="eastAsia"/>
                <w:sz w:val="18"/>
                <w:szCs w:val="18"/>
                <w:lang w:eastAsia="zh-CN"/>
              </w:rPr>
              <w:t>T</w:t>
            </w:r>
            <w:r w:rsidR="00490E38" w:rsidRPr="00490E38">
              <w:rPr>
                <w:rFonts w:eastAsiaTheme="minorEastAsia"/>
                <w:sz w:val="18"/>
                <w:szCs w:val="18"/>
                <w:lang w:val="en-GB" w:eastAsia="zh-CN"/>
              </w:rPr>
              <w:t>here was no evidence that the result was affected by horizontal pleiotropy (MR-Egger regression intercept = -3.6 × 10</w:t>
            </w:r>
            <w:r w:rsidR="00490E38" w:rsidRPr="002C02F2">
              <w:rPr>
                <w:rFonts w:eastAsiaTheme="minorEastAsia"/>
                <w:sz w:val="18"/>
                <w:szCs w:val="18"/>
                <w:vertAlign w:val="superscript"/>
                <w:lang w:val="en-GB" w:eastAsia="zh-CN"/>
              </w:rPr>
              <w:t>-5</w:t>
            </w:r>
            <w:r w:rsidR="00490E38" w:rsidRPr="00490E38">
              <w:rPr>
                <w:rFonts w:eastAsiaTheme="minorEastAsia"/>
                <w:sz w:val="18"/>
                <w:szCs w:val="18"/>
                <w:lang w:val="en-GB" w:eastAsia="zh-CN"/>
              </w:rPr>
              <w:t>; SE = 0.00012; directionality p = 0.772)</w:t>
            </w:r>
            <w:r w:rsidRPr="00962627">
              <w:rPr>
                <w:rFonts w:eastAsiaTheme="minorEastAsia"/>
                <w:sz w:val="18"/>
                <w:szCs w:val="18"/>
                <w:lang w:val="en-GB" w:eastAsia="zh-CN"/>
              </w:rPr>
              <w:t>.</w:t>
            </w:r>
            <w:r>
              <w:rPr>
                <w:rFonts w:eastAsiaTheme="minorEastAsia"/>
                <w:sz w:val="18"/>
                <w:szCs w:val="18"/>
                <w:lang w:val="en-GB" w:eastAsia="zh-CN"/>
              </w:rPr>
              <w:t>”</w:t>
            </w:r>
          </w:p>
        </w:tc>
      </w:tr>
      <w:tr w:rsidR="00D8098C" w:rsidRPr="00B853C6" w14:paraId="1FAC379E" w14:textId="0C198578" w:rsidTr="003D447D">
        <w:tc>
          <w:tcPr>
            <w:tcW w:w="587" w:type="dxa"/>
            <w:shd w:val="clear" w:color="auto" w:fill="EEEEEE"/>
          </w:tcPr>
          <w:p w14:paraId="6762B88A"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4A2216FF" w14:textId="191A9A85" w:rsidR="00D8098C" w:rsidRPr="00490E38" w:rsidRDefault="00490E38" w:rsidP="002C02F2">
            <w:pPr>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val="en-GB" w:eastAsia="zh-CN"/>
              </w:rPr>
              <w:t xml:space="preserve">Answer: </w:t>
            </w:r>
            <w:r>
              <w:rPr>
                <w:rFonts w:eastAsiaTheme="minorEastAsia"/>
                <w:sz w:val="18"/>
                <w:szCs w:val="18"/>
                <w:lang w:val="en-GB" w:eastAsia="zh-CN"/>
              </w:rPr>
              <w:t>“</w:t>
            </w:r>
            <w:r w:rsidRPr="00490E38">
              <w:rPr>
                <w:rFonts w:eastAsia="Times New Roman"/>
                <w:sz w:val="18"/>
                <w:szCs w:val="18"/>
                <w:lang w:val="en-GB" w:eastAsia="en-GB"/>
              </w:rPr>
              <w:t>Table 2 presents the results of the IVW analysis, indicating an elevated risk of cholecystitis in patients with GERD (odds ratio [OR] = 1.004; 95% confidence interval [95%CI] 1.003–1.005, p = 2.68 × 10</w:t>
            </w:r>
            <w:r w:rsidRPr="00490E38">
              <w:rPr>
                <w:rFonts w:eastAsia="Times New Roman"/>
                <w:sz w:val="18"/>
                <w:szCs w:val="18"/>
                <w:vertAlign w:val="superscript"/>
                <w:lang w:val="en-GB" w:eastAsia="en-GB"/>
              </w:rPr>
              <w:t>-9</w:t>
            </w:r>
            <w:r w:rsidRPr="00490E38">
              <w:rPr>
                <w:rFonts w:eastAsia="Times New Roman"/>
                <w:sz w:val="18"/>
                <w:szCs w:val="18"/>
                <w:lang w:val="en-GB" w:eastAsia="en-GB"/>
              </w:rPr>
              <w:t>)</w:t>
            </w:r>
            <w:r>
              <w:rPr>
                <w:rFonts w:eastAsiaTheme="minorEastAsia" w:hint="eastAsia"/>
                <w:sz w:val="18"/>
                <w:szCs w:val="18"/>
                <w:lang w:val="en-GB" w:eastAsia="zh-CN"/>
              </w:rPr>
              <w:t>.</w:t>
            </w:r>
            <w:r>
              <w:rPr>
                <w:rFonts w:eastAsiaTheme="minorEastAsia"/>
                <w:sz w:val="18"/>
                <w:szCs w:val="18"/>
                <w:lang w:val="en-GB" w:eastAsia="zh-CN"/>
              </w:rPr>
              <w:t>”</w:t>
            </w:r>
          </w:p>
        </w:tc>
      </w:tr>
      <w:tr w:rsidR="00D8098C" w:rsidRPr="00B853C6" w14:paraId="00F87C74" w14:textId="30F32A00" w:rsidTr="003D447D">
        <w:tc>
          <w:tcPr>
            <w:tcW w:w="587" w:type="dxa"/>
            <w:shd w:val="clear" w:color="auto" w:fill="auto"/>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B9F0A4D" w14:textId="2823E21F" w:rsidR="00D8098C" w:rsidRPr="00962627" w:rsidRDefault="00962627"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 xml:space="preserve">nswer: </w:t>
            </w:r>
            <w:r>
              <w:rPr>
                <w:rFonts w:eastAsiaTheme="minorEastAsia"/>
                <w:sz w:val="18"/>
                <w:szCs w:val="18"/>
                <w:lang w:val="en-GB" w:eastAsia="zh-CN"/>
              </w:rPr>
              <w:t>“</w:t>
            </w:r>
            <w:r w:rsidR="004A47C2" w:rsidRPr="004A47C2">
              <w:rPr>
                <w:rFonts w:eastAsiaTheme="minorEastAsia"/>
                <w:sz w:val="18"/>
                <w:szCs w:val="18"/>
                <w:lang w:val="en-GB" w:eastAsia="zh-CN"/>
              </w:rPr>
              <w:t>These findings are further supported by the forest plot (Fig. 2) and scatter diagram (Fig. 3).</w:t>
            </w:r>
            <w:r w:rsidR="004A47C2">
              <w:t xml:space="preserve"> </w:t>
            </w:r>
            <w:r w:rsidR="004A47C2" w:rsidRPr="004A47C2">
              <w:rPr>
                <w:rFonts w:eastAsiaTheme="minorEastAsia"/>
                <w:sz w:val="18"/>
                <w:szCs w:val="18"/>
                <w:lang w:val="en-GB" w:eastAsia="zh-CN"/>
              </w:rPr>
              <w:t xml:space="preserve">Asymmetry in the funnel plot indicated directional horizontal pleiotropy; however, there was no evidence of asymmetry (Fig. 4). Moreover, the </w:t>
            </w:r>
            <w:r w:rsidR="004A47C2" w:rsidRPr="004A47C2">
              <w:rPr>
                <w:rFonts w:eastAsiaTheme="minorEastAsia"/>
                <w:sz w:val="18"/>
                <w:szCs w:val="18"/>
                <w:lang w:val="en-GB" w:eastAsia="zh-CN"/>
              </w:rPr>
              <w:lastRenderedPageBreak/>
              <w:t>leave-one-out analysis results were stable when each SNP was discarded one by one (Fig. 5)</w:t>
            </w:r>
            <w:r w:rsidRPr="00962627">
              <w:rPr>
                <w:rFonts w:eastAsiaTheme="minorEastAsia"/>
                <w:sz w:val="18"/>
                <w:szCs w:val="18"/>
                <w:lang w:val="en-GB" w:eastAsia="zh-CN"/>
              </w:rPr>
              <w:t>.</w:t>
            </w:r>
            <w:r>
              <w:rPr>
                <w:rFonts w:eastAsiaTheme="minorEastAsia"/>
                <w:sz w:val="18"/>
                <w:szCs w:val="18"/>
                <w:lang w:val="en-GB" w:eastAsia="zh-CN"/>
              </w:rPr>
              <w:t>”</w:t>
            </w:r>
          </w:p>
        </w:tc>
      </w:tr>
      <w:tr w:rsidR="00D8098C" w:rsidRPr="00B853C6" w14:paraId="62E6DFEA" w14:textId="107C6F5B" w:rsidTr="003D447D">
        <w:tc>
          <w:tcPr>
            <w:tcW w:w="587"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12</w:t>
            </w:r>
          </w:p>
        </w:tc>
        <w:tc>
          <w:tcPr>
            <w:tcW w:w="1822"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D8098C" w:rsidRDefault="00D8098C" w:rsidP="002C02F2">
            <w:pPr>
              <w:spacing w:beforeLines="40" w:before="96" w:afterLines="40" w:after="96" w:line="24" w:lineRule="atLeast"/>
              <w:jc w:val="both"/>
              <w:rPr>
                <w:rFonts w:eastAsia="Cambria"/>
                <w:sz w:val="18"/>
                <w:szCs w:val="18"/>
                <w:lang w:val="en-GB" w:eastAsia="en-US"/>
              </w:rPr>
            </w:pPr>
          </w:p>
        </w:tc>
      </w:tr>
      <w:tr w:rsidR="009F6A60" w:rsidRPr="00B853C6" w14:paraId="48EE0AFA" w14:textId="55C0BF1C" w:rsidTr="003D447D">
        <w:tc>
          <w:tcPr>
            <w:tcW w:w="587" w:type="dxa"/>
            <w:shd w:val="clear" w:color="auto" w:fill="auto"/>
          </w:tcPr>
          <w:p w14:paraId="4E29121D" w14:textId="77777777" w:rsidR="009F6A60" w:rsidRPr="00F0337F" w:rsidRDefault="009F6A60" w:rsidP="009F6A60">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9F6A60" w:rsidRPr="00F0337F" w:rsidRDefault="009F6A60" w:rsidP="009F6A60">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9F6A60" w:rsidRPr="00A1236D" w:rsidRDefault="009F6A60" w:rsidP="009F6A60">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77777777" w:rsidR="009F6A60" w:rsidRPr="00A1236D" w:rsidRDefault="009F6A60" w:rsidP="009F6A60">
            <w:pPr>
              <w:spacing w:beforeLines="40" w:before="96" w:afterLines="40" w:after="96" w:line="24" w:lineRule="atLeast"/>
              <w:rPr>
                <w:rFonts w:eastAsia="Times New Roman"/>
                <w:sz w:val="18"/>
                <w:szCs w:val="18"/>
                <w:lang w:val="en-GB" w:eastAsia="en-GB"/>
              </w:rPr>
            </w:pPr>
          </w:p>
        </w:tc>
        <w:tc>
          <w:tcPr>
            <w:tcW w:w="4320" w:type="dxa"/>
          </w:tcPr>
          <w:p w14:paraId="5E7081D1" w14:textId="099C2172" w:rsidR="009F6A60" w:rsidRDefault="009F6A60" w:rsidP="002C02F2">
            <w:pPr>
              <w:spacing w:beforeLines="40" w:before="96" w:afterLines="40" w:after="96" w:line="24" w:lineRule="atLeast"/>
              <w:jc w:val="both"/>
              <w:rPr>
                <w:rFonts w:eastAsia="Times New Roman"/>
                <w:sz w:val="18"/>
                <w:szCs w:val="18"/>
                <w:lang w:val="en-GB" w:eastAsia="en-GB"/>
              </w:rPr>
            </w:pPr>
            <w:r>
              <w:rPr>
                <w:rFonts w:eastAsiaTheme="minorEastAsia"/>
                <w:sz w:val="18"/>
                <w:szCs w:val="18"/>
                <w:lang w:val="en-GB" w:eastAsia="zh-CN"/>
              </w:rPr>
              <w:t>A</w:t>
            </w:r>
            <w:r>
              <w:rPr>
                <w:rFonts w:eastAsiaTheme="minorEastAsia" w:hint="eastAsia"/>
                <w:sz w:val="18"/>
                <w:szCs w:val="18"/>
                <w:lang w:val="en-GB" w:eastAsia="zh-CN"/>
              </w:rPr>
              <w:t xml:space="preserve">nswer: </w:t>
            </w:r>
            <w:r>
              <w:rPr>
                <w:rFonts w:eastAsiaTheme="minorEastAsia"/>
                <w:sz w:val="18"/>
                <w:szCs w:val="18"/>
                <w:lang w:val="en-GB" w:eastAsia="zh-CN"/>
              </w:rPr>
              <w:t>“</w:t>
            </w:r>
            <w:r w:rsidR="00D963C4">
              <w:rPr>
                <w:rFonts w:eastAsiaTheme="minorEastAsia"/>
                <w:sz w:val="18"/>
                <w:szCs w:val="18"/>
                <w:lang w:val="en-GB" w:eastAsia="zh-CN"/>
              </w:rPr>
              <w:t>Additional file</w:t>
            </w:r>
            <w:r w:rsidRPr="00052B1A">
              <w:rPr>
                <w:rFonts w:eastAsiaTheme="minorEastAsia"/>
                <w:sz w:val="18"/>
                <w:szCs w:val="18"/>
                <w:lang w:val="en-GB" w:eastAsia="zh-CN"/>
              </w:rPr>
              <w:t xml:space="preserve"> </w:t>
            </w:r>
            <w:r w:rsidR="001C4AE7">
              <w:rPr>
                <w:rFonts w:eastAsiaTheme="minorEastAsia"/>
                <w:sz w:val="18"/>
                <w:szCs w:val="18"/>
                <w:lang w:val="en-GB" w:eastAsia="zh-CN"/>
              </w:rPr>
              <w:t>1-2</w:t>
            </w:r>
            <w:r w:rsidRPr="00052B1A">
              <w:rPr>
                <w:rFonts w:eastAsiaTheme="minorEastAsia"/>
                <w:sz w:val="18"/>
                <w:szCs w:val="18"/>
                <w:lang w:val="en-GB" w:eastAsia="zh-CN"/>
              </w:rPr>
              <w:t xml:space="preserve"> provide detailed information on each SNP, including the EA and effect allele frequency (EAF), as well as estimations of their associations with GERD and cholecystitis, including the beta, SE, and P values</w:t>
            </w:r>
            <w:r>
              <w:rPr>
                <w:rFonts w:eastAsiaTheme="minorEastAsia" w:hint="eastAsia"/>
                <w:sz w:val="18"/>
                <w:szCs w:val="18"/>
                <w:lang w:val="en-GB" w:eastAsia="zh-CN"/>
              </w:rPr>
              <w:t>.</w:t>
            </w:r>
            <w:r>
              <w:t xml:space="preserve"> </w:t>
            </w:r>
            <w:r w:rsidRPr="00052B1A">
              <w:rPr>
                <w:rFonts w:eastAsiaTheme="minorEastAsia"/>
                <w:sz w:val="18"/>
                <w:szCs w:val="18"/>
                <w:lang w:val="en-GB" w:eastAsia="zh-CN"/>
              </w:rPr>
              <w:t>Table 2 presents the results of the IVW analysis, indicating an elevated risk of cholecystitis in patients with GERD (odds ratio [OR] = 1.004; 95% confidence interval [95%CI] 1.003–1.005, p = 2.68 × 10</w:t>
            </w:r>
            <w:r w:rsidRPr="00052B1A">
              <w:rPr>
                <w:rFonts w:eastAsiaTheme="minorEastAsia"/>
                <w:sz w:val="18"/>
                <w:szCs w:val="18"/>
                <w:vertAlign w:val="superscript"/>
                <w:lang w:val="en-GB" w:eastAsia="zh-CN"/>
              </w:rPr>
              <w:t>-9</w:t>
            </w:r>
            <w:r w:rsidRPr="00052B1A">
              <w:rPr>
                <w:rFonts w:eastAsiaTheme="minorEastAsia"/>
                <w:sz w:val="18"/>
                <w:szCs w:val="18"/>
                <w:lang w:val="en-GB" w:eastAsia="zh-CN"/>
              </w:rPr>
              <w:t>). Cochran's Q test did not detect the existence of heterogeneity in the causality of cholecystitis, and the I</w:t>
            </w:r>
            <w:r w:rsidRPr="00052B1A">
              <w:rPr>
                <w:rFonts w:eastAsiaTheme="minorEastAsia"/>
                <w:sz w:val="18"/>
                <w:szCs w:val="18"/>
                <w:vertAlign w:val="superscript"/>
                <w:lang w:val="en-GB" w:eastAsia="zh-CN"/>
              </w:rPr>
              <w:t>2</w:t>
            </w:r>
            <w:r w:rsidRPr="00052B1A">
              <w:rPr>
                <w:rFonts w:eastAsiaTheme="minorEastAsia"/>
                <w:sz w:val="18"/>
                <w:szCs w:val="18"/>
                <w:lang w:val="en-GB" w:eastAsia="zh-CN"/>
              </w:rPr>
              <w:t xml:space="preserve"> values in our results showed low heterogeneity, indicating increased reliability of the MR estimates. Table 3 summarizes the results of the sensitivity analysis</w:t>
            </w:r>
            <w:r>
              <w:rPr>
                <w:rFonts w:eastAsiaTheme="minorEastAsia" w:hint="eastAsia"/>
                <w:sz w:val="18"/>
                <w:szCs w:val="18"/>
                <w:lang w:val="en-GB" w:eastAsia="zh-CN"/>
              </w:rPr>
              <w:t>.</w:t>
            </w:r>
            <w:r>
              <w:t xml:space="preserve"> </w:t>
            </w:r>
            <w:r w:rsidRPr="00490E38">
              <w:rPr>
                <w:rFonts w:eastAsiaTheme="minorEastAsia" w:hint="eastAsia"/>
                <w:sz w:val="18"/>
                <w:szCs w:val="18"/>
                <w:lang w:eastAsia="zh-CN"/>
              </w:rPr>
              <w:t>T</w:t>
            </w:r>
            <w:r w:rsidRPr="00490E38">
              <w:rPr>
                <w:rFonts w:eastAsiaTheme="minorEastAsia"/>
                <w:sz w:val="18"/>
                <w:szCs w:val="18"/>
                <w:lang w:val="en-GB" w:eastAsia="zh-CN"/>
              </w:rPr>
              <w:t>here was no evidence that the result was affected by horizontal pleiotropy (MR-Egger regression intercept = -3.6 × 10</w:t>
            </w:r>
            <w:r w:rsidRPr="002C02F2">
              <w:rPr>
                <w:rFonts w:eastAsiaTheme="minorEastAsia"/>
                <w:sz w:val="18"/>
                <w:szCs w:val="18"/>
                <w:vertAlign w:val="superscript"/>
                <w:lang w:val="en-GB" w:eastAsia="zh-CN"/>
              </w:rPr>
              <w:t>-5</w:t>
            </w:r>
            <w:r w:rsidRPr="00490E38">
              <w:rPr>
                <w:rFonts w:eastAsiaTheme="minorEastAsia"/>
                <w:sz w:val="18"/>
                <w:szCs w:val="18"/>
                <w:lang w:val="en-GB" w:eastAsia="zh-CN"/>
              </w:rPr>
              <w:t>; SE = 0.00012; directionality p = 0.772). Asymmetry in the funnel plot indicated directional horizontal pleiotropy; however, there was no evidence of asymmetry (Fig. 4). Moreover, the leave-one-out analysis results were stable when each SNP was discarded one by one (Fig. 5).</w:t>
            </w:r>
            <w:r>
              <w:rPr>
                <w:rFonts w:eastAsiaTheme="minorEastAsia"/>
                <w:sz w:val="18"/>
                <w:szCs w:val="18"/>
                <w:lang w:val="en-GB" w:eastAsia="zh-CN"/>
              </w:rPr>
              <w:t>”</w:t>
            </w:r>
          </w:p>
        </w:tc>
      </w:tr>
      <w:tr w:rsidR="009F6A60" w:rsidRPr="00B853C6" w14:paraId="7BDA55CD" w14:textId="6465618D" w:rsidTr="003D447D">
        <w:tc>
          <w:tcPr>
            <w:tcW w:w="587" w:type="dxa"/>
            <w:shd w:val="clear" w:color="auto" w:fill="EEEEEE"/>
          </w:tcPr>
          <w:p w14:paraId="6F27FA73" w14:textId="77777777" w:rsidR="009F6A60" w:rsidRPr="00F0337F" w:rsidRDefault="009F6A60" w:rsidP="009F6A60">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9F6A60" w:rsidRPr="00F0337F" w:rsidRDefault="009F6A60" w:rsidP="009F6A60">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9F6A60" w:rsidRPr="00A1236D" w:rsidRDefault="009F6A60" w:rsidP="009F6A60">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77777777" w:rsidR="009F6A60" w:rsidRPr="00A1236D" w:rsidRDefault="009F6A60" w:rsidP="009F6A60">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205C4ED8" w14:textId="1DD633F7" w:rsidR="009F6A60" w:rsidRPr="009F6A60" w:rsidRDefault="009F6A60" w:rsidP="002C02F2">
            <w:pPr>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val="en-GB" w:eastAsia="zh-CN"/>
              </w:rPr>
              <w:t xml:space="preserve">Answer: </w:t>
            </w:r>
            <w:r>
              <w:rPr>
                <w:rFonts w:eastAsiaTheme="minorEastAsia"/>
                <w:sz w:val="18"/>
                <w:szCs w:val="18"/>
                <w:lang w:val="en-GB" w:eastAsia="zh-CN"/>
              </w:rPr>
              <w:t>“</w:t>
            </w:r>
            <w:r>
              <w:rPr>
                <w:rFonts w:eastAsiaTheme="minorEastAsia" w:hint="eastAsia"/>
                <w:sz w:val="18"/>
                <w:szCs w:val="18"/>
                <w:lang w:val="en-GB" w:eastAsia="zh-CN"/>
              </w:rPr>
              <w:t>T</w:t>
            </w:r>
            <w:r w:rsidRPr="009F6A60">
              <w:rPr>
                <w:rFonts w:eastAsiaTheme="minorEastAsia"/>
                <w:sz w:val="18"/>
                <w:szCs w:val="18"/>
                <w:lang w:val="en-GB" w:eastAsia="zh-CN"/>
              </w:rPr>
              <w:t>he Cochran's Q test did not detect the existence of heterogeneity in the causality of cholecystitis, and the I</w:t>
            </w:r>
            <w:r w:rsidRPr="009F6A60">
              <w:rPr>
                <w:rFonts w:eastAsiaTheme="minorEastAsia"/>
                <w:sz w:val="18"/>
                <w:szCs w:val="18"/>
                <w:vertAlign w:val="superscript"/>
                <w:lang w:val="en-GB" w:eastAsia="zh-CN"/>
              </w:rPr>
              <w:t>2</w:t>
            </w:r>
            <w:r w:rsidRPr="009F6A60">
              <w:rPr>
                <w:rFonts w:eastAsiaTheme="minorEastAsia"/>
                <w:sz w:val="18"/>
                <w:szCs w:val="18"/>
                <w:lang w:val="en-GB" w:eastAsia="zh-CN"/>
              </w:rPr>
              <w:t xml:space="preserve"> values in our results showed low heterogeneity, indicating increased reliability of the MR estimates. Table 3 summarizes the results of the sensitivity analysis. In addition, there was no evidence that the result was affected by horizontal pleiotropy (MR-Egger regression intercept = -3.6 × 10</w:t>
            </w:r>
            <w:r w:rsidRPr="009F6A60">
              <w:rPr>
                <w:rFonts w:eastAsiaTheme="minorEastAsia"/>
                <w:sz w:val="18"/>
                <w:szCs w:val="18"/>
                <w:vertAlign w:val="superscript"/>
                <w:lang w:val="en-GB" w:eastAsia="zh-CN"/>
              </w:rPr>
              <w:t>-5</w:t>
            </w:r>
            <w:r w:rsidRPr="009F6A60">
              <w:rPr>
                <w:rFonts w:eastAsiaTheme="minorEastAsia"/>
                <w:sz w:val="18"/>
                <w:szCs w:val="18"/>
                <w:lang w:val="en-GB" w:eastAsia="zh-CN"/>
              </w:rPr>
              <w:t>; SE = 0.00012; directionality p = 0.772)</w:t>
            </w:r>
            <w:r>
              <w:rPr>
                <w:rFonts w:eastAsiaTheme="minorEastAsia" w:hint="eastAsia"/>
                <w:sz w:val="18"/>
                <w:szCs w:val="18"/>
                <w:lang w:val="en-GB" w:eastAsia="zh-CN"/>
              </w:rPr>
              <w:t>.</w:t>
            </w:r>
            <w:r>
              <w:rPr>
                <w:rFonts w:eastAsiaTheme="minorEastAsia"/>
                <w:sz w:val="18"/>
                <w:szCs w:val="18"/>
                <w:lang w:val="en-GB" w:eastAsia="zh-CN"/>
              </w:rPr>
              <w:t>”</w:t>
            </w:r>
          </w:p>
        </w:tc>
      </w:tr>
      <w:tr w:rsidR="009F6A60" w:rsidRPr="00B853C6" w14:paraId="23F1C43D" w14:textId="6396118D" w:rsidTr="003D447D">
        <w:tc>
          <w:tcPr>
            <w:tcW w:w="587" w:type="dxa"/>
            <w:shd w:val="clear" w:color="auto" w:fill="auto"/>
          </w:tcPr>
          <w:p w14:paraId="021A9BB4" w14:textId="77777777" w:rsidR="009F6A60" w:rsidRPr="00F0337F" w:rsidRDefault="009F6A60" w:rsidP="009F6A60">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shd w:val="clear" w:color="auto" w:fill="auto"/>
          </w:tcPr>
          <w:p w14:paraId="51D3F02D" w14:textId="77777777" w:rsidR="009F6A60" w:rsidRPr="00F0337F" w:rsidRDefault="009F6A60" w:rsidP="009F6A60">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9F6A60" w:rsidRPr="00A1236D" w:rsidRDefault="009F6A60" w:rsidP="009F6A60">
            <w:pPr>
              <w:spacing w:beforeLines="40" w:before="96" w:afterLines="40" w:after="96" w:line="24" w:lineRule="atLeast"/>
              <w:rPr>
                <w:rFonts w:eastAsia="Cambria"/>
                <w:sz w:val="18"/>
                <w:szCs w:val="18"/>
                <w:lang w:val="en-GB" w:eastAsia="en-US"/>
              </w:rPr>
            </w:pPr>
          </w:p>
        </w:tc>
        <w:tc>
          <w:tcPr>
            <w:tcW w:w="720" w:type="dxa"/>
          </w:tcPr>
          <w:p w14:paraId="50481D19" w14:textId="77777777" w:rsidR="009F6A60" w:rsidRPr="00A1236D" w:rsidRDefault="009F6A60" w:rsidP="009F6A60">
            <w:pPr>
              <w:spacing w:beforeLines="40" w:before="96" w:afterLines="40" w:after="96" w:line="24" w:lineRule="atLeast"/>
              <w:rPr>
                <w:rFonts w:eastAsia="Cambria"/>
                <w:sz w:val="18"/>
                <w:szCs w:val="18"/>
                <w:lang w:val="en-GB" w:eastAsia="en-US"/>
              </w:rPr>
            </w:pPr>
          </w:p>
        </w:tc>
        <w:tc>
          <w:tcPr>
            <w:tcW w:w="4320" w:type="dxa"/>
          </w:tcPr>
          <w:p w14:paraId="0F2C43F0" w14:textId="77777777" w:rsidR="009F6A60" w:rsidRDefault="009F6A60" w:rsidP="002C02F2">
            <w:pPr>
              <w:spacing w:beforeLines="40" w:before="96" w:afterLines="40" w:after="96" w:line="24" w:lineRule="atLeast"/>
              <w:jc w:val="both"/>
              <w:rPr>
                <w:rFonts w:eastAsia="Cambria"/>
                <w:sz w:val="18"/>
                <w:szCs w:val="18"/>
                <w:lang w:val="en-GB" w:eastAsia="en-US"/>
              </w:rPr>
            </w:pPr>
          </w:p>
        </w:tc>
      </w:tr>
      <w:tr w:rsidR="001F3ED3" w:rsidRPr="00B853C6" w14:paraId="1ABE2F1D" w14:textId="316B0F58" w:rsidTr="003D447D">
        <w:tc>
          <w:tcPr>
            <w:tcW w:w="587" w:type="dxa"/>
            <w:shd w:val="clear" w:color="auto" w:fill="EEEEEE"/>
          </w:tcPr>
          <w:p w14:paraId="0D022F9B" w14:textId="77777777" w:rsidR="001F3ED3" w:rsidRPr="00F0337F" w:rsidRDefault="001F3ED3" w:rsidP="001F3ED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1F3ED3" w:rsidRPr="00F0337F" w:rsidRDefault="001F3ED3" w:rsidP="001F3ED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1F3ED3" w:rsidRPr="00A1236D" w:rsidRDefault="001F3ED3" w:rsidP="001F3ED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77777777" w:rsidR="001F3ED3" w:rsidRPr="00A1236D" w:rsidRDefault="001F3ED3" w:rsidP="001F3ED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3386906" w14:textId="347B75A8" w:rsidR="001F3ED3" w:rsidRDefault="001F3ED3" w:rsidP="002C02F2">
            <w:pPr>
              <w:spacing w:beforeLines="40" w:before="96" w:afterLines="40" w:after="96" w:line="24" w:lineRule="atLeast"/>
              <w:jc w:val="both"/>
              <w:rPr>
                <w:rFonts w:eastAsia="Times New Roman"/>
                <w:sz w:val="18"/>
                <w:szCs w:val="18"/>
                <w:lang w:val="en-GB" w:eastAsia="en-GB"/>
              </w:rPr>
            </w:pPr>
            <w:r>
              <w:rPr>
                <w:rFonts w:eastAsiaTheme="minorEastAsia"/>
                <w:sz w:val="18"/>
                <w:szCs w:val="18"/>
                <w:lang w:val="en-GB" w:eastAsia="zh-CN"/>
              </w:rPr>
              <w:t>A</w:t>
            </w:r>
            <w:r>
              <w:rPr>
                <w:rFonts w:eastAsiaTheme="minorEastAsia" w:hint="eastAsia"/>
                <w:sz w:val="18"/>
                <w:szCs w:val="18"/>
                <w:lang w:val="en-GB" w:eastAsia="zh-CN"/>
              </w:rPr>
              <w:t xml:space="preserve">nswer: </w:t>
            </w:r>
            <w:r>
              <w:rPr>
                <w:rFonts w:eastAsiaTheme="minorEastAsia"/>
                <w:sz w:val="18"/>
                <w:szCs w:val="18"/>
                <w:lang w:val="en-GB" w:eastAsia="zh-CN"/>
              </w:rPr>
              <w:t>“</w:t>
            </w:r>
            <w:r w:rsidRPr="00052B1A">
              <w:rPr>
                <w:rFonts w:eastAsiaTheme="minorEastAsia"/>
                <w:sz w:val="18"/>
                <w:szCs w:val="18"/>
                <w:lang w:val="en-GB" w:eastAsia="zh-CN"/>
              </w:rPr>
              <w:t xml:space="preserve">indicating an elevated risk of cholecystitis in patients with GERD (odds ratio [OR] = 1.004; 95% confidence interval [95%CI] 1.003–1.005, p = 2.68 × </w:t>
            </w:r>
            <w:r w:rsidRPr="00052B1A">
              <w:rPr>
                <w:rFonts w:eastAsiaTheme="minorEastAsia"/>
                <w:sz w:val="18"/>
                <w:szCs w:val="18"/>
                <w:lang w:val="en-GB" w:eastAsia="zh-CN"/>
              </w:rPr>
              <w:lastRenderedPageBreak/>
              <w:t>10</w:t>
            </w:r>
            <w:r w:rsidRPr="00052B1A">
              <w:rPr>
                <w:rFonts w:eastAsiaTheme="minorEastAsia"/>
                <w:sz w:val="18"/>
                <w:szCs w:val="18"/>
                <w:vertAlign w:val="superscript"/>
                <w:lang w:val="en-GB" w:eastAsia="zh-CN"/>
              </w:rPr>
              <w:t>-9</w:t>
            </w:r>
            <w:r w:rsidRPr="00052B1A">
              <w:rPr>
                <w:rFonts w:eastAsiaTheme="minorEastAsia"/>
                <w:sz w:val="18"/>
                <w:szCs w:val="18"/>
                <w:lang w:val="en-GB" w:eastAsia="zh-CN"/>
              </w:rPr>
              <w:t>). Cochran's Q test did not detect the existence of heterogeneity in the causality of cholecystitis, and the I</w:t>
            </w:r>
            <w:r w:rsidRPr="00052B1A">
              <w:rPr>
                <w:rFonts w:eastAsiaTheme="minorEastAsia"/>
                <w:sz w:val="18"/>
                <w:szCs w:val="18"/>
                <w:vertAlign w:val="superscript"/>
                <w:lang w:val="en-GB" w:eastAsia="zh-CN"/>
              </w:rPr>
              <w:t>2</w:t>
            </w:r>
            <w:r w:rsidRPr="00052B1A">
              <w:rPr>
                <w:rFonts w:eastAsiaTheme="minorEastAsia"/>
                <w:sz w:val="18"/>
                <w:szCs w:val="18"/>
                <w:lang w:val="en-GB" w:eastAsia="zh-CN"/>
              </w:rPr>
              <w:t xml:space="preserve"> values in our results showed low heterogeneity, indicating increased reliability of the MR estimates. Table 3 summarizes the results of the sensitivity analysis</w:t>
            </w:r>
            <w:r>
              <w:rPr>
                <w:rFonts w:eastAsiaTheme="minorEastAsia" w:hint="eastAsia"/>
                <w:sz w:val="18"/>
                <w:szCs w:val="18"/>
                <w:lang w:val="en-GB" w:eastAsia="zh-CN"/>
              </w:rPr>
              <w:t>.</w:t>
            </w:r>
            <w:r>
              <w:t xml:space="preserve"> </w:t>
            </w:r>
            <w:r w:rsidRPr="00490E38">
              <w:rPr>
                <w:rFonts w:eastAsiaTheme="minorEastAsia" w:hint="eastAsia"/>
                <w:sz w:val="18"/>
                <w:szCs w:val="18"/>
                <w:lang w:eastAsia="zh-CN"/>
              </w:rPr>
              <w:t>T</w:t>
            </w:r>
            <w:r w:rsidRPr="00490E38">
              <w:rPr>
                <w:rFonts w:eastAsiaTheme="minorEastAsia"/>
                <w:sz w:val="18"/>
                <w:szCs w:val="18"/>
                <w:lang w:val="en-GB" w:eastAsia="zh-CN"/>
              </w:rPr>
              <w:t>here was no evidence that the result was affected by horizontal pleiotropy (MR-Egger regression intercept = -3.6 × 10</w:t>
            </w:r>
            <w:r w:rsidRPr="002C02F2">
              <w:rPr>
                <w:rFonts w:eastAsiaTheme="minorEastAsia"/>
                <w:sz w:val="18"/>
                <w:szCs w:val="18"/>
                <w:vertAlign w:val="superscript"/>
                <w:lang w:val="en-GB" w:eastAsia="zh-CN"/>
              </w:rPr>
              <w:t>-5</w:t>
            </w:r>
            <w:r w:rsidRPr="00490E38">
              <w:rPr>
                <w:rFonts w:eastAsiaTheme="minorEastAsia"/>
                <w:sz w:val="18"/>
                <w:szCs w:val="18"/>
                <w:lang w:val="en-GB" w:eastAsia="zh-CN"/>
              </w:rPr>
              <w:t>; SE = 0.00012; directionality p = 0.772). Asymmetry in the funnel plot indicated directional horizontal pleiotropy; however, there was no evidence of asymmetry (Fig. 4). Moreover, the leave-one-out analysis results were stable when each SNP was discarded one by one (Fig. 5).</w:t>
            </w:r>
            <w:r>
              <w:rPr>
                <w:rFonts w:eastAsiaTheme="minorEastAsia"/>
                <w:sz w:val="18"/>
                <w:szCs w:val="18"/>
                <w:lang w:val="en-GB" w:eastAsia="zh-CN"/>
              </w:rPr>
              <w:t>”</w:t>
            </w:r>
          </w:p>
        </w:tc>
      </w:tr>
      <w:tr w:rsidR="001F3ED3" w:rsidRPr="00B853C6" w14:paraId="3696A9F1" w14:textId="63B96DDA" w:rsidTr="003D447D">
        <w:tc>
          <w:tcPr>
            <w:tcW w:w="587" w:type="dxa"/>
            <w:shd w:val="clear" w:color="auto" w:fill="auto"/>
          </w:tcPr>
          <w:p w14:paraId="0D2234E5" w14:textId="77777777" w:rsidR="001F3ED3" w:rsidRPr="00F0337F" w:rsidRDefault="001F3ED3" w:rsidP="001F3ED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1F3ED3" w:rsidRPr="00F0337F" w:rsidRDefault="001F3ED3" w:rsidP="001F3ED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1F3ED3" w:rsidRPr="00A1236D" w:rsidRDefault="001F3ED3" w:rsidP="001F3ED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tcPr>
          <w:p w14:paraId="447F5BF5" w14:textId="77777777" w:rsidR="001F3ED3" w:rsidRPr="00A1236D" w:rsidRDefault="001F3ED3" w:rsidP="001F3ED3">
            <w:pPr>
              <w:spacing w:beforeLines="40" w:before="96" w:afterLines="40" w:after="96" w:line="24" w:lineRule="atLeast"/>
              <w:rPr>
                <w:rFonts w:eastAsia="Times New Roman"/>
                <w:sz w:val="18"/>
                <w:szCs w:val="18"/>
                <w:lang w:val="en-GB" w:eastAsia="en-GB"/>
              </w:rPr>
            </w:pPr>
          </w:p>
        </w:tc>
        <w:tc>
          <w:tcPr>
            <w:tcW w:w="4320" w:type="dxa"/>
          </w:tcPr>
          <w:p w14:paraId="5BB83735" w14:textId="1A1CF4F9" w:rsidR="001F3ED3" w:rsidRPr="001F3ED3" w:rsidRDefault="001F3ED3" w:rsidP="002C02F2">
            <w:pPr>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val="en-GB" w:eastAsia="zh-CN"/>
              </w:rPr>
              <w:t xml:space="preserve">Answer: </w:t>
            </w:r>
            <w:r>
              <w:rPr>
                <w:rFonts w:eastAsiaTheme="minorEastAsia"/>
                <w:sz w:val="18"/>
                <w:szCs w:val="18"/>
                <w:lang w:val="en-GB" w:eastAsia="zh-CN"/>
              </w:rPr>
              <w:t>“</w:t>
            </w:r>
            <w:r w:rsidRPr="001F3ED3">
              <w:rPr>
                <w:rFonts w:eastAsiaTheme="minorEastAsia"/>
                <w:sz w:val="18"/>
                <w:szCs w:val="18"/>
                <w:lang w:val="en-GB" w:eastAsia="zh-CN"/>
              </w:rPr>
              <w:t>Moreover, the leave-one-out analysis results were stable when each SNP was discarded one by one (Fig. 5)</w:t>
            </w:r>
            <w:r>
              <w:rPr>
                <w:rFonts w:eastAsiaTheme="minorEastAsia" w:hint="eastAsia"/>
                <w:sz w:val="18"/>
                <w:szCs w:val="18"/>
                <w:lang w:val="en-GB" w:eastAsia="zh-CN"/>
              </w:rPr>
              <w:t>.</w:t>
            </w:r>
            <w:r>
              <w:rPr>
                <w:rFonts w:eastAsiaTheme="minorEastAsia"/>
                <w:sz w:val="18"/>
                <w:szCs w:val="18"/>
                <w:lang w:val="en-GB" w:eastAsia="zh-CN"/>
              </w:rPr>
              <w:t>”</w:t>
            </w:r>
          </w:p>
        </w:tc>
      </w:tr>
      <w:tr w:rsidR="001F3ED3" w:rsidRPr="00B853C6" w14:paraId="1650BAB8" w14:textId="79D11DE7" w:rsidTr="003D447D">
        <w:tc>
          <w:tcPr>
            <w:tcW w:w="587" w:type="dxa"/>
            <w:shd w:val="clear" w:color="auto" w:fill="EEEEEE"/>
          </w:tcPr>
          <w:p w14:paraId="4D025CC4" w14:textId="77777777" w:rsidR="001F3ED3" w:rsidRPr="00F0337F" w:rsidRDefault="001F3ED3" w:rsidP="001F3ED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1F3ED3" w:rsidRPr="00F0337F" w:rsidRDefault="001F3ED3" w:rsidP="001F3ED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1F3ED3" w:rsidRPr="00A1236D" w:rsidRDefault="001F3ED3" w:rsidP="001F3ED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77777777" w:rsidR="001F3ED3" w:rsidRPr="00A1236D" w:rsidRDefault="001F3ED3" w:rsidP="001F3ED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66751F07" w14:textId="72DB9412" w:rsidR="001F3ED3" w:rsidRPr="001F3ED3" w:rsidRDefault="001F3ED3" w:rsidP="002C02F2">
            <w:pPr>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val="en-GB" w:eastAsia="zh-CN"/>
              </w:rPr>
              <w:t xml:space="preserve">Answer: </w:t>
            </w:r>
            <w:r>
              <w:rPr>
                <w:rFonts w:eastAsiaTheme="minorEastAsia"/>
                <w:sz w:val="18"/>
                <w:szCs w:val="18"/>
                <w:lang w:val="en-GB" w:eastAsia="zh-CN"/>
              </w:rPr>
              <w:t>“</w:t>
            </w:r>
            <w:r w:rsidRPr="001F3ED3">
              <w:rPr>
                <w:rFonts w:eastAsiaTheme="minorEastAsia"/>
                <w:sz w:val="18"/>
                <w:szCs w:val="18"/>
                <w:lang w:val="en-GB" w:eastAsia="zh-CN"/>
              </w:rPr>
              <w:t>In addition, there was no evidence that the result was affected by horizontal pleiotropy (MR-Egger regression intercept = -3.6 × 10</w:t>
            </w:r>
            <w:r w:rsidRPr="001F3ED3">
              <w:rPr>
                <w:rFonts w:eastAsiaTheme="minorEastAsia"/>
                <w:sz w:val="18"/>
                <w:szCs w:val="18"/>
                <w:vertAlign w:val="superscript"/>
                <w:lang w:val="en-GB" w:eastAsia="zh-CN"/>
              </w:rPr>
              <w:t>-5</w:t>
            </w:r>
            <w:r w:rsidRPr="001F3ED3">
              <w:rPr>
                <w:rFonts w:eastAsiaTheme="minorEastAsia"/>
                <w:sz w:val="18"/>
                <w:szCs w:val="18"/>
                <w:lang w:val="en-GB" w:eastAsia="zh-CN"/>
              </w:rPr>
              <w:t>; SE = 0.00012; directionality p = 0.772)</w:t>
            </w:r>
            <w:r w:rsidRPr="00ED26C6">
              <w:rPr>
                <w:rFonts w:eastAsia="Times New Roman"/>
                <w:sz w:val="18"/>
                <w:szCs w:val="18"/>
                <w:lang w:val="en-GB" w:eastAsia="en-GB"/>
              </w:rPr>
              <w:t>.</w:t>
            </w:r>
            <w:r>
              <w:rPr>
                <w:rFonts w:eastAsiaTheme="minorEastAsia"/>
                <w:sz w:val="18"/>
                <w:szCs w:val="18"/>
                <w:lang w:val="en-GB" w:eastAsia="zh-CN"/>
              </w:rPr>
              <w:t>”</w:t>
            </w:r>
          </w:p>
        </w:tc>
      </w:tr>
      <w:tr w:rsidR="001F3ED3" w:rsidRPr="00B853C6" w14:paraId="2034ACF7" w14:textId="19A8CB33" w:rsidTr="003D447D">
        <w:tc>
          <w:tcPr>
            <w:tcW w:w="587" w:type="dxa"/>
            <w:shd w:val="clear" w:color="auto" w:fill="auto"/>
          </w:tcPr>
          <w:p w14:paraId="3217ECED" w14:textId="77777777" w:rsidR="001F3ED3" w:rsidRPr="00F0337F" w:rsidRDefault="001F3ED3" w:rsidP="001F3ED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1F3ED3" w:rsidRPr="00F0337F" w:rsidRDefault="001F3ED3" w:rsidP="001F3ED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1F3ED3" w:rsidRPr="00A1236D" w:rsidRDefault="001F3ED3" w:rsidP="001F3ED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77777777" w:rsidR="001F3ED3" w:rsidRPr="00A1236D" w:rsidRDefault="001F3ED3" w:rsidP="001F3ED3">
            <w:pPr>
              <w:spacing w:beforeLines="40" w:before="96" w:afterLines="40" w:after="96" w:line="24" w:lineRule="atLeast"/>
              <w:rPr>
                <w:rFonts w:eastAsia="Times New Roman"/>
                <w:sz w:val="18"/>
                <w:szCs w:val="18"/>
                <w:lang w:val="en-GB" w:eastAsia="en-GB"/>
              </w:rPr>
            </w:pPr>
          </w:p>
        </w:tc>
        <w:tc>
          <w:tcPr>
            <w:tcW w:w="4320" w:type="dxa"/>
          </w:tcPr>
          <w:p w14:paraId="7B882C5B" w14:textId="05BF5943" w:rsidR="001F3ED3" w:rsidRPr="001F3ED3" w:rsidRDefault="001F3ED3" w:rsidP="002C02F2">
            <w:pPr>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val="en-GB" w:eastAsia="zh-CN"/>
              </w:rPr>
              <w:t xml:space="preserve">Answer: </w:t>
            </w:r>
            <w:r>
              <w:rPr>
                <w:rFonts w:eastAsiaTheme="minorEastAsia"/>
                <w:sz w:val="18"/>
                <w:szCs w:val="18"/>
                <w:lang w:val="en-GB" w:eastAsia="zh-CN"/>
              </w:rPr>
              <w:t>“</w:t>
            </w:r>
            <w:r w:rsidRPr="001F3ED3">
              <w:rPr>
                <w:rFonts w:eastAsia="Times New Roman"/>
                <w:sz w:val="18"/>
                <w:szCs w:val="18"/>
                <w:lang w:val="en-GB" w:eastAsia="en-GB"/>
              </w:rPr>
              <w:t xml:space="preserve">The symptomatic similarities between GERD and cholecystitis exceed chance expectations, increasing the likelihood of diagnostic errors and compromising patient treatment and outcomes. </w:t>
            </w:r>
            <w:proofErr w:type="spellStart"/>
            <w:r w:rsidRPr="001F3ED3">
              <w:rPr>
                <w:rFonts w:eastAsia="Times New Roman"/>
                <w:sz w:val="18"/>
                <w:szCs w:val="18"/>
                <w:lang w:val="en-GB" w:eastAsia="en-GB"/>
              </w:rPr>
              <w:t>Vagus</w:t>
            </w:r>
            <w:proofErr w:type="spellEnd"/>
            <w:r w:rsidRPr="001F3ED3">
              <w:rPr>
                <w:rFonts w:eastAsia="Times New Roman"/>
                <w:sz w:val="18"/>
                <w:szCs w:val="18"/>
                <w:lang w:val="en-GB" w:eastAsia="en-GB"/>
              </w:rPr>
              <w:t xml:space="preserve"> nerve abnormalities lead to dyskinesia and </w:t>
            </w:r>
            <w:proofErr w:type="spellStart"/>
            <w:r w:rsidRPr="001F3ED3">
              <w:rPr>
                <w:rFonts w:eastAsia="Times New Roman"/>
                <w:sz w:val="18"/>
                <w:szCs w:val="18"/>
                <w:lang w:val="en-GB" w:eastAsia="en-GB"/>
              </w:rPr>
              <w:t>paresthesia</w:t>
            </w:r>
            <w:proofErr w:type="spellEnd"/>
            <w:r w:rsidRPr="001F3ED3">
              <w:rPr>
                <w:rFonts w:eastAsia="Times New Roman"/>
                <w:sz w:val="18"/>
                <w:szCs w:val="18"/>
                <w:lang w:val="en-GB" w:eastAsia="en-GB"/>
              </w:rPr>
              <w:t xml:space="preserve"> in the gastroesophageal and biliary systems, and some studies have reported an increased incidence of GERD after cholecystectomy, suggesting that there may be a connection between GERD and cholecystitis, or due to neurological or endocrine factors</w:t>
            </w:r>
            <w:r>
              <w:rPr>
                <w:rFonts w:eastAsiaTheme="minorEastAsia" w:hint="eastAsia"/>
                <w:sz w:val="18"/>
                <w:szCs w:val="18"/>
                <w:lang w:val="en-GB" w:eastAsia="zh-CN"/>
              </w:rPr>
              <w:t>.</w:t>
            </w:r>
            <w:r>
              <w:rPr>
                <w:rFonts w:eastAsiaTheme="minorEastAsia"/>
                <w:sz w:val="18"/>
                <w:szCs w:val="18"/>
                <w:lang w:val="en-GB" w:eastAsia="zh-CN"/>
              </w:rPr>
              <w:t>”</w:t>
            </w:r>
          </w:p>
        </w:tc>
      </w:tr>
      <w:tr w:rsidR="001F3ED3" w:rsidRPr="00B853C6" w14:paraId="3E7CFBFC" w14:textId="3F99A047" w:rsidTr="003D447D">
        <w:tc>
          <w:tcPr>
            <w:tcW w:w="587" w:type="dxa"/>
            <w:tcBorders>
              <w:bottom w:val="single" w:sz="6" w:space="0" w:color="7F7F7F"/>
            </w:tcBorders>
            <w:shd w:val="clear" w:color="auto" w:fill="EEEEEE"/>
          </w:tcPr>
          <w:p w14:paraId="1FDC421F" w14:textId="77777777" w:rsidR="001F3ED3" w:rsidRPr="00F0337F" w:rsidRDefault="001F3ED3" w:rsidP="001F3ED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1F3ED3" w:rsidRPr="00F0337F" w:rsidRDefault="001F3ED3" w:rsidP="001F3ED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1F3ED3" w:rsidRPr="00A1236D" w:rsidRDefault="001F3ED3" w:rsidP="001F3ED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77777777" w:rsidR="001F3ED3" w:rsidRPr="00A1236D" w:rsidRDefault="001F3ED3" w:rsidP="001F3ED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03A6AB93" w14:textId="19BC22FC" w:rsidR="001F3ED3" w:rsidRPr="001F3ED3" w:rsidRDefault="001F3ED3" w:rsidP="002C02F2">
            <w:pPr>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val="en-GB" w:eastAsia="zh-CN"/>
              </w:rPr>
              <w:t xml:space="preserve">Answer: </w:t>
            </w:r>
            <w:r>
              <w:rPr>
                <w:rFonts w:eastAsiaTheme="minorEastAsia"/>
                <w:sz w:val="18"/>
                <w:szCs w:val="18"/>
                <w:lang w:val="en-GB" w:eastAsia="zh-CN"/>
              </w:rPr>
              <w:t>“</w:t>
            </w:r>
            <w:r w:rsidRPr="001F3ED3">
              <w:rPr>
                <w:rFonts w:eastAsia="Times New Roman"/>
                <w:sz w:val="18"/>
                <w:szCs w:val="18"/>
                <w:lang w:val="en-GB" w:eastAsia="en-GB"/>
              </w:rPr>
              <w:t>Asymmetry in the funnel plot indicated directional horizontal pleiotropy; however, there was no evidence of asymmetry (Fig. 4). Moreover, the leave-one-out analysis results were stable when each SNP was discarded one by one (Fig. 5)</w:t>
            </w:r>
            <w:r w:rsidRPr="00ED26C6">
              <w:rPr>
                <w:rFonts w:eastAsia="Times New Roman"/>
                <w:sz w:val="18"/>
                <w:szCs w:val="18"/>
                <w:lang w:val="en-GB" w:eastAsia="en-GB"/>
              </w:rPr>
              <w:t>.</w:t>
            </w:r>
            <w:r>
              <w:rPr>
                <w:rFonts w:eastAsiaTheme="minorEastAsia"/>
                <w:sz w:val="18"/>
                <w:szCs w:val="18"/>
                <w:lang w:val="en-GB" w:eastAsia="zh-CN"/>
              </w:rPr>
              <w:t>”</w:t>
            </w:r>
          </w:p>
        </w:tc>
      </w:tr>
      <w:tr w:rsidR="001F3ED3" w:rsidRPr="00B853C6" w14:paraId="5B7D2773" w14:textId="7D8D257A" w:rsidTr="003D447D">
        <w:tc>
          <w:tcPr>
            <w:tcW w:w="587" w:type="dxa"/>
            <w:tcBorders>
              <w:top w:val="single" w:sz="6" w:space="0" w:color="7F7F7F"/>
            </w:tcBorders>
            <w:shd w:val="clear" w:color="auto" w:fill="auto"/>
          </w:tcPr>
          <w:p w14:paraId="5BDBDA65" w14:textId="77777777" w:rsidR="001F3ED3" w:rsidRPr="00F0337F" w:rsidRDefault="001F3ED3" w:rsidP="001F3ED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1F3ED3" w:rsidRPr="00F0337F" w:rsidRDefault="001F3ED3" w:rsidP="001F3ED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1F3ED3" w:rsidRPr="00A1236D" w:rsidRDefault="001F3ED3" w:rsidP="001F3ED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1F3ED3" w:rsidRPr="00A1236D" w:rsidRDefault="001F3ED3" w:rsidP="001F3ED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1F3ED3" w:rsidRDefault="001F3ED3" w:rsidP="002C02F2">
            <w:pPr>
              <w:spacing w:beforeLines="40" w:before="96" w:afterLines="40" w:after="96" w:line="24" w:lineRule="atLeast"/>
              <w:jc w:val="both"/>
              <w:rPr>
                <w:rFonts w:eastAsia="Cambria"/>
                <w:sz w:val="18"/>
                <w:szCs w:val="18"/>
                <w:lang w:val="en-GB" w:eastAsia="en-US"/>
              </w:rPr>
            </w:pPr>
          </w:p>
        </w:tc>
      </w:tr>
      <w:tr w:rsidR="001F3ED3" w:rsidRPr="00B853C6" w14:paraId="1800AF05" w14:textId="4BEA2748" w:rsidTr="003D447D">
        <w:tc>
          <w:tcPr>
            <w:tcW w:w="587" w:type="dxa"/>
            <w:shd w:val="clear" w:color="auto" w:fill="EEEEEE"/>
          </w:tcPr>
          <w:p w14:paraId="6B5F5286" w14:textId="77777777" w:rsidR="001F3ED3" w:rsidRPr="00F0337F" w:rsidRDefault="001F3ED3" w:rsidP="001F3ED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1F3ED3" w:rsidRPr="00F0337F" w:rsidRDefault="001F3ED3" w:rsidP="001F3ED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1F3ED3" w:rsidRPr="00A1236D" w:rsidRDefault="001F3ED3" w:rsidP="001F3ED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77777777" w:rsidR="001F3ED3" w:rsidRPr="00A1236D" w:rsidRDefault="001F3ED3" w:rsidP="001F3ED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0F1DDE7" w14:textId="70B1FD79" w:rsidR="001F3ED3" w:rsidRPr="008A6B97" w:rsidRDefault="008A6B97" w:rsidP="002C02F2">
            <w:pPr>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val="en-GB" w:eastAsia="zh-CN"/>
              </w:rPr>
              <w:t xml:space="preserve">Answer: </w:t>
            </w:r>
            <w:r>
              <w:rPr>
                <w:rFonts w:eastAsiaTheme="minorEastAsia"/>
                <w:sz w:val="18"/>
                <w:szCs w:val="18"/>
                <w:lang w:val="en-GB" w:eastAsia="zh-CN"/>
              </w:rPr>
              <w:t>“</w:t>
            </w:r>
            <w:r w:rsidRPr="008A6B97">
              <w:rPr>
                <w:rFonts w:eastAsia="Times New Roman"/>
                <w:sz w:val="18"/>
                <w:szCs w:val="18"/>
                <w:lang w:val="en-GB" w:eastAsia="en-GB"/>
              </w:rPr>
              <w:t xml:space="preserve">In this study, we conducted a two-sample MR analysis to evaluate the causal association between GERD and cholecystitis. Our analysis demonstrated that genetically-predicted GERD was </w:t>
            </w:r>
            <w:r w:rsidRPr="008A6B97">
              <w:rPr>
                <w:rFonts w:eastAsia="Times New Roman"/>
                <w:sz w:val="18"/>
                <w:szCs w:val="18"/>
                <w:lang w:val="en-GB" w:eastAsia="en-GB"/>
              </w:rPr>
              <w:lastRenderedPageBreak/>
              <w:t>significantly associated with an increased risk of cholecystitis.</w:t>
            </w:r>
            <w:r>
              <w:rPr>
                <w:rFonts w:eastAsiaTheme="minorEastAsia"/>
                <w:sz w:val="18"/>
                <w:szCs w:val="18"/>
                <w:lang w:val="en-GB" w:eastAsia="zh-CN"/>
              </w:rPr>
              <w:t>”</w:t>
            </w:r>
          </w:p>
        </w:tc>
      </w:tr>
      <w:tr w:rsidR="001F3ED3" w:rsidRPr="00B853C6" w14:paraId="06BFAFA4" w14:textId="151FB6CE" w:rsidTr="003D447D">
        <w:tc>
          <w:tcPr>
            <w:tcW w:w="587" w:type="dxa"/>
            <w:shd w:val="clear" w:color="auto" w:fill="auto"/>
          </w:tcPr>
          <w:p w14:paraId="6D471CC5" w14:textId="77777777" w:rsidR="001F3ED3" w:rsidRPr="00F0337F" w:rsidRDefault="001F3ED3" w:rsidP="001F3ED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15</w:t>
            </w:r>
          </w:p>
        </w:tc>
        <w:tc>
          <w:tcPr>
            <w:tcW w:w="1822" w:type="dxa"/>
            <w:shd w:val="clear" w:color="auto" w:fill="auto"/>
          </w:tcPr>
          <w:p w14:paraId="5C27961E" w14:textId="77777777" w:rsidR="001F3ED3" w:rsidRPr="00F0337F" w:rsidRDefault="001F3ED3" w:rsidP="001F3ED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1F3ED3" w:rsidRPr="00A1236D" w:rsidRDefault="001F3ED3" w:rsidP="001F3ED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77777777" w:rsidR="001F3ED3" w:rsidRPr="00A1236D" w:rsidRDefault="001F3ED3" w:rsidP="001F3ED3">
            <w:pPr>
              <w:spacing w:beforeLines="40" w:before="96" w:afterLines="40" w:after="96" w:line="24" w:lineRule="atLeast"/>
              <w:rPr>
                <w:rFonts w:eastAsia="Times New Roman"/>
                <w:sz w:val="18"/>
                <w:szCs w:val="18"/>
                <w:lang w:val="en-GB" w:eastAsia="en-GB"/>
              </w:rPr>
            </w:pPr>
          </w:p>
        </w:tc>
        <w:tc>
          <w:tcPr>
            <w:tcW w:w="4320" w:type="dxa"/>
          </w:tcPr>
          <w:p w14:paraId="7CB4BA33" w14:textId="0A2AB85C" w:rsidR="001F3ED3" w:rsidRPr="00DF7741" w:rsidRDefault="001F3ED3" w:rsidP="002C02F2">
            <w:pPr>
              <w:spacing w:beforeLines="40" w:before="96" w:afterLines="40" w:after="96" w:line="24" w:lineRule="atLeast"/>
              <w:jc w:val="both"/>
              <w:rPr>
                <w:rFonts w:eastAsiaTheme="minorEastAsia"/>
                <w:sz w:val="18"/>
                <w:szCs w:val="18"/>
                <w:lang w:val="en-GB" w:eastAsia="zh-CN"/>
              </w:rPr>
            </w:pPr>
            <w:r>
              <w:rPr>
                <w:rFonts w:eastAsiaTheme="minorEastAsia"/>
                <w:sz w:val="18"/>
                <w:szCs w:val="18"/>
                <w:lang w:val="en-GB" w:eastAsia="zh-CN"/>
              </w:rPr>
              <w:t>A</w:t>
            </w:r>
            <w:r>
              <w:rPr>
                <w:rFonts w:eastAsiaTheme="minorEastAsia" w:hint="eastAsia"/>
                <w:sz w:val="18"/>
                <w:szCs w:val="18"/>
                <w:lang w:val="en-GB" w:eastAsia="zh-CN"/>
              </w:rPr>
              <w:t xml:space="preserve">nswer: </w:t>
            </w:r>
            <w:r>
              <w:rPr>
                <w:rFonts w:eastAsiaTheme="minorEastAsia"/>
                <w:sz w:val="18"/>
                <w:szCs w:val="18"/>
                <w:lang w:val="en-GB" w:eastAsia="zh-CN"/>
              </w:rPr>
              <w:t>“</w:t>
            </w:r>
            <w:r w:rsidR="008A6B97" w:rsidRPr="008A6B97">
              <w:rPr>
                <w:rFonts w:eastAsiaTheme="minorEastAsia"/>
                <w:sz w:val="18"/>
                <w:szCs w:val="18"/>
                <w:lang w:val="en-GB" w:eastAsia="zh-CN"/>
              </w:rPr>
              <w:t>First, the reliance on self-reported GERD diagnosis may have affected the reliability of the MR results. The lack of a detailed classification of GERD in the current GWAS study limits our ability to investigate the causal relationship between GERD and cholecystitis. To address this issue, future investigations should use GWAS data for GERD diagnosis based solely on the ICD criteria to validate the findings presented herein. In addition, due to the lack of sufficient IVs for GERD subtypes, the inverse causal relationship between GERD subtypes and GM needs to be further explored in the future. Second, the summary GWAS data for GERD and cholecystitis were obtained exclusively from individuals of European descent, thereby limiting the generalizability of our findings to the broader population. Considering the potential influence of race and selection bias on causality, additional MR studies involving diverse populations are warranted. Furthermore, genetic variants may have a negligible impact on a given exposure (GERD), because they may account for only a small proportion of the variance. Therefore, this study may have been underpowered in terms of detection of such associations. Third, two-sample MR studies may involve over-identification, leading to an overestimation of the association between SNP and exposure. Additionally, the causal effects of GERD on cholecystitis appeared modest, indicating a relatively low risk of cholecystitis as a secondary outcome of GERD. Nevertheless, the absence of pleiotropy in the modest MR estimates provides reassurance of the robustness of the MR estimates. Notably, this study is the first to investigate of the causal relationship between GERD and cholecystitis.</w:t>
            </w:r>
            <w:r>
              <w:rPr>
                <w:rFonts w:eastAsiaTheme="minorEastAsia"/>
                <w:sz w:val="18"/>
                <w:szCs w:val="18"/>
                <w:lang w:val="en-GB" w:eastAsia="zh-CN"/>
              </w:rPr>
              <w:t>”</w:t>
            </w:r>
          </w:p>
        </w:tc>
      </w:tr>
      <w:tr w:rsidR="001F3ED3" w:rsidRPr="00B853C6" w14:paraId="71F8B8B5" w14:textId="34C247AC" w:rsidTr="003D447D">
        <w:tc>
          <w:tcPr>
            <w:tcW w:w="587" w:type="dxa"/>
            <w:shd w:val="clear" w:color="auto" w:fill="EEEEEE"/>
          </w:tcPr>
          <w:p w14:paraId="02C1D590" w14:textId="77777777" w:rsidR="001F3ED3" w:rsidRPr="00F0337F" w:rsidRDefault="001F3ED3" w:rsidP="001F3ED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22" w:type="dxa"/>
            <w:shd w:val="clear" w:color="auto" w:fill="EEEEEE"/>
          </w:tcPr>
          <w:p w14:paraId="612AA484" w14:textId="77777777" w:rsidR="001F3ED3" w:rsidRPr="00F0337F" w:rsidRDefault="001F3ED3" w:rsidP="001F3ED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1F3ED3" w:rsidRPr="00A1236D" w:rsidRDefault="001F3ED3" w:rsidP="001F3ED3">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1F3ED3" w:rsidRPr="00A1236D" w:rsidRDefault="001F3ED3" w:rsidP="001F3ED3">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1F3ED3" w:rsidRDefault="001F3ED3" w:rsidP="002C02F2">
            <w:pPr>
              <w:spacing w:beforeLines="40" w:before="96" w:afterLines="40" w:after="96" w:line="24" w:lineRule="atLeast"/>
              <w:jc w:val="both"/>
              <w:rPr>
                <w:rFonts w:eastAsia="Cambria"/>
                <w:sz w:val="18"/>
                <w:szCs w:val="18"/>
                <w:lang w:val="en-GB" w:eastAsia="en-US"/>
              </w:rPr>
            </w:pPr>
          </w:p>
        </w:tc>
      </w:tr>
      <w:tr w:rsidR="001F3ED3" w:rsidRPr="00B853C6" w14:paraId="62E6D51A" w14:textId="140D03A2" w:rsidTr="003D447D">
        <w:tc>
          <w:tcPr>
            <w:tcW w:w="587" w:type="dxa"/>
            <w:shd w:val="clear" w:color="auto" w:fill="auto"/>
          </w:tcPr>
          <w:p w14:paraId="6DD2F448" w14:textId="77777777" w:rsidR="001F3ED3" w:rsidRPr="00F0337F" w:rsidRDefault="001F3ED3" w:rsidP="001F3ED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1F3ED3" w:rsidRPr="00F0337F" w:rsidRDefault="001F3ED3" w:rsidP="001F3ED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096ED659" w:rsidR="001F3ED3" w:rsidRPr="00A1236D" w:rsidRDefault="001F3ED3" w:rsidP="001F3ED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w:t>
            </w:r>
            <w:proofErr w:type="gramStart"/>
            <w:r w:rsidRPr="00A1236D">
              <w:rPr>
                <w:rFonts w:eastAsia="Times New Roman"/>
                <w:sz w:val="18"/>
                <w:szCs w:val="18"/>
                <w:lang w:val="en-GB" w:eastAsia="en-GB"/>
              </w:rPr>
              <w:t xml:space="preserve">and in comparison </w:t>
            </w:r>
            <w:proofErr w:type="gramEnd"/>
            <w:r>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77777777" w:rsidR="001F3ED3" w:rsidRPr="00A1236D" w:rsidRDefault="001F3ED3" w:rsidP="001F3ED3">
            <w:pPr>
              <w:spacing w:beforeLines="40" w:before="96" w:afterLines="40" w:after="96" w:line="24" w:lineRule="atLeast"/>
              <w:rPr>
                <w:rFonts w:eastAsia="Times New Roman"/>
                <w:sz w:val="18"/>
                <w:szCs w:val="18"/>
                <w:lang w:val="en-GB" w:eastAsia="en-GB"/>
              </w:rPr>
            </w:pPr>
          </w:p>
        </w:tc>
        <w:tc>
          <w:tcPr>
            <w:tcW w:w="4320" w:type="dxa"/>
          </w:tcPr>
          <w:p w14:paraId="5251245C" w14:textId="52D3525A" w:rsidR="001F3ED3" w:rsidRPr="00091472" w:rsidRDefault="00091472" w:rsidP="002C02F2">
            <w:pPr>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val="en-GB" w:eastAsia="zh-CN"/>
              </w:rPr>
              <w:t xml:space="preserve">Answer: </w:t>
            </w:r>
            <w:r>
              <w:rPr>
                <w:rFonts w:eastAsiaTheme="minorEastAsia"/>
                <w:sz w:val="18"/>
                <w:szCs w:val="18"/>
                <w:lang w:val="en-GB" w:eastAsia="zh-CN"/>
              </w:rPr>
              <w:t>“</w:t>
            </w:r>
            <w:r w:rsidRPr="00091472">
              <w:rPr>
                <w:rFonts w:eastAsiaTheme="minorEastAsia"/>
                <w:sz w:val="18"/>
                <w:szCs w:val="18"/>
                <w:lang w:val="en-GB" w:eastAsia="zh-CN"/>
              </w:rPr>
              <w:t xml:space="preserve">The present MR study provides compelling evidence that the mechanisms underlying the effects of GERD on cholecystitis risk are noteworthy. Further investigations are warranted to gain a more comprehensive understanding of these mechanisms. However, we continue to emphasize </w:t>
            </w:r>
            <w:r w:rsidRPr="00091472">
              <w:rPr>
                <w:rFonts w:eastAsiaTheme="minorEastAsia"/>
                <w:sz w:val="18"/>
                <w:szCs w:val="18"/>
                <w:lang w:val="en-GB" w:eastAsia="zh-CN"/>
              </w:rPr>
              <w:lastRenderedPageBreak/>
              <w:t>the need for independent MR studies, large prospective trials, and basic experiments in relevant laboratories to validate our findings using more accurate population data on cholecystitis and GERD.</w:t>
            </w:r>
            <w:r>
              <w:rPr>
                <w:rFonts w:eastAsiaTheme="minorEastAsia"/>
                <w:sz w:val="18"/>
                <w:szCs w:val="18"/>
                <w:lang w:val="en-GB" w:eastAsia="zh-CN"/>
              </w:rPr>
              <w:t>”</w:t>
            </w:r>
          </w:p>
        </w:tc>
      </w:tr>
      <w:tr w:rsidR="001F3ED3" w:rsidRPr="00B853C6" w14:paraId="156B69E5" w14:textId="453FC5BE" w:rsidTr="003D447D">
        <w:tc>
          <w:tcPr>
            <w:tcW w:w="587" w:type="dxa"/>
            <w:shd w:val="clear" w:color="auto" w:fill="EEEEEE"/>
          </w:tcPr>
          <w:p w14:paraId="4C8A2215" w14:textId="77777777" w:rsidR="001F3ED3" w:rsidRPr="00F0337F" w:rsidRDefault="001F3ED3" w:rsidP="001F3ED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1F3ED3" w:rsidRPr="00F0337F" w:rsidRDefault="001F3ED3" w:rsidP="001F3ED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1F3ED3" w:rsidRPr="00A1236D" w:rsidRDefault="001F3ED3" w:rsidP="001F3ED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77777777" w:rsidR="001F3ED3" w:rsidRPr="00A1236D" w:rsidRDefault="001F3ED3" w:rsidP="001F3ED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3A91F000" w14:textId="022BDF7D" w:rsidR="001F3ED3" w:rsidRDefault="00091472" w:rsidP="002C02F2">
            <w:pPr>
              <w:spacing w:beforeLines="40" w:before="96" w:afterLines="40" w:after="96" w:line="24" w:lineRule="atLeast"/>
              <w:jc w:val="both"/>
              <w:rPr>
                <w:rFonts w:eastAsia="Times New Roman"/>
                <w:sz w:val="18"/>
                <w:szCs w:val="18"/>
                <w:lang w:val="en-GB" w:eastAsia="en-GB"/>
              </w:rPr>
            </w:pPr>
            <w:r>
              <w:rPr>
                <w:rFonts w:eastAsiaTheme="minorEastAsia" w:hint="eastAsia"/>
                <w:sz w:val="18"/>
                <w:szCs w:val="18"/>
                <w:lang w:val="en-GB" w:eastAsia="zh-CN"/>
              </w:rPr>
              <w:t xml:space="preserve">Answer: </w:t>
            </w:r>
            <w:r>
              <w:rPr>
                <w:rFonts w:eastAsiaTheme="minorEastAsia"/>
                <w:sz w:val="18"/>
                <w:szCs w:val="18"/>
                <w:lang w:val="en-GB" w:eastAsia="zh-CN"/>
              </w:rPr>
              <w:t>“</w:t>
            </w:r>
            <w:r w:rsidRPr="00091472">
              <w:rPr>
                <w:rFonts w:eastAsiaTheme="minorEastAsia"/>
                <w:sz w:val="18"/>
                <w:szCs w:val="18"/>
                <w:lang w:val="en-GB" w:eastAsia="zh-CN"/>
              </w:rPr>
              <w:t xml:space="preserve">The motor function of the gastroesophageal and biliary tract systems is regulated by nervous and humoral factors, among which the enteric nervous system (ENS), which is mainly composed of </w:t>
            </w:r>
            <w:proofErr w:type="spellStart"/>
            <w:r w:rsidRPr="00091472">
              <w:rPr>
                <w:rFonts w:eastAsiaTheme="minorEastAsia"/>
                <w:sz w:val="18"/>
                <w:szCs w:val="18"/>
                <w:lang w:val="en-GB" w:eastAsia="zh-CN"/>
              </w:rPr>
              <w:t>peptitineural</w:t>
            </w:r>
            <w:proofErr w:type="spellEnd"/>
            <w:r w:rsidRPr="00091472">
              <w:rPr>
                <w:rFonts w:eastAsiaTheme="minorEastAsia"/>
                <w:sz w:val="18"/>
                <w:szCs w:val="18"/>
                <w:lang w:val="en-GB" w:eastAsia="zh-CN"/>
              </w:rPr>
              <w:t xml:space="preserve"> nerves, plays the most important role. The ENS-interstitial cells of Cajal (ICC)-smooth muscle cells (SMC) network structure is the basic functional unit of gastrointestinal motility. Therefore, GERD and cholecystitis are closely related to </w:t>
            </w:r>
            <w:proofErr w:type="spellStart"/>
            <w:r w:rsidRPr="00091472">
              <w:rPr>
                <w:rFonts w:eastAsiaTheme="minorEastAsia"/>
                <w:sz w:val="18"/>
                <w:szCs w:val="18"/>
                <w:lang w:val="en-GB" w:eastAsia="zh-CN"/>
              </w:rPr>
              <w:t>vagus</w:t>
            </w:r>
            <w:proofErr w:type="spellEnd"/>
            <w:r w:rsidRPr="00091472">
              <w:rPr>
                <w:rFonts w:eastAsiaTheme="minorEastAsia"/>
                <w:sz w:val="18"/>
                <w:szCs w:val="18"/>
                <w:lang w:val="en-GB" w:eastAsia="zh-CN"/>
              </w:rPr>
              <w:t xml:space="preserve"> nerve abnormalities and ICC abnormalities. This may exacerbate cholestasis, resulting in the onset of cholecystitis, accompanied by intractable dyspepsia. Patients with cholecystitis are prone to bile reflux, and the main damage caused by bile reflux to the </w:t>
            </w:r>
            <w:proofErr w:type="spellStart"/>
            <w:r w:rsidRPr="00091472">
              <w:rPr>
                <w:rFonts w:eastAsiaTheme="minorEastAsia"/>
                <w:sz w:val="18"/>
                <w:szCs w:val="18"/>
                <w:lang w:val="en-GB" w:eastAsia="zh-CN"/>
              </w:rPr>
              <w:t>esophageal</w:t>
            </w:r>
            <w:proofErr w:type="spellEnd"/>
            <w:r w:rsidRPr="00091472">
              <w:rPr>
                <w:rFonts w:eastAsiaTheme="minorEastAsia"/>
                <w:sz w:val="18"/>
                <w:szCs w:val="18"/>
                <w:lang w:val="en-GB" w:eastAsia="zh-CN"/>
              </w:rPr>
              <w:t xml:space="preserve"> mucosa is bile acids. When the concentration of bile acids exceeds the physiological level or the action time is prolonged, the intracellular bile acid concentration is too high, which destroys the intracellular membrane system and leads to cell necrosis, while the stimulation of bile salts can cause the expression of oxidative stress-related genes, induce DNA damage, and eventually lead to mucosal erosion and ulceration. Understanding the underlying mechanisms may be valuable in preventing and treating cholecystitis symptoms in patients with GERD, therefore, further research should be conducted to better elucidate the mechanisms.</w:t>
            </w:r>
            <w:r>
              <w:rPr>
                <w:rFonts w:eastAsiaTheme="minorEastAsia"/>
                <w:sz w:val="18"/>
                <w:szCs w:val="18"/>
                <w:lang w:val="en-GB" w:eastAsia="zh-CN"/>
              </w:rPr>
              <w:t>”</w:t>
            </w:r>
          </w:p>
        </w:tc>
      </w:tr>
      <w:tr w:rsidR="001F3ED3" w:rsidRPr="00B853C6" w14:paraId="203390A0" w14:textId="367D17C4" w:rsidTr="003D447D">
        <w:tc>
          <w:tcPr>
            <w:tcW w:w="587" w:type="dxa"/>
            <w:shd w:val="clear" w:color="auto" w:fill="auto"/>
          </w:tcPr>
          <w:p w14:paraId="54CA3A27" w14:textId="77777777" w:rsidR="001F3ED3" w:rsidRPr="00F0337F" w:rsidRDefault="001F3ED3" w:rsidP="001F3ED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1F3ED3" w:rsidRPr="00F0337F" w:rsidRDefault="001F3ED3" w:rsidP="001F3ED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1F3ED3" w:rsidRPr="00A1236D" w:rsidRDefault="001F3ED3" w:rsidP="001F3ED3">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77777777" w:rsidR="001F3ED3" w:rsidRPr="00A1236D" w:rsidRDefault="001F3ED3" w:rsidP="001F3ED3">
            <w:pPr>
              <w:tabs>
                <w:tab w:val="left" w:pos="1350"/>
              </w:tabs>
              <w:spacing w:beforeLines="40" w:before="96" w:afterLines="40" w:after="96" w:line="24" w:lineRule="atLeast"/>
              <w:rPr>
                <w:rFonts w:eastAsia="Times New Roman"/>
                <w:sz w:val="18"/>
                <w:szCs w:val="18"/>
                <w:lang w:val="en-GB" w:eastAsia="en-GB"/>
              </w:rPr>
            </w:pPr>
          </w:p>
        </w:tc>
        <w:tc>
          <w:tcPr>
            <w:tcW w:w="4320" w:type="dxa"/>
          </w:tcPr>
          <w:p w14:paraId="78058AE6" w14:textId="2A58A265" w:rsidR="001F3ED3" w:rsidRPr="00091472" w:rsidRDefault="00091472" w:rsidP="002C02F2">
            <w:pPr>
              <w:tabs>
                <w:tab w:val="left" w:pos="1350"/>
              </w:tabs>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val="en-GB" w:eastAsia="zh-CN"/>
              </w:rPr>
              <w:t xml:space="preserve">Answer: </w:t>
            </w:r>
            <w:r>
              <w:rPr>
                <w:rFonts w:eastAsiaTheme="minorEastAsia"/>
                <w:sz w:val="18"/>
                <w:szCs w:val="18"/>
                <w:lang w:val="en-GB" w:eastAsia="zh-CN"/>
              </w:rPr>
              <w:t>“</w:t>
            </w:r>
            <w:r>
              <w:rPr>
                <w:rFonts w:eastAsiaTheme="minorEastAsia" w:hint="eastAsia"/>
                <w:sz w:val="18"/>
                <w:szCs w:val="18"/>
                <w:lang w:val="en-GB" w:eastAsia="zh-CN"/>
              </w:rPr>
              <w:t>O</w:t>
            </w:r>
            <w:r w:rsidRPr="00091472">
              <w:rPr>
                <w:rFonts w:eastAsiaTheme="minorEastAsia"/>
                <w:sz w:val="18"/>
                <w:szCs w:val="18"/>
                <w:lang w:val="en-GB" w:eastAsia="zh-CN"/>
              </w:rPr>
              <w:t>ur MR analysis establishes a causal relationship between GERD and cholecystitis, particularly an increased risk of cholecystitis in patients with genetically-predicted GERD. However, further studies are required to elucidate the fundamental mechanisms underlying this causal association.</w:t>
            </w:r>
            <w:r>
              <w:rPr>
                <w:rFonts w:eastAsiaTheme="minorEastAsia"/>
                <w:sz w:val="18"/>
                <w:szCs w:val="18"/>
                <w:lang w:val="en-GB" w:eastAsia="zh-CN"/>
              </w:rPr>
              <w:t>”</w:t>
            </w:r>
          </w:p>
        </w:tc>
      </w:tr>
      <w:tr w:rsidR="001F3ED3" w:rsidRPr="00B853C6" w14:paraId="71FDAFC1" w14:textId="00A47F15" w:rsidTr="003D447D">
        <w:tc>
          <w:tcPr>
            <w:tcW w:w="587" w:type="dxa"/>
            <w:tcBorders>
              <w:bottom w:val="single" w:sz="6" w:space="0" w:color="7F7F7F"/>
            </w:tcBorders>
            <w:shd w:val="clear" w:color="auto" w:fill="EEEEEE"/>
          </w:tcPr>
          <w:p w14:paraId="7540155A" w14:textId="77777777" w:rsidR="001F3ED3" w:rsidRPr="00F0337F" w:rsidRDefault="001F3ED3" w:rsidP="001F3ED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1F3ED3" w:rsidRPr="00F0337F" w:rsidRDefault="001F3ED3" w:rsidP="001F3ED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1F3ED3" w:rsidRPr="00A1236D" w:rsidRDefault="001F3ED3" w:rsidP="001F3ED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77777777" w:rsidR="001F3ED3" w:rsidRPr="00A1236D" w:rsidRDefault="001F3ED3" w:rsidP="001F3ED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41ABF5A9" w14:textId="0E90AB36" w:rsidR="001F3ED3" w:rsidRPr="00091472" w:rsidRDefault="00091472" w:rsidP="002C02F2">
            <w:pPr>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val="en-GB" w:eastAsia="zh-CN"/>
              </w:rPr>
              <w:t xml:space="preserve">Answer: </w:t>
            </w:r>
            <w:r>
              <w:rPr>
                <w:rFonts w:eastAsiaTheme="minorEastAsia"/>
                <w:sz w:val="18"/>
                <w:szCs w:val="18"/>
                <w:lang w:val="en-GB" w:eastAsia="zh-CN"/>
              </w:rPr>
              <w:t>“</w:t>
            </w:r>
            <w:r>
              <w:rPr>
                <w:rFonts w:eastAsiaTheme="minorEastAsia" w:hint="eastAsia"/>
                <w:sz w:val="18"/>
                <w:szCs w:val="18"/>
                <w:lang w:val="en-GB" w:eastAsia="zh-CN"/>
              </w:rPr>
              <w:t>T</w:t>
            </w:r>
            <w:r w:rsidRPr="00091472">
              <w:rPr>
                <w:rFonts w:eastAsia="Times New Roman"/>
                <w:sz w:val="18"/>
                <w:szCs w:val="18"/>
                <w:lang w:val="en-GB" w:eastAsia="en-GB"/>
              </w:rPr>
              <w:t xml:space="preserve">he summary GWAS data for GERD and cholecystitis were obtained exclusively from individuals of European descent, thereby limiting the generalizability of our findings to the broader </w:t>
            </w:r>
            <w:r w:rsidRPr="00091472">
              <w:rPr>
                <w:rFonts w:eastAsia="Times New Roman"/>
                <w:sz w:val="18"/>
                <w:szCs w:val="18"/>
                <w:lang w:val="en-GB" w:eastAsia="en-GB"/>
              </w:rPr>
              <w:lastRenderedPageBreak/>
              <w:t>population. Considering the potential influence of race and selection bias on causality, additional MR studies involving diverse populations are warranted. Furthermore, genetic variants may have a negligible impact on a given exposure (GERD), because they may account for only a small proportion of the variance. Therefore, this study may have been underpowered in terms of detection of such associations.</w:t>
            </w:r>
            <w:r>
              <w:rPr>
                <w:rFonts w:eastAsiaTheme="minorEastAsia"/>
                <w:sz w:val="18"/>
                <w:szCs w:val="18"/>
                <w:lang w:val="en-GB" w:eastAsia="zh-CN"/>
              </w:rPr>
              <w:t>”</w:t>
            </w:r>
          </w:p>
        </w:tc>
      </w:tr>
      <w:tr w:rsidR="001F3ED3" w:rsidRPr="00B853C6" w14:paraId="57884E75" w14:textId="6FD41AE6" w:rsidTr="003D447D">
        <w:tc>
          <w:tcPr>
            <w:tcW w:w="587" w:type="dxa"/>
            <w:tcBorders>
              <w:top w:val="single" w:sz="6" w:space="0" w:color="7F7F7F"/>
            </w:tcBorders>
            <w:shd w:val="clear" w:color="auto" w:fill="auto"/>
          </w:tcPr>
          <w:p w14:paraId="2C4C694A" w14:textId="77777777" w:rsidR="001F3ED3" w:rsidRPr="00F0337F" w:rsidRDefault="001F3ED3" w:rsidP="001F3ED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1F3ED3" w:rsidRPr="00F0337F" w:rsidRDefault="001F3ED3" w:rsidP="001F3ED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1F3ED3" w:rsidRPr="00F0337F" w:rsidRDefault="001F3ED3" w:rsidP="001F3ED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1F3ED3" w:rsidRPr="00F0337F" w:rsidRDefault="001F3ED3" w:rsidP="001F3ED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1F3ED3" w:rsidRDefault="001F3ED3" w:rsidP="002C02F2">
            <w:pPr>
              <w:spacing w:beforeLines="40" w:before="96" w:afterLines="40" w:after="96" w:line="24" w:lineRule="atLeast"/>
              <w:jc w:val="both"/>
              <w:rPr>
                <w:rFonts w:eastAsia="Cambria"/>
                <w:sz w:val="18"/>
                <w:szCs w:val="18"/>
                <w:lang w:val="en-GB" w:eastAsia="en-US"/>
              </w:rPr>
            </w:pPr>
          </w:p>
        </w:tc>
      </w:tr>
      <w:tr w:rsidR="001F3ED3" w:rsidRPr="00B853C6" w14:paraId="0014C6D1" w14:textId="2FC4D004" w:rsidTr="003D447D">
        <w:tc>
          <w:tcPr>
            <w:tcW w:w="587" w:type="dxa"/>
            <w:shd w:val="clear" w:color="auto" w:fill="EEEEEE"/>
          </w:tcPr>
          <w:p w14:paraId="2336D08C" w14:textId="77777777" w:rsidR="001F3ED3" w:rsidRPr="00F0337F" w:rsidRDefault="001F3ED3" w:rsidP="001F3ED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1F3ED3" w:rsidRPr="00F0337F" w:rsidRDefault="001F3ED3" w:rsidP="001F3ED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1F3ED3" w:rsidRPr="00F0337F" w:rsidRDefault="001F3ED3" w:rsidP="001F3ED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77777777" w:rsidR="001F3ED3" w:rsidRPr="00F0337F" w:rsidRDefault="001F3ED3" w:rsidP="001F3ED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2C6CE5FF" w14:textId="6276727F" w:rsidR="001F3ED3" w:rsidRPr="00091472" w:rsidRDefault="001F3ED3" w:rsidP="002C02F2">
            <w:pPr>
              <w:spacing w:beforeLines="40" w:before="96" w:afterLines="40" w:after="96" w:line="24" w:lineRule="atLeast"/>
              <w:jc w:val="both"/>
              <w:rPr>
                <w:rFonts w:eastAsiaTheme="minorEastAsia"/>
                <w:sz w:val="18"/>
                <w:szCs w:val="18"/>
                <w:lang w:eastAsia="zh-CN"/>
              </w:rPr>
            </w:pPr>
            <w:r>
              <w:rPr>
                <w:rFonts w:eastAsiaTheme="minorEastAsia" w:hint="eastAsia"/>
                <w:sz w:val="18"/>
                <w:szCs w:val="18"/>
                <w:lang w:val="en-GB" w:eastAsia="zh-CN"/>
              </w:rPr>
              <w:t xml:space="preserve">Answer: </w:t>
            </w:r>
            <w:r>
              <w:rPr>
                <w:rFonts w:eastAsiaTheme="minorEastAsia"/>
                <w:sz w:val="18"/>
                <w:szCs w:val="18"/>
                <w:lang w:val="en-GB" w:eastAsia="zh-CN"/>
              </w:rPr>
              <w:t>“</w:t>
            </w:r>
            <w:r w:rsidR="00091472" w:rsidRPr="00091472">
              <w:rPr>
                <w:rFonts w:eastAsiaTheme="minorEastAsia"/>
                <w:sz w:val="18"/>
                <w:szCs w:val="18"/>
                <w:lang w:val="en-GB" w:eastAsia="zh-CN"/>
              </w:rPr>
              <w:t>This work was supported by grants from the Wuxi Health Commission Youth Project (Q202242), Top Talent Support Program for Young and Middle-Aged People of the Wuxi Health Committee (HB2023046), and the National Natural Science Foundation of China (82303117).</w:t>
            </w:r>
            <w:r w:rsidR="00091472">
              <w:rPr>
                <w:rFonts w:eastAsiaTheme="minorEastAsia"/>
                <w:sz w:val="18"/>
                <w:szCs w:val="18"/>
                <w:lang w:val="en-GB" w:eastAsia="zh-CN"/>
              </w:rPr>
              <w:t>”</w:t>
            </w:r>
          </w:p>
        </w:tc>
      </w:tr>
      <w:tr w:rsidR="001F3ED3" w:rsidRPr="00B853C6" w14:paraId="1B22CB41" w14:textId="102364C9" w:rsidTr="003D447D">
        <w:tc>
          <w:tcPr>
            <w:tcW w:w="587" w:type="dxa"/>
            <w:shd w:val="clear" w:color="auto" w:fill="auto"/>
          </w:tcPr>
          <w:p w14:paraId="381BF2BA" w14:textId="77777777" w:rsidR="001F3ED3" w:rsidRPr="00F0337F" w:rsidRDefault="001F3ED3" w:rsidP="001F3ED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shd w:val="clear" w:color="auto" w:fill="auto"/>
          </w:tcPr>
          <w:p w14:paraId="233BA942" w14:textId="77777777" w:rsidR="001F3ED3" w:rsidRPr="00F0337F" w:rsidRDefault="001F3ED3" w:rsidP="001F3ED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1F3ED3" w:rsidRPr="00F0337F" w:rsidRDefault="001F3ED3" w:rsidP="001F3ED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5725EE6D" w14:textId="77777777" w:rsidR="001F3ED3" w:rsidRPr="00F0337F" w:rsidRDefault="001F3ED3" w:rsidP="001F3ED3">
            <w:pPr>
              <w:spacing w:beforeLines="40" w:before="96" w:afterLines="40" w:after="96" w:line="24" w:lineRule="atLeast"/>
              <w:rPr>
                <w:rFonts w:eastAsia="Times New Roman"/>
                <w:sz w:val="18"/>
                <w:szCs w:val="18"/>
                <w:lang w:val="en-GB" w:eastAsia="en-GB"/>
              </w:rPr>
            </w:pPr>
          </w:p>
        </w:tc>
        <w:tc>
          <w:tcPr>
            <w:tcW w:w="4320" w:type="dxa"/>
          </w:tcPr>
          <w:p w14:paraId="38DE3AA7" w14:textId="02CD8897" w:rsidR="001F3ED3" w:rsidRPr="003F49FF" w:rsidRDefault="001F3ED3" w:rsidP="002C02F2">
            <w:pPr>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val="en-GB" w:eastAsia="zh-CN"/>
              </w:rPr>
              <w:t xml:space="preserve">Answer: </w:t>
            </w:r>
            <w:r>
              <w:rPr>
                <w:rFonts w:eastAsiaTheme="minorEastAsia"/>
                <w:sz w:val="18"/>
                <w:szCs w:val="18"/>
                <w:lang w:val="en-GB" w:eastAsia="zh-CN"/>
              </w:rPr>
              <w:t>“</w:t>
            </w:r>
            <w:r w:rsidR="00091472" w:rsidRPr="00091472">
              <w:rPr>
                <w:rFonts w:eastAsiaTheme="minorEastAsia"/>
                <w:sz w:val="18"/>
                <w:szCs w:val="18"/>
                <w:lang w:val="en-GB" w:eastAsia="zh-CN"/>
              </w:rPr>
              <w:t>The datasets utilized in this study, namely the GWAS for GERD and cholecystitis, were obtained from publicly accessible databases of large-scale genome-wide association studies.</w:t>
            </w:r>
            <w:r w:rsidR="00091472">
              <w:rPr>
                <w:rFonts w:eastAsiaTheme="minorEastAsia"/>
                <w:sz w:val="18"/>
                <w:szCs w:val="18"/>
                <w:lang w:val="en-GB" w:eastAsia="zh-CN"/>
              </w:rPr>
              <w:t>”</w:t>
            </w:r>
          </w:p>
        </w:tc>
      </w:tr>
      <w:tr w:rsidR="001F3ED3" w:rsidRPr="00B853C6" w14:paraId="1BFE6A86" w14:textId="26747AA0" w:rsidTr="003D447D">
        <w:tc>
          <w:tcPr>
            <w:tcW w:w="587" w:type="dxa"/>
            <w:tcBorders>
              <w:bottom w:val="single" w:sz="6" w:space="0" w:color="7F7F7F"/>
            </w:tcBorders>
            <w:shd w:val="clear" w:color="auto" w:fill="EEEEEE"/>
          </w:tcPr>
          <w:p w14:paraId="20DC2C92" w14:textId="77777777" w:rsidR="001F3ED3" w:rsidRPr="00F0337F" w:rsidRDefault="001F3ED3" w:rsidP="001F3ED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1F3ED3" w:rsidRPr="00F0337F" w:rsidRDefault="001F3ED3" w:rsidP="001F3ED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1F3ED3" w:rsidRPr="00F0337F" w:rsidRDefault="001F3ED3" w:rsidP="001F3ED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77777777" w:rsidR="001F3ED3" w:rsidRPr="00F0337F" w:rsidRDefault="001F3ED3" w:rsidP="001F3ED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5D9123A4" w14:textId="0E346A77" w:rsidR="001F3ED3" w:rsidRPr="00DF7741" w:rsidRDefault="001F3ED3" w:rsidP="002C02F2">
            <w:pPr>
              <w:spacing w:beforeLines="40" w:before="96" w:afterLines="40" w:after="96" w:line="24" w:lineRule="atLeast"/>
              <w:jc w:val="both"/>
              <w:rPr>
                <w:rFonts w:eastAsiaTheme="minorEastAsia"/>
                <w:sz w:val="18"/>
                <w:szCs w:val="18"/>
                <w:lang w:val="en-GB" w:eastAsia="zh-CN"/>
              </w:rPr>
            </w:pPr>
            <w:r>
              <w:rPr>
                <w:rFonts w:eastAsiaTheme="minorEastAsia" w:hint="eastAsia"/>
                <w:sz w:val="18"/>
                <w:szCs w:val="18"/>
                <w:lang w:val="en-GB" w:eastAsia="zh-CN"/>
              </w:rPr>
              <w:t xml:space="preserve">Answer: </w:t>
            </w:r>
            <w:r>
              <w:rPr>
                <w:rFonts w:eastAsiaTheme="minorEastAsia"/>
                <w:sz w:val="18"/>
                <w:szCs w:val="18"/>
                <w:lang w:val="en-GB" w:eastAsia="zh-CN"/>
              </w:rPr>
              <w:t>“</w:t>
            </w:r>
            <w:r w:rsidR="00091472" w:rsidRPr="00091472">
              <w:rPr>
                <w:rFonts w:eastAsiaTheme="minorEastAsia"/>
                <w:sz w:val="18"/>
                <w:szCs w:val="18"/>
                <w:lang w:val="en-GB" w:eastAsia="zh-CN"/>
              </w:rPr>
              <w:t>The authors declare that they have no competing interests.</w:t>
            </w:r>
            <w:r w:rsidR="00091472">
              <w:rPr>
                <w:rFonts w:eastAsiaTheme="minorEastAsia"/>
                <w:sz w:val="18"/>
                <w:szCs w:val="18"/>
                <w:lang w:val="en-GB" w:eastAsia="zh-CN"/>
              </w:rPr>
              <w:t>”</w:t>
            </w:r>
          </w:p>
        </w:tc>
      </w:tr>
    </w:tbl>
    <w:p w14:paraId="386115B2" w14:textId="17D6D8D3" w:rsidR="004A5BA8" w:rsidRPr="009854A9" w:rsidRDefault="00D65199" w:rsidP="005520ED">
      <w:pPr>
        <w:spacing w:before="240" w:after="240"/>
        <w:rPr>
          <w:sz w:val="19"/>
          <w:szCs w:val="19"/>
        </w:rPr>
      </w:pPr>
      <w:r w:rsidRPr="009854A9">
        <w:rPr>
          <w:sz w:val="19"/>
          <w:szCs w:val="19"/>
        </w:rPr>
        <w:t xml:space="preserve">This checklist is copyrighted by the Equator Network under the Creative Commons Attribution 3.0 </w:t>
      </w:r>
      <w:proofErr w:type="spellStart"/>
      <w:r w:rsidRPr="009854A9">
        <w:rPr>
          <w:sz w:val="19"/>
          <w:szCs w:val="19"/>
        </w:rPr>
        <w:t>Unported</w:t>
      </w:r>
      <w:proofErr w:type="spellEnd"/>
      <w:r w:rsidRPr="009854A9">
        <w:rPr>
          <w:sz w:val="19"/>
          <w:szCs w:val="19"/>
        </w:rPr>
        <w:t xml:space="preserve">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9DD7E7" w14:textId="77777777" w:rsidR="00B4438D" w:rsidRDefault="00B4438D">
      <w:pPr>
        <w:spacing w:line="240" w:lineRule="auto"/>
      </w:pPr>
      <w:r>
        <w:separator/>
      </w:r>
    </w:p>
  </w:endnote>
  <w:endnote w:type="continuationSeparator" w:id="0">
    <w:p w14:paraId="4518F068" w14:textId="77777777" w:rsidR="00B4438D" w:rsidRDefault="00B443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4A166" w14:textId="77777777" w:rsidR="004A5BA8" w:rsidRDefault="004A5BA8" w:rsidP="00A365E5">
    <w:pPr>
      <w:pStyle w:val="a3"/>
      <w:framePr w:wrap="none" w:vAnchor="text" w:hAnchor="margin" w:xAlign="right" w:y="1"/>
      <w:rPr>
        <w:rStyle w:val="a5"/>
      </w:rPr>
    </w:pPr>
  </w:p>
  <w:p w14:paraId="40A0897E" w14:textId="77777777" w:rsidR="004A5BA8" w:rsidRDefault="004A5BA8"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B7B5E" w14:textId="0AA16358" w:rsidR="004A5BA8"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4A5BA8" w:rsidRDefault="004A5BA8"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88297" w14:textId="77777777" w:rsidR="00B4438D" w:rsidRDefault="00B4438D">
      <w:pPr>
        <w:spacing w:line="240" w:lineRule="auto"/>
      </w:pPr>
      <w:r>
        <w:separator/>
      </w:r>
    </w:p>
  </w:footnote>
  <w:footnote w:type="continuationSeparator" w:id="0">
    <w:p w14:paraId="342DB3AB" w14:textId="77777777" w:rsidR="00B4438D" w:rsidRDefault="00B4438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03CE9"/>
    <w:rsid w:val="00016DE8"/>
    <w:rsid w:val="00052B1A"/>
    <w:rsid w:val="00091472"/>
    <w:rsid w:val="000A4CE8"/>
    <w:rsid w:val="001537E0"/>
    <w:rsid w:val="0015516B"/>
    <w:rsid w:val="001566AE"/>
    <w:rsid w:val="001A1840"/>
    <w:rsid w:val="001C4AE7"/>
    <w:rsid w:val="001F3ED3"/>
    <w:rsid w:val="0020119D"/>
    <w:rsid w:val="00210F1C"/>
    <w:rsid w:val="002134A2"/>
    <w:rsid w:val="00227755"/>
    <w:rsid w:val="002663E6"/>
    <w:rsid w:val="0029741B"/>
    <w:rsid w:val="002A2838"/>
    <w:rsid w:val="002B5276"/>
    <w:rsid w:val="002C02F2"/>
    <w:rsid w:val="002C2A86"/>
    <w:rsid w:val="00344884"/>
    <w:rsid w:val="00382F1A"/>
    <w:rsid w:val="003D447D"/>
    <w:rsid w:val="003D47DD"/>
    <w:rsid w:val="003F49FF"/>
    <w:rsid w:val="00470149"/>
    <w:rsid w:val="00490E38"/>
    <w:rsid w:val="004A47C2"/>
    <w:rsid w:val="004A5BA8"/>
    <w:rsid w:val="004A7ACB"/>
    <w:rsid w:val="004B5CBB"/>
    <w:rsid w:val="004B6634"/>
    <w:rsid w:val="004E11D4"/>
    <w:rsid w:val="00514462"/>
    <w:rsid w:val="005520ED"/>
    <w:rsid w:val="00587B18"/>
    <w:rsid w:val="005A0D0D"/>
    <w:rsid w:val="005A20C6"/>
    <w:rsid w:val="005D7B74"/>
    <w:rsid w:val="006656A7"/>
    <w:rsid w:val="00685D31"/>
    <w:rsid w:val="006912BF"/>
    <w:rsid w:val="006A41D0"/>
    <w:rsid w:val="006B08D5"/>
    <w:rsid w:val="006F24C2"/>
    <w:rsid w:val="006F554E"/>
    <w:rsid w:val="00710F30"/>
    <w:rsid w:val="00742742"/>
    <w:rsid w:val="00804498"/>
    <w:rsid w:val="00847286"/>
    <w:rsid w:val="008A6B97"/>
    <w:rsid w:val="008E0CFF"/>
    <w:rsid w:val="009127E9"/>
    <w:rsid w:val="00914C56"/>
    <w:rsid w:val="009441C4"/>
    <w:rsid w:val="00950729"/>
    <w:rsid w:val="00962627"/>
    <w:rsid w:val="009854A9"/>
    <w:rsid w:val="009B36E6"/>
    <w:rsid w:val="009E033F"/>
    <w:rsid w:val="009F6A60"/>
    <w:rsid w:val="00A66EF8"/>
    <w:rsid w:val="00A872E5"/>
    <w:rsid w:val="00AF2FE5"/>
    <w:rsid w:val="00B4438D"/>
    <w:rsid w:val="00B515DC"/>
    <w:rsid w:val="00B5453E"/>
    <w:rsid w:val="00B76A04"/>
    <w:rsid w:val="00B93914"/>
    <w:rsid w:val="00BB6328"/>
    <w:rsid w:val="00C13816"/>
    <w:rsid w:val="00CE12B1"/>
    <w:rsid w:val="00CE59A4"/>
    <w:rsid w:val="00D11760"/>
    <w:rsid w:val="00D44FE7"/>
    <w:rsid w:val="00D60472"/>
    <w:rsid w:val="00D65199"/>
    <w:rsid w:val="00D76F31"/>
    <w:rsid w:val="00D8098C"/>
    <w:rsid w:val="00D963C4"/>
    <w:rsid w:val="00DA7F1D"/>
    <w:rsid w:val="00DC675E"/>
    <w:rsid w:val="00DF7741"/>
    <w:rsid w:val="00E97A91"/>
    <w:rsid w:val="00EC37AF"/>
    <w:rsid w:val="00ED1CB3"/>
    <w:rsid w:val="00ED26C6"/>
    <w:rsid w:val="00ED48A3"/>
    <w:rsid w:val="00EF4B94"/>
    <w:rsid w:val="00EF75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paragraph" w:styleId="a7">
    <w:name w:val="header"/>
    <w:basedOn w:val="a"/>
    <w:link w:val="a8"/>
    <w:uiPriority w:val="99"/>
    <w:unhideWhenUsed/>
    <w:rsid w:val="005D7B74"/>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5D7B74"/>
    <w:rPr>
      <w:rFonts w:ascii="Arial" w:eastAsia="Arial" w:hAnsi="Arial" w:cs="Arial"/>
      <w:sz w:val="18"/>
      <w:szCs w:val="18"/>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2.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14</Pages>
  <Words>5880</Words>
  <Characters>33520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39322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超 王</cp:lastModifiedBy>
  <cp:revision>44</cp:revision>
  <cp:lastPrinted>2021-09-28T07:08:00Z</cp:lastPrinted>
  <dcterms:created xsi:type="dcterms:W3CDTF">2022-04-07T08:09:00Z</dcterms:created>
  <dcterms:modified xsi:type="dcterms:W3CDTF">2024-06-02T15:34:00Z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