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DB2C6">
      <w:pPr>
        <w:rPr>
          <w:rFonts w:ascii="Times New Roman" w:hAnsi="Times New Roman" w:eastAsia="宋体" w:cs="Times New Roman"/>
          <w:szCs w:val="21"/>
        </w:rPr>
      </w:pPr>
      <w:r>
        <w:rPr>
          <w:rFonts w:hint="eastAsia" w:ascii="Times New Roman" w:hAnsi="Times New Roman" w:cs="Times New Roman"/>
          <w:szCs w:val="21"/>
          <w:lang w:eastAsia="zh-CN"/>
        </w:rPr>
        <w:t xml:space="preserve">Additional file 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eastAsia="宋体" w:cs="Times New Roman"/>
          <w:szCs w:val="21"/>
        </w:rPr>
        <w:t>. Univariate analysis of risk factors for new</w:t>
      </w:r>
      <w:r>
        <w:rPr>
          <w:rFonts w:hint="eastAsia" w:ascii="Times New Roman" w:hAnsi="Times New Roman" w:eastAsia="宋体" w:cs="Times New Roman"/>
          <w:szCs w:val="21"/>
        </w:rPr>
        <w:t>-</w:t>
      </w:r>
      <w:r>
        <w:rPr>
          <w:rFonts w:ascii="Times New Roman" w:hAnsi="Times New Roman" w:eastAsia="宋体" w:cs="Times New Roman"/>
          <w:szCs w:val="21"/>
        </w:rPr>
        <w:t xml:space="preserve">onset decompensation in patients hospitalized with </w:t>
      </w:r>
      <w:r>
        <w:rPr>
          <w:rFonts w:hint="eastAsia" w:ascii="Times New Roman" w:hAnsi="Times New Roman" w:eastAsia="宋体" w:cs="Times New Roman"/>
          <w:szCs w:val="21"/>
        </w:rPr>
        <w:t>DC.</w:t>
      </w:r>
    </w:p>
    <w:tbl>
      <w:tblPr>
        <w:tblStyle w:val="2"/>
        <w:tblpPr w:leftFromText="180" w:rightFromText="180" w:vertAnchor="text" w:horzAnchor="page" w:tblpXSpec="center" w:tblpY="291"/>
        <w:tblOverlap w:val="never"/>
        <w:tblW w:w="5149" w:type="pct"/>
        <w:jc w:val="center"/>
        <w:tblBorders>
          <w:top w:val="single" w:color="4F81BD" w:sz="8" w:space="0"/>
          <w:left w:val="none" w:color="auto" w:sz="0" w:space="0"/>
          <w:bottom w:val="single" w:color="4F81B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8"/>
        <w:gridCol w:w="2331"/>
        <w:gridCol w:w="1847"/>
      </w:tblGrid>
      <w:tr w14:paraId="0A1C560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  <w:jc w:val="center"/>
        </w:trPr>
        <w:tc>
          <w:tcPr>
            <w:tcW w:w="4598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B904127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Variables</w:t>
            </w:r>
          </w:p>
        </w:tc>
        <w:tc>
          <w:tcPr>
            <w:tcW w:w="4178" w:type="dxa"/>
            <w:gridSpan w:val="2"/>
            <w:tcBorders>
              <w:top w:val="single" w:color="auto" w:sz="12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8204C4E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Univariate analysis</w:t>
            </w:r>
          </w:p>
        </w:tc>
      </w:tr>
      <w:tr w14:paraId="5AE3895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9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FFFFFF"/>
            <w:noWrap/>
            <w:vAlign w:val="center"/>
          </w:tcPr>
          <w:p w14:paraId="7C1E2B87">
            <w:pPr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331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C78CF15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OR(95% CI)</w:t>
            </w:r>
          </w:p>
        </w:tc>
        <w:tc>
          <w:tcPr>
            <w:tcW w:w="1847" w:type="dxa"/>
            <w:tcBorders>
              <w:top w:val="single" w:color="auto" w:sz="4" w:space="0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31AD27FB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color w:val="000000"/>
                <w:kern w:val="0"/>
                <w:szCs w:val="21"/>
              </w:rPr>
              <w:t>P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-value</w:t>
            </w:r>
          </w:p>
        </w:tc>
      </w:tr>
      <w:tr w14:paraId="3967373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4598" w:type="dxa"/>
            <w:tcBorders>
              <w:top w:val="single" w:color="auto" w:sz="4" w:space="0"/>
            </w:tcBorders>
            <w:noWrap/>
          </w:tcPr>
          <w:p w14:paraId="6619DC66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Demographic data</w:t>
            </w:r>
          </w:p>
        </w:tc>
        <w:tc>
          <w:tcPr>
            <w:tcW w:w="2331" w:type="dxa"/>
            <w:tcBorders>
              <w:top w:val="single" w:color="auto" w:sz="4" w:space="0"/>
            </w:tcBorders>
            <w:shd w:val="clear" w:color="auto" w:fill="FFFFFF"/>
          </w:tcPr>
          <w:p w14:paraId="09291B8F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tcBorders>
              <w:top w:val="single" w:color="auto" w:sz="4" w:space="0"/>
            </w:tcBorders>
            <w:shd w:val="clear" w:color="auto" w:fill="FFFFFF"/>
          </w:tcPr>
          <w:p w14:paraId="09130303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669B66B6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47BD6057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Age（year）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4725C8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1.02(0.99-1.04)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0F77163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0.183</w:t>
            </w:r>
          </w:p>
        </w:tc>
      </w:tr>
      <w:tr w14:paraId="037B87C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72C0393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535F0E4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1.31(0.76-2.25)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00B38ED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0.327</w:t>
            </w:r>
          </w:p>
        </w:tc>
      </w:tr>
      <w:tr w14:paraId="13DB535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shd w:val="clear" w:color="auto" w:fill="auto"/>
            <w:noWrap/>
            <w:vAlign w:val="top"/>
          </w:tcPr>
          <w:p w14:paraId="1D52DB6C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Comorbidities</w:t>
            </w: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, n (%)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5AE8582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1847" w:type="dxa"/>
            <w:shd w:val="clear" w:color="auto" w:fill="FFFFFF"/>
            <w:vAlign w:val="center"/>
          </w:tcPr>
          <w:p w14:paraId="678F7EC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</w:p>
        </w:tc>
      </w:tr>
      <w:tr w14:paraId="6A158EA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shd w:val="clear" w:color="auto" w:fill="auto"/>
            <w:noWrap/>
            <w:vAlign w:val="top"/>
          </w:tcPr>
          <w:p w14:paraId="38BBB4AD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67A9483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1.17(0.64-2.15)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239E204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0.613</w:t>
            </w:r>
          </w:p>
        </w:tc>
      </w:tr>
      <w:tr w14:paraId="3E2EEC6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shd w:val="clear" w:color="auto" w:fill="auto"/>
            <w:noWrap/>
            <w:vAlign w:val="top"/>
          </w:tcPr>
          <w:p w14:paraId="4D70464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Diabetes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2189C6E8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0.81(0.41-1.63)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557DAE5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0.561</w:t>
            </w:r>
          </w:p>
        </w:tc>
      </w:tr>
      <w:tr w14:paraId="423D2ABB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shd w:val="clear" w:color="auto" w:fill="auto"/>
            <w:noWrap/>
            <w:vAlign w:val="top"/>
          </w:tcPr>
          <w:p w14:paraId="252482E7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Coronary heart disease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1A1C95A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1.03(0.11-10.02)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66DA92DE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0.981</w:t>
            </w:r>
          </w:p>
        </w:tc>
      </w:tr>
      <w:tr w14:paraId="77E9398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shd w:val="clear" w:color="auto" w:fill="auto"/>
            <w:noWrap/>
            <w:vAlign w:val="top"/>
          </w:tcPr>
          <w:p w14:paraId="1A22010A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  <w:lang w:val="en-US" w:eastAsia="zh-CN"/>
              </w:rPr>
              <w:t>C</w:t>
            </w: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szCs w:val="21"/>
              </w:rPr>
              <w:t>hronic kidney disease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317B8DF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1.06(0.34-3.33)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3632B281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0.925</w:t>
            </w:r>
          </w:p>
        </w:tc>
      </w:tr>
      <w:tr w14:paraId="5CE56D9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35159812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Etiology of cirrhosis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1877AC4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shd w:val="clear" w:color="auto" w:fill="FFFFFF"/>
          </w:tcPr>
          <w:p w14:paraId="42193A7C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37FF1368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98" w:type="dxa"/>
            <w:noWrap/>
          </w:tcPr>
          <w:p w14:paraId="68AA2766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HBV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62B6635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0.73(0.44-1.20)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0A0D36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0.213</w:t>
            </w:r>
          </w:p>
        </w:tc>
      </w:tr>
      <w:tr w14:paraId="64125FC8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4F98431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Alcohol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1F51A5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1.70(0.92-3.16)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1A3AFD4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0.091</w:t>
            </w:r>
          </w:p>
        </w:tc>
      </w:tr>
      <w:tr w14:paraId="23AF0C8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2FF16C33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HBV&amp;Alcohol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5BD0B39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1.71(0.73-4.00)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7087C57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0.216</w:t>
            </w:r>
          </w:p>
        </w:tc>
      </w:tr>
      <w:tr w14:paraId="33785DB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0D801D44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Autoimmune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06EF701B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0.69(0.27-1.74)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2AAC6A5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0.430</w:t>
            </w:r>
          </w:p>
        </w:tc>
      </w:tr>
      <w:tr w14:paraId="02F957C4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2BB08568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Schistosoma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2DFAC2A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1.80(0.51-6.31)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080A01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0.358</w:t>
            </w:r>
          </w:p>
        </w:tc>
      </w:tr>
      <w:tr w14:paraId="2B0EC43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32A8AC2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Other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0BE2407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0.74(0.36-1.50)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01D031A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0.400</w:t>
            </w:r>
          </w:p>
        </w:tc>
      </w:tr>
      <w:tr w14:paraId="7838D4ED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708B44CE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AD events of cirrhosis on admission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29DB923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shd w:val="clear" w:color="auto" w:fill="FFFFFF"/>
          </w:tcPr>
          <w:p w14:paraId="678519BA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2A50AC6A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374D7891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Ascites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32171EE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1.01(0.62-1.66)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3C086D2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0.961</w:t>
            </w:r>
          </w:p>
        </w:tc>
      </w:tr>
      <w:tr w14:paraId="3417E4E6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73F33546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zCs w:val="21"/>
              </w:rPr>
              <w:t>GIH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544FA54E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0.49(0.27-0.92)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0E858A5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0.026</w:t>
            </w:r>
          </w:p>
        </w:tc>
      </w:tr>
      <w:tr w14:paraId="1BAAD4C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13B50A1F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zCs w:val="21"/>
              </w:rPr>
              <w:t>HE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2352147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1.32(0.61-2.90)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1EE6E9F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0.482</w:t>
            </w:r>
          </w:p>
        </w:tc>
      </w:tr>
      <w:tr w14:paraId="038C89A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03B13ED8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Jaundice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41C49D9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1.82(1.10-3.00)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2EDD86E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0.019</w:t>
            </w:r>
          </w:p>
        </w:tc>
      </w:tr>
      <w:tr w14:paraId="2B48CA7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418AC289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szCs w:val="21"/>
              </w:rPr>
              <w:t>BIs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0355D1F2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0.79(0.31-2.01)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0E63F208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0.620</w:t>
            </w:r>
          </w:p>
        </w:tc>
      </w:tr>
      <w:tr w14:paraId="243B66A2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228BFB7E">
            <w:pPr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Laboratory data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6F3BD67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  <w:tc>
          <w:tcPr>
            <w:tcW w:w="1847" w:type="dxa"/>
            <w:shd w:val="clear" w:color="auto" w:fill="FFFFFF"/>
          </w:tcPr>
          <w:p w14:paraId="659F1D7E">
            <w:pPr>
              <w:spacing w:line="360" w:lineRule="auto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</w:p>
        </w:tc>
      </w:tr>
      <w:tr w14:paraId="68B06F65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598" w:type="dxa"/>
            <w:noWrap/>
          </w:tcPr>
          <w:p w14:paraId="15DD11FF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White cell counts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5D081F8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1.10(1.04-1.17)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1BAD76B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</w:tr>
      <w:tr w14:paraId="4B89EB60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53AE6DE0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Hemoglobin (g/L)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65BA11B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1.00(1.00-1.01)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2E45EC6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0.417</w:t>
            </w:r>
          </w:p>
        </w:tc>
      </w:tr>
      <w:tr w14:paraId="4D943D9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0517AD2D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Platelet x 10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vertAlign w:val="superscript"/>
              </w:rPr>
              <w:t xml:space="preserve">9 </w:t>
            </w: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785B4F04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1.00(1.00-1.01)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61F34B1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0.550</w:t>
            </w:r>
          </w:p>
        </w:tc>
      </w:tr>
      <w:tr w14:paraId="16F37E3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4B0AD4D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Albumin (g/L)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79933A67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0.94(0.89-0.99)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2034718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0.016</w:t>
            </w:r>
          </w:p>
        </w:tc>
      </w:tr>
      <w:tr w14:paraId="68588851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163EC739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ALT (U/L)</w:t>
            </w:r>
          </w:p>
        </w:tc>
        <w:tc>
          <w:tcPr>
            <w:tcW w:w="2331" w:type="dxa"/>
            <w:vAlign w:val="center"/>
          </w:tcPr>
          <w:p w14:paraId="016DA01D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1.00(1.00-1.00)</w:t>
            </w:r>
          </w:p>
        </w:tc>
        <w:tc>
          <w:tcPr>
            <w:tcW w:w="1847" w:type="dxa"/>
            <w:vAlign w:val="center"/>
          </w:tcPr>
          <w:p w14:paraId="65A43A2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0.547</w:t>
            </w:r>
          </w:p>
        </w:tc>
      </w:tr>
      <w:tr w14:paraId="1FD03C33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27728B08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AST (U/L)</w:t>
            </w:r>
          </w:p>
        </w:tc>
        <w:tc>
          <w:tcPr>
            <w:tcW w:w="2331" w:type="dxa"/>
            <w:vAlign w:val="center"/>
          </w:tcPr>
          <w:p w14:paraId="704C72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1.00(1.00-1.00)</w:t>
            </w:r>
          </w:p>
        </w:tc>
        <w:tc>
          <w:tcPr>
            <w:tcW w:w="1847" w:type="dxa"/>
            <w:vAlign w:val="center"/>
          </w:tcPr>
          <w:p w14:paraId="3FC5BC29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0.197</w:t>
            </w:r>
          </w:p>
        </w:tc>
      </w:tr>
      <w:tr w14:paraId="370FC0B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12A23910">
            <w:pPr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TB (μmol/L)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7473C7B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18C0C9F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0552CE7E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726240F1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Creatinine (μmol/L)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3E624A6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05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(1.00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-1.0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09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5BCDE83A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0.034</w:t>
            </w:r>
          </w:p>
        </w:tc>
      </w:tr>
      <w:tr w14:paraId="6E5C9B26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54C86DF2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Serum sodium (mmol/L)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282EC345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0.95(0.90-1.01)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2505E631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0.085</w:t>
            </w:r>
          </w:p>
        </w:tc>
      </w:tr>
      <w:tr w14:paraId="03F754A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4598" w:type="dxa"/>
            <w:noWrap/>
          </w:tcPr>
          <w:p w14:paraId="71B8E73B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INR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5D8BA7F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1.97(1.14-3.39)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51B7670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0.014</w:t>
            </w:r>
          </w:p>
        </w:tc>
      </w:tr>
      <w:tr w14:paraId="7ED78628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4277427D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CRP (mg/L)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743E9B9C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1.02(1.01-1.03)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20E4A696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0.005</w:t>
            </w:r>
          </w:p>
        </w:tc>
      </w:tr>
      <w:tr w14:paraId="7E208A4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4598" w:type="dxa"/>
            <w:noWrap/>
          </w:tcPr>
          <w:p w14:paraId="2D42992E">
            <w:pPr>
              <w:adjustRightInd w:val="0"/>
              <w:snapToGrid w:val="0"/>
              <w:spacing w:line="360" w:lineRule="auto"/>
              <w:ind w:firstLine="210" w:firstLineChars="100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  <w:t>MELD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6EFB3BD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1.08(1.04-1.12)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3734C2C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&lt;0.001</w:t>
            </w:r>
          </w:p>
        </w:tc>
      </w:tr>
      <w:tr w14:paraId="76B312DF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598" w:type="dxa"/>
            <w:noWrap/>
            <w:vAlign w:val="center"/>
          </w:tcPr>
          <w:p w14:paraId="4165C505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ACLF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78443B2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2.13(1.06-4.29)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6C9DA440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0.034</w:t>
            </w:r>
          </w:p>
        </w:tc>
      </w:tr>
      <w:tr w14:paraId="1B153D77">
        <w:tblPrEx>
          <w:tblBorders>
            <w:top w:val="single" w:color="4F81BD" w:sz="8" w:space="0"/>
            <w:left w:val="none" w:color="auto" w:sz="0" w:space="0"/>
            <w:bottom w:val="single" w:color="4F81B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4598" w:type="dxa"/>
            <w:noWrap/>
          </w:tcPr>
          <w:p w14:paraId="4EE7FD4E">
            <w:pPr>
              <w:adjustRightInd w:val="0"/>
              <w:snapToGrid w:val="0"/>
              <w:spacing w:line="360" w:lineRule="auto"/>
              <w:rPr>
                <w:rFonts w:ascii="Times New Roman" w:hAnsi="Times New Roman" w:eastAsia="仿宋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kern w:val="0"/>
                <w:szCs w:val="21"/>
              </w:rPr>
              <w:t>Previous decompensation</w:t>
            </w:r>
          </w:p>
        </w:tc>
        <w:tc>
          <w:tcPr>
            <w:tcW w:w="2331" w:type="dxa"/>
            <w:shd w:val="clear" w:color="auto" w:fill="FFFFFF"/>
            <w:vAlign w:val="center"/>
          </w:tcPr>
          <w:p w14:paraId="34ED82C3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0.94(0.57-1.55)</w:t>
            </w:r>
          </w:p>
        </w:tc>
        <w:tc>
          <w:tcPr>
            <w:tcW w:w="1847" w:type="dxa"/>
            <w:shd w:val="clear" w:color="auto" w:fill="FFFFFF"/>
            <w:vAlign w:val="center"/>
          </w:tcPr>
          <w:p w14:paraId="16BE3C1F">
            <w:pPr>
              <w:widowControl/>
              <w:jc w:val="center"/>
              <w:textAlignment w:val="center"/>
              <w:rPr>
                <w:rFonts w:ascii="Times New Roman" w:hAnsi="Times New Roman" w:eastAsia="仿宋" w:cs="Times New Roman"/>
                <w:color w:val="010205"/>
                <w:szCs w:val="21"/>
                <w:highlight w:val="yellow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Cs w:val="21"/>
                <w:lang w:bidi="ar"/>
              </w:rPr>
              <w:t>0.804</w:t>
            </w:r>
          </w:p>
        </w:tc>
      </w:tr>
    </w:tbl>
    <w:p w14:paraId="0A66B510">
      <w:pPr>
        <w:jc w:val="center"/>
        <w:rPr>
          <w:rFonts w:ascii="Times New Roman" w:hAnsi="Times New Roman" w:eastAsia="仿宋" w:cs="Times New Roman"/>
          <w:szCs w:val="21"/>
        </w:rPr>
      </w:pPr>
    </w:p>
    <w:p w14:paraId="3097974F">
      <w:pPr>
        <w:spacing w:line="360" w:lineRule="auto"/>
      </w:pPr>
      <w:r>
        <w:rPr>
          <w:rFonts w:ascii="Times New Roman" w:hAnsi="Times New Roman" w:eastAsia="仿宋" w:cs="Times New Roman"/>
          <w:kern w:val="0"/>
          <w:szCs w:val="21"/>
        </w:rPr>
        <w:t>ACLF, acute-on-chronic liver failure; AD, a</w:t>
      </w:r>
      <w:r>
        <w:rPr>
          <w:rFonts w:ascii="Times New Roman" w:hAnsi="Times New Roman" w:eastAsia="仿宋" w:cs="Times New Roman"/>
          <w:szCs w:val="21"/>
        </w:rPr>
        <w:t xml:space="preserve">cute decompensation; </w:t>
      </w:r>
      <w:r>
        <w:rPr>
          <w:rFonts w:ascii="Times New Roman" w:hAnsi="Times New Roman" w:eastAsia="仿宋" w:cs="Times New Roman"/>
          <w:kern w:val="0"/>
          <w:szCs w:val="21"/>
        </w:rPr>
        <w:t>ALT, a</w:t>
      </w:r>
      <w:r>
        <w:rPr>
          <w:rFonts w:ascii="Times New Roman" w:hAnsi="Times New Roman" w:eastAsia="仿宋" w:cs="Times New Roman"/>
          <w:szCs w:val="21"/>
        </w:rPr>
        <w:t>lanine aminotransferase</w:t>
      </w:r>
      <w:r>
        <w:rPr>
          <w:rFonts w:ascii="Times New Roman" w:hAnsi="Times New Roman" w:eastAsia="仿宋" w:cs="Times New Roman"/>
          <w:kern w:val="0"/>
          <w:szCs w:val="21"/>
        </w:rPr>
        <w:t>; AST, a</w:t>
      </w:r>
      <w:r>
        <w:rPr>
          <w:rFonts w:ascii="Times New Roman" w:hAnsi="Times New Roman" w:eastAsia="仿宋" w:cs="Times New Roman"/>
          <w:szCs w:val="21"/>
        </w:rPr>
        <w:t>spartate aminotransferase</w:t>
      </w:r>
      <w:r>
        <w:rPr>
          <w:rFonts w:ascii="Times New Roman" w:hAnsi="Times New Roman" w:eastAsia="仿宋" w:cs="Times New Roman"/>
          <w:kern w:val="0"/>
          <w:szCs w:val="21"/>
        </w:rPr>
        <w:t>; BIs, b</w:t>
      </w:r>
      <w:r>
        <w:rPr>
          <w:rFonts w:ascii="Times New Roman" w:hAnsi="Times New Roman" w:eastAsia="仿宋" w:cs="Times New Roman"/>
          <w:szCs w:val="21"/>
        </w:rPr>
        <w:t>acterial infections</w:t>
      </w:r>
      <w:r>
        <w:rPr>
          <w:rFonts w:ascii="Times New Roman" w:hAnsi="Times New Roman" w:eastAsia="仿宋" w:cs="Times New Roman"/>
          <w:kern w:val="0"/>
          <w:szCs w:val="21"/>
        </w:rPr>
        <w:t>; CRP, c</w:t>
      </w:r>
      <w:r>
        <w:rPr>
          <w:rFonts w:ascii="Times New Roman" w:hAnsi="Times New Roman" w:eastAsia="仿宋" w:cs="Times New Roman"/>
          <w:szCs w:val="21"/>
        </w:rPr>
        <w:t>-reactive protein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DC, decompensated cirrhosis; </w:t>
      </w:r>
      <w:r>
        <w:rPr>
          <w:rFonts w:ascii="Times New Roman" w:hAnsi="Times New Roman" w:eastAsia="仿宋" w:cs="Times New Roman"/>
          <w:kern w:val="0"/>
          <w:szCs w:val="21"/>
        </w:rPr>
        <w:t>GIH, g</w:t>
      </w:r>
      <w:r>
        <w:rPr>
          <w:rFonts w:ascii="Times New Roman" w:hAnsi="Times New Roman" w:eastAsia="仿宋" w:cs="Times New Roman"/>
          <w:szCs w:val="21"/>
        </w:rPr>
        <w:t xml:space="preserve">astrointestinal </w:t>
      </w:r>
      <w:r>
        <w:rPr>
          <w:rFonts w:hint="eastAsia" w:ascii="Times New Roman" w:hAnsi="Times New Roman" w:eastAsia="仿宋" w:cs="Times New Roman"/>
          <w:szCs w:val="21"/>
        </w:rPr>
        <w:t>hemorrhage</w:t>
      </w:r>
      <w:r>
        <w:rPr>
          <w:rFonts w:ascii="Times New Roman" w:hAnsi="Times New Roman" w:eastAsia="仿宋" w:cs="Times New Roman"/>
          <w:kern w:val="0"/>
          <w:szCs w:val="21"/>
        </w:rPr>
        <w:t>;</w:t>
      </w:r>
      <w:r>
        <w:rPr>
          <w:rFonts w:hint="eastAsia" w:ascii="Times New Roman" w:hAnsi="Times New Roman" w:eastAsia="仿宋" w:cs="Times New Roman"/>
          <w:kern w:val="0"/>
          <w:szCs w:val="21"/>
        </w:rPr>
        <w:t xml:space="preserve"> 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 xml:space="preserve">HBV, Hepatitis B virus; HE, Hepatic encephalopathy; </w:t>
      </w:r>
      <w:r>
        <w:rPr>
          <w:rFonts w:ascii="Times New Roman" w:hAnsi="Times New Roman" w:eastAsia="仿宋" w:cs="Times New Roman"/>
          <w:kern w:val="0"/>
          <w:szCs w:val="21"/>
        </w:rPr>
        <w:t xml:space="preserve">MELD, </w:t>
      </w:r>
      <w:r>
        <w:rPr>
          <w:rFonts w:ascii="Times New Roman" w:hAnsi="Times New Roman" w:eastAsia="仿宋" w:cs="Times New Roman"/>
          <w:szCs w:val="21"/>
        </w:rPr>
        <w:t>Model for end-stage liver disease</w:t>
      </w:r>
      <w:r>
        <w:rPr>
          <w:rFonts w:ascii="Times New Roman" w:hAnsi="Times New Roman" w:eastAsia="仿宋" w:cs="Times New Roman"/>
          <w:kern w:val="0"/>
          <w:szCs w:val="21"/>
        </w:rPr>
        <w:t>; INR, i</w:t>
      </w:r>
      <w:r>
        <w:rPr>
          <w:rFonts w:ascii="Times New Roman" w:hAnsi="Times New Roman" w:eastAsia="仿宋" w:cs="Times New Roman"/>
          <w:szCs w:val="21"/>
        </w:rPr>
        <w:t>nternational normalized ratio</w:t>
      </w:r>
      <w:r>
        <w:rPr>
          <w:rFonts w:ascii="Times New Roman" w:hAnsi="Times New Roman" w:eastAsia="仿宋" w:cs="Times New Roman"/>
          <w:kern w:val="0"/>
          <w:szCs w:val="21"/>
        </w:rPr>
        <w:t xml:space="preserve">; </w:t>
      </w:r>
      <w:r>
        <w:rPr>
          <w:rFonts w:hint="eastAsia" w:ascii="Times New Roman" w:hAnsi="Times New Roman" w:eastAsia="仿宋" w:cs="Times New Roman"/>
          <w:kern w:val="0"/>
          <w:szCs w:val="21"/>
        </w:rPr>
        <w:t>OR, Odds ratio</w:t>
      </w:r>
      <w:r>
        <w:rPr>
          <w:rFonts w:hint="eastAsia" w:ascii="Times New Roman" w:hAnsi="Times New Roman" w:eastAsia="仿宋" w:cs="Times New Roman"/>
          <w:kern w:val="0"/>
          <w:szCs w:val="21"/>
          <w:lang w:val="en-US" w:eastAsia="zh-CN"/>
        </w:rPr>
        <w:t xml:space="preserve">; </w:t>
      </w:r>
      <w:r>
        <w:rPr>
          <w:rFonts w:ascii="Times New Roman" w:hAnsi="Times New Roman" w:eastAsia="仿宋" w:cs="Times New Roman"/>
          <w:kern w:val="0"/>
          <w:szCs w:val="21"/>
        </w:rPr>
        <w:t>TB, t</w:t>
      </w:r>
      <w:r>
        <w:rPr>
          <w:rFonts w:ascii="Times New Roman" w:hAnsi="Times New Roman" w:eastAsia="仿宋" w:cs="Times New Roman"/>
          <w:szCs w:val="21"/>
        </w:rPr>
        <w:t>otal bilirubin</w:t>
      </w:r>
      <w:r>
        <w:rPr>
          <w:rFonts w:hint="eastAsia" w:ascii="Times New Roman" w:hAnsi="Times New Roman" w:eastAsia="仿宋" w:cs="Times New Roman"/>
          <w:szCs w:val="21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3YmExZjVjZDYzOTRjNzA5ZDVlMWIzZWUyNGZkNzQifQ=="/>
  </w:docVars>
  <w:rsids>
    <w:rsidRoot w:val="00000000"/>
    <w:rsid w:val="03874FBE"/>
    <w:rsid w:val="2ABC72F6"/>
    <w:rsid w:val="50510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204</Words>
  <Characters>1542</Characters>
  <Lines>0</Lines>
  <Paragraphs>0</Paragraphs>
  <TotalTime>8</TotalTime>
  <ScaleCrop>false</ScaleCrop>
  <LinksUpToDate>false</LinksUpToDate>
  <CharactersWithSpaces>1639</CharactersWithSpaces>
  <Application>WPS Office_12.1.0.18334_F1E327BC-269C-435d-A152-05C5408002CA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2024-07-21T03:01:00Z</dcterms:created>
  <dc:creator>13213</dc:creator>
  <cp:lastModifiedBy>L^O^Y</cp:lastModifiedBy>
  <dcterms:modified xsi:type="dcterms:W3CDTF">2024-10-16T12:47:08Z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2052-12.1.0.18334</vt:lpwstr>
  </property>
  <property fmtid="{D5CDD505-2E9C-101B-9397-08002B2CF9AE}" pid="3" name="ICV">
    <vt:lpwstr>CDB714EF1CE842ACB104C559B2772C23_12</vt:lpwstr>
  </property>
</Properties>
</file>