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A421B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 xml:space="preserve">4. Univariate and multivariate analysis of risk factors for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new-onset</w:t>
      </w:r>
      <w:r>
        <w:rPr>
          <w:rFonts w:ascii="Times New Roman" w:hAnsi="Times New Roman" w:eastAsia="仿宋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BIs</w:t>
      </w:r>
      <w:r>
        <w:rPr>
          <w:rFonts w:hint="eastAsia" w:ascii="Times New Roman" w:hAnsi="Times New Roman" w:eastAsia="仿宋" w:cs="Times New Roman"/>
          <w:szCs w:val="21"/>
        </w:rPr>
        <w:t xml:space="preserve"> in patients hospitalized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019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1924"/>
        <w:gridCol w:w="928"/>
        <w:gridCol w:w="1906"/>
        <w:gridCol w:w="929"/>
      </w:tblGrid>
      <w:tr w14:paraId="16FF3D8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87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66B1B8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85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6BCA44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  <w:tc>
          <w:tcPr>
            <w:tcW w:w="2833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DF6253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Multivariate analysis</w:t>
            </w:r>
          </w:p>
        </w:tc>
      </w:tr>
      <w:tr w14:paraId="0522261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7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E8FA1A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2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CCF93E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2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26A0AA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90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927FE6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26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58F0F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7B683DC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72" w:type="dxa"/>
            <w:tcBorders>
              <w:top w:val="single" w:color="auto" w:sz="4" w:space="0"/>
            </w:tcBorders>
            <w:noWrap/>
          </w:tcPr>
          <w:p w14:paraId="0A1C8785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1925" w:type="dxa"/>
            <w:tcBorders>
              <w:top w:val="single" w:color="auto" w:sz="4" w:space="0"/>
            </w:tcBorders>
            <w:shd w:val="clear" w:color="auto" w:fill="FFFFFF"/>
          </w:tcPr>
          <w:p w14:paraId="0387A52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single" w:color="auto" w:sz="4" w:space="0"/>
            </w:tcBorders>
            <w:shd w:val="clear" w:color="auto" w:fill="FFFFFF"/>
          </w:tcPr>
          <w:p w14:paraId="05D7869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7" w:type="dxa"/>
            <w:tcBorders>
              <w:top w:val="single" w:color="auto" w:sz="4" w:space="0"/>
            </w:tcBorders>
            <w:shd w:val="clear" w:color="auto" w:fill="FFFFFF"/>
          </w:tcPr>
          <w:p w14:paraId="3853E66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tcBorders>
              <w:top w:val="single" w:color="auto" w:sz="4" w:space="0"/>
            </w:tcBorders>
            <w:shd w:val="clear" w:color="auto" w:fill="FFFFFF"/>
          </w:tcPr>
          <w:p w14:paraId="05BB3EE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2F607B7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6917587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3FAA48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(0.97-1.02)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2A518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0.830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12B928B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645BC3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5058BD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236DBFA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Male, n(%)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445D41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2.26(1.05-4.87)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8B340A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0.037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1FC409F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3EBEB3D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</w:tr>
      <w:tr w14:paraId="49C8B50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30D3211C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2EA9EC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shd w:val="clear" w:color="auto" w:fill="FFFFFF"/>
          </w:tcPr>
          <w:p w14:paraId="47ECDA8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7" w:type="dxa"/>
            <w:shd w:val="clear" w:color="auto" w:fill="FFFFFF"/>
          </w:tcPr>
          <w:p w14:paraId="6487E67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6" w:type="dxa"/>
            <w:shd w:val="clear" w:color="auto" w:fill="FFFFFF"/>
          </w:tcPr>
          <w:p w14:paraId="4CA0A43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2B18C2C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72" w:type="dxa"/>
            <w:noWrap/>
          </w:tcPr>
          <w:p w14:paraId="33D5F90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32C05F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1.12(1.05-1.2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9152F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5CD18D8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-1.11)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6E2F63E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398</w:t>
            </w:r>
          </w:p>
        </w:tc>
      </w:tr>
      <w:tr w14:paraId="5A7386B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6FF4292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04DC6C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1.01(0.99-1.02)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74028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0.311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136B9D7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2284C4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ACAF61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1D0506D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64E4E5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3C497AA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0.174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69F2F8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29263B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D1DF3B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1750BA3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0F037C6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0.93(0.88-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3C797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6B01DE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41C63CF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538</w:t>
            </w:r>
          </w:p>
        </w:tc>
      </w:tr>
      <w:tr w14:paraId="58985BF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311CD7AE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1925" w:type="dxa"/>
            <w:vAlign w:val="center"/>
          </w:tcPr>
          <w:p w14:paraId="3A8AFA4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vAlign w:val="center"/>
          </w:tcPr>
          <w:p w14:paraId="00AFC43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0.427</w:t>
            </w:r>
          </w:p>
        </w:tc>
        <w:tc>
          <w:tcPr>
            <w:tcW w:w="1907" w:type="dxa"/>
            <w:vAlign w:val="center"/>
          </w:tcPr>
          <w:p w14:paraId="72065C3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vAlign w:val="center"/>
          </w:tcPr>
          <w:p w14:paraId="790BE68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0FFD0C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680C8A69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1925" w:type="dxa"/>
            <w:vAlign w:val="center"/>
          </w:tcPr>
          <w:p w14:paraId="4426D82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vAlign w:val="center"/>
          </w:tcPr>
          <w:p w14:paraId="213E38B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0.707</w:t>
            </w:r>
          </w:p>
        </w:tc>
        <w:tc>
          <w:tcPr>
            <w:tcW w:w="1907" w:type="dxa"/>
            <w:vAlign w:val="center"/>
          </w:tcPr>
          <w:p w14:paraId="6B1380D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vAlign w:val="center"/>
          </w:tcPr>
          <w:p w14:paraId="66421A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EE9DCF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40FA5809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5F102C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A75214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4A8B08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52D3B59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</w:tr>
      <w:tr w14:paraId="2638B96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0CCF90CF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11F2FFD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324D75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0.008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60AC46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4C1D97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08</w:t>
            </w:r>
          </w:p>
        </w:tc>
      </w:tr>
      <w:tr w14:paraId="2A9B0A1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692D323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05EBDEE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0.93(0.87-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4D391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0.048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038845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1DCF09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14:paraId="1EF1AFD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72" w:type="dxa"/>
            <w:noWrap/>
          </w:tcPr>
          <w:p w14:paraId="18DE1FE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1C7B49D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1.41(0.75-2.62)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0CDBF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0.286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302A745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67BED4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48A1C2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38F481E9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17288C3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1.02(1.01-1.04)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997887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155A6A4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26" w:type="dxa"/>
            <w:shd w:val="clear" w:color="auto" w:fill="FFFFFF"/>
            <w:vAlign w:val="center"/>
          </w:tcPr>
          <w:p w14:paraId="48AC49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14:paraId="763F7CF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72" w:type="dxa"/>
            <w:noWrap/>
          </w:tcPr>
          <w:p w14:paraId="11664B6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1C6661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1.07(1.03-1.12)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EB6DA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67E604D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7E53F73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9E2783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872" w:type="dxa"/>
            <w:noWrap/>
            <w:vAlign w:val="center"/>
          </w:tcPr>
          <w:p w14:paraId="7CA9683D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ACLF, n (%)</w:t>
            </w:r>
          </w:p>
        </w:tc>
        <w:tc>
          <w:tcPr>
            <w:tcW w:w="1925" w:type="dxa"/>
            <w:shd w:val="clear" w:color="auto" w:fill="FFFFFF"/>
            <w:vAlign w:val="center"/>
          </w:tcPr>
          <w:p w14:paraId="0A10F7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2.53(1.14-5.62)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7E0AB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1113673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26" w:type="dxa"/>
            <w:shd w:val="clear" w:color="auto" w:fill="FFFFFF"/>
            <w:vAlign w:val="center"/>
          </w:tcPr>
          <w:p w14:paraId="306C681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60B47F0C">
      <w:pPr>
        <w:spacing w:line="360" w:lineRule="auto"/>
      </w:pPr>
      <w:r>
        <w:rPr>
          <w:rFonts w:ascii="Times New Roman" w:hAnsi="Times New Roman" w:eastAsia="仿宋" w:cs="Times New Roman"/>
          <w:kern w:val="0"/>
          <w:szCs w:val="21"/>
        </w:rPr>
        <w:t>ACLF, acute-on-chronic liver failure; 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BIs, b</w:t>
      </w:r>
      <w:r>
        <w:rPr>
          <w:rFonts w:ascii="Times New Roman" w:hAnsi="Times New Roman" w:eastAsia="仿宋" w:cs="Times New Roman"/>
          <w:szCs w:val="21"/>
        </w:rPr>
        <w:t>acterial infections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13F31C1A"/>
    <w:rsid w:val="24310787"/>
    <w:rsid w:val="3C111A19"/>
    <w:rsid w:val="42BF630F"/>
    <w:rsid w:val="50510D1F"/>
    <w:rsid w:val="5A7D4FC6"/>
    <w:rsid w:val="617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60E2E02C5E6041439BFEF846B9CF2562_13</vt:lpwstr>
  </property>
</Properties>
</file>