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A766F">
      <w:pPr>
        <w:spacing w:line="360" w:lineRule="auto"/>
        <w:rPr>
          <w:rFonts w:ascii="Times New Roman" w:hAnsi="Times New Roman" w:eastAsia="仿宋" w:cs="Times New Roman"/>
          <w:szCs w:val="21"/>
        </w:rPr>
      </w:pPr>
      <w:r>
        <w:rPr>
          <w:rFonts w:hint="eastAsia" w:ascii="Times New Roman" w:hAnsi="Times New Roman" w:eastAsia="仿宋" w:cs="Times New Roman"/>
          <w:szCs w:val="21"/>
          <w:lang w:eastAsia="zh-CN"/>
        </w:rPr>
        <w:t xml:space="preserve">Additional file </w:t>
      </w:r>
      <w:r>
        <w:rPr>
          <w:rFonts w:hint="eastAsia" w:ascii="Times New Roman" w:hAnsi="Times New Roman" w:eastAsia="仿宋" w:cs="Times New Roman"/>
          <w:szCs w:val="21"/>
        </w:rPr>
        <w:t>7. Transplant-free mortality in DC patients with different hospitalized new-onset decompensated events.</w:t>
      </w:r>
    </w:p>
    <w:tbl>
      <w:tblPr>
        <w:tblStyle w:val="3"/>
        <w:tblW w:w="9068" w:type="dxa"/>
        <w:tblInd w:w="-199" w:type="dxa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689"/>
        <w:gridCol w:w="1177"/>
        <w:gridCol w:w="1167"/>
        <w:gridCol w:w="1146"/>
        <w:gridCol w:w="1143"/>
        <w:gridCol w:w="1157"/>
      </w:tblGrid>
      <w:tr w14:paraId="7B208B41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8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</w:tcPr>
          <w:p w14:paraId="128E6362">
            <w:pPr>
              <w:adjustRightInd w:val="0"/>
              <w:snapToGrid w:val="0"/>
              <w:spacing w:line="360" w:lineRule="auto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T</w:t>
            </w:r>
            <w:r>
              <w:rPr>
                <w:rFonts w:eastAsia="仿宋"/>
                <w:b/>
                <w:bCs/>
              </w:rPr>
              <w:t>ransplant-free mortality</w:t>
            </w:r>
            <w:r>
              <w:rPr>
                <w:rFonts w:hint="eastAsia" w:eastAsia="仿宋"/>
                <w:b/>
                <w:bCs/>
              </w:rPr>
              <w:t xml:space="preserve">, </w:t>
            </w:r>
            <w:r>
              <w:rPr>
                <w:rFonts w:eastAsia="仿宋"/>
                <w:b/>
                <w:bCs/>
              </w:rPr>
              <w:t>n(%)</w:t>
            </w:r>
          </w:p>
        </w:tc>
        <w:tc>
          <w:tcPr>
            <w:tcW w:w="168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B875F05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b/>
                <w:bCs/>
              </w:rPr>
            </w:pPr>
            <w:r>
              <w:rPr>
                <w:rFonts w:eastAsia="仿宋"/>
                <w:b/>
                <w:bCs/>
              </w:rPr>
              <w:t>New-onset decompensation</w:t>
            </w:r>
            <w:r>
              <w:rPr>
                <w:rFonts w:hint="eastAsia" w:eastAsia="仿宋"/>
                <w:b/>
                <w:bCs/>
              </w:rPr>
              <w:t xml:space="preserve"> </w:t>
            </w:r>
            <w:r>
              <w:rPr>
                <w:rFonts w:eastAsia="仿宋"/>
                <w:b/>
                <w:bCs/>
              </w:rPr>
              <w:t>(n=83)</w:t>
            </w:r>
          </w:p>
        </w:tc>
        <w:tc>
          <w:tcPr>
            <w:tcW w:w="117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3553A68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b/>
                <w:bCs/>
              </w:rPr>
            </w:pPr>
            <w:r>
              <w:rPr>
                <w:rFonts w:eastAsia="仿宋"/>
                <w:b/>
                <w:bCs/>
              </w:rPr>
              <w:t>Ascites</w:t>
            </w:r>
          </w:p>
          <w:p w14:paraId="47AE575C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b/>
                <w:bCs/>
              </w:rPr>
            </w:pPr>
            <w:r>
              <w:rPr>
                <w:rFonts w:eastAsia="仿宋"/>
                <w:b/>
                <w:bCs/>
              </w:rPr>
              <w:t>(n=19)</w:t>
            </w:r>
          </w:p>
        </w:tc>
        <w:tc>
          <w:tcPr>
            <w:tcW w:w="116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65A4B61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GIH</w:t>
            </w:r>
          </w:p>
          <w:p w14:paraId="510A6B61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b/>
                <w:bCs/>
              </w:rPr>
            </w:pPr>
            <w:r>
              <w:rPr>
                <w:rFonts w:eastAsia="仿宋"/>
                <w:b/>
                <w:bCs/>
              </w:rPr>
              <w:t>(n=11)</w:t>
            </w:r>
          </w:p>
        </w:tc>
        <w:tc>
          <w:tcPr>
            <w:tcW w:w="114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7C6495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HE</w:t>
            </w:r>
          </w:p>
          <w:p w14:paraId="2CF89E65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b/>
                <w:bCs/>
              </w:rPr>
            </w:pPr>
            <w:r>
              <w:rPr>
                <w:rFonts w:eastAsia="仿宋"/>
                <w:b/>
                <w:bCs/>
              </w:rPr>
              <w:t>(n=17)</w:t>
            </w:r>
          </w:p>
        </w:tc>
        <w:tc>
          <w:tcPr>
            <w:tcW w:w="114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8E151F8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Jaundice</w:t>
            </w:r>
          </w:p>
          <w:p w14:paraId="571289A8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b/>
                <w:bCs/>
              </w:rPr>
            </w:pPr>
            <w:r>
              <w:rPr>
                <w:rFonts w:eastAsia="仿宋"/>
                <w:b/>
                <w:bCs/>
              </w:rPr>
              <w:t>(n=4)</w:t>
            </w:r>
          </w:p>
        </w:tc>
        <w:tc>
          <w:tcPr>
            <w:tcW w:w="115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D37E7D1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BIs</w:t>
            </w:r>
          </w:p>
          <w:p w14:paraId="64C52B71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  <w:b/>
                <w:bCs/>
              </w:rPr>
            </w:pPr>
            <w:r>
              <w:rPr>
                <w:rFonts w:eastAsia="仿宋"/>
                <w:b/>
                <w:bCs/>
              </w:rPr>
              <w:t>(n=46)</w:t>
            </w:r>
          </w:p>
        </w:tc>
      </w:tr>
      <w:tr w14:paraId="5415FBE7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8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</w:tcPr>
          <w:p w14:paraId="2A8B2A76">
            <w:pPr>
              <w:adjustRightInd w:val="0"/>
              <w:snapToGrid w:val="0"/>
              <w:spacing w:line="360" w:lineRule="auto"/>
              <w:rPr>
                <w:rFonts w:eastAsia="仿宋"/>
              </w:rPr>
            </w:pPr>
            <w:r>
              <w:rPr>
                <w:rFonts w:eastAsia="仿宋"/>
              </w:rPr>
              <w:t>28</w:t>
            </w:r>
            <w:r>
              <w:rPr>
                <w:rFonts w:hint="eastAsia" w:eastAsia="仿宋"/>
              </w:rPr>
              <w:t>-</w:t>
            </w:r>
            <w:r>
              <w:rPr>
                <w:rFonts w:eastAsia="仿宋"/>
              </w:rPr>
              <w:t>day</w:t>
            </w:r>
            <w:r>
              <w:rPr>
                <w:rFonts w:hint="eastAsia" w:eastAsia="仿宋"/>
              </w:rPr>
              <w:t xml:space="preserve"> </w:t>
            </w:r>
            <w:r>
              <w:rPr>
                <w:rFonts w:eastAsia="仿宋"/>
              </w:rPr>
              <w:t>after</w:t>
            </w:r>
            <w:r>
              <w:rPr>
                <w:rFonts w:hint="eastAsia" w:eastAsia="仿宋"/>
              </w:rPr>
              <w:t xml:space="preserve"> </w:t>
            </w:r>
            <w:r>
              <w:rPr>
                <w:rFonts w:eastAsia="仿宋"/>
              </w:rPr>
              <w:t>discharge</w:t>
            </w:r>
          </w:p>
        </w:tc>
        <w:tc>
          <w:tcPr>
            <w:tcW w:w="168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8AF6F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24(28.9)</w:t>
            </w:r>
          </w:p>
        </w:tc>
        <w:tc>
          <w:tcPr>
            <w:tcW w:w="117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F027F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7(36.8)</w:t>
            </w:r>
          </w:p>
        </w:tc>
        <w:tc>
          <w:tcPr>
            <w:tcW w:w="116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FC5CA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8(72.7)</w:t>
            </w:r>
          </w:p>
        </w:tc>
        <w:tc>
          <w:tcPr>
            <w:tcW w:w="114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38F68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7(41.2)</w:t>
            </w:r>
          </w:p>
        </w:tc>
        <w:tc>
          <w:tcPr>
            <w:tcW w:w="114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14506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0(0.0)</w:t>
            </w:r>
          </w:p>
        </w:tc>
        <w:tc>
          <w:tcPr>
            <w:tcW w:w="115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1D284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12(26.1)</w:t>
            </w:r>
          </w:p>
        </w:tc>
      </w:tr>
      <w:tr w14:paraId="535F55A0"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8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 w14:paraId="6A6DA09C">
            <w:pPr>
              <w:adjustRightInd w:val="0"/>
              <w:snapToGrid w:val="0"/>
              <w:spacing w:line="360" w:lineRule="auto"/>
              <w:rPr>
                <w:rFonts w:eastAsia="仿宋"/>
              </w:rPr>
            </w:pPr>
            <w:r>
              <w:rPr>
                <w:rFonts w:hint="eastAsia" w:eastAsia="仿宋"/>
              </w:rPr>
              <w:t>90-</w:t>
            </w:r>
            <w:r>
              <w:rPr>
                <w:rFonts w:eastAsia="仿宋"/>
              </w:rPr>
              <w:t>day</w:t>
            </w:r>
            <w:r>
              <w:rPr>
                <w:rFonts w:hint="eastAsia" w:eastAsia="仿宋"/>
              </w:rPr>
              <w:t xml:space="preserve"> </w:t>
            </w:r>
            <w:r>
              <w:rPr>
                <w:rFonts w:eastAsia="仿宋"/>
              </w:rPr>
              <w:t>after</w:t>
            </w:r>
            <w:r>
              <w:rPr>
                <w:rFonts w:hint="eastAsia" w:eastAsia="仿宋"/>
              </w:rPr>
              <w:t xml:space="preserve"> </w:t>
            </w:r>
            <w:r>
              <w:rPr>
                <w:rFonts w:eastAsia="仿宋"/>
              </w:rPr>
              <w:t>discharge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AB77CC2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28(33.7)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3C39CA29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7(36.8)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00D5CC4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8(72.7)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BAC84D2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9(52.9)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54706047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0(0.0)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62A6486">
            <w:pPr>
              <w:adjustRightInd w:val="0"/>
              <w:snapToGrid w:val="0"/>
              <w:spacing w:line="360" w:lineRule="auto"/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14(30.4)</w:t>
            </w:r>
          </w:p>
        </w:tc>
      </w:tr>
    </w:tbl>
    <w:p w14:paraId="6E45D353">
      <w:r>
        <w:rPr>
          <w:rFonts w:ascii="Times New Roman" w:hAnsi="Times New Roman" w:eastAsia="仿宋" w:cs="Times New Roman"/>
          <w:kern w:val="0"/>
          <w:szCs w:val="21"/>
        </w:rPr>
        <w:t>BIs, b</w:t>
      </w:r>
      <w:r>
        <w:rPr>
          <w:rFonts w:ascii="Times New Roman" w:hAnsi="Times New Roman" w:eastAsia="仿宋" w:cs="Times New Roman"/>
          <w:szCs w:val="21"/>
        </w:rPr>
        <w:t>acterial infections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DC, decompensated cirrhosis; </w:t>
      </w:r>
      <w:r>
        <w:rPr>
          <w:rFonts w:ascii="Times New Roman" w:hAnsi="Times New Roman" w:eastAsia="仿宋" w:cs="Times New Roman"/>
          <w:kern w:val="0"/>
          <w:szCs w:val="21"/>
        </w:rPr>
        <w:t>GIH, g</w:t>
      </w:r>
      <w:r>
        <w:rPr>
          <w:rFonts w:ascii="Times New Roman" w:hAnsi="Times New Roman" w:eastAsia="仿宋" w:cs="Times New Roman"/>
          <w:szCs w:val="21"/>
        </w:rPr>
        <w:t xml:space="preserve">astrointestinal </w:t>
      </w:r>
      <w:r>
        <w:rPr>
          <w:rFonts w:hint="eastAsia" w:ascii="Times New Roman" w:hAnsi="Times New Roman" w:eastAsia="仿宋" w:cs="Times New Roman"/>
          <w:szCs w:val="21"/>
        </w:rPr>
        <w:t>hemorrhage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; HE, Hepatic encephalopathy</w:t>
      </w:r>
      <w:r>
        <w:rPr>
          <w:rFonts w:hint="eastAsia" w:ascii="Times New Roman" w:hAnsi="Times New Roman" w:eastAsia="仿宋" w:cs="Times New Roman"/>
          <w:szCs w:val="21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YmExZjVjZDYzOTRjNzA5ZDVlMWIzZWUyNGZkNzQifQ=="/>
  </w:docVars>
  <w:rsids>
    <w:rsidRoot w:val="00000000"/>
    <w:rsid w:val="0A3864D3"/>
    <w:rsid w:val="0BE856C8"/>
    <w:rsid w:val="0D8C2C0D"/>
    <w:rsid w:val="13F31C1A"/>
    <w:rsid w:val="24310787"/>
    <w:rsid w:val="3C111A19"/>
    <w:rsid w:val="42BF630F"/>
    <w:rsid w:val="50510D1F"/>
    <w:rsid w:val="53F555CD"/>
    <w:rsid w:val="54AB3A77"/>
    <w:rsid w:val="56707D61"/>
    <w:rsid w:val="5A7D4FC6"/>
    <w:rsid w:val="617E0582"/>
    <w:rsid w:val="63575FA4"/>
    <w:rsid w:val="7913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2024-07-21T03:01:34Z</dcterms:created>
  <dc:creator>13213</dc:creator>
  <cp:lastModifiedBy>L^O^Y</cp:lastModifiedBy>
  <dcterms:modified xsi:type="dcterms:W3CDTF">2024-07-21T03:05:10Z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F403EC1572064DF88308C2AE04E9004A_13</vt:lpwstr>
  </property>
</Properties>
</file>