
<file path=[Content_Types].xml><?xml version="1.0" encoding="utf-8"?>
<Types xmlns="http://schemas.openxmlformats.org/package/2006/content-types">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Y="74"/>
        <w:tblOverlap w:val="never"/>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6"/>
      </w:tblGrid>
      <w:tr w14:paraId="22CCE04A">
        <w:tc>
          <w:tcPr>
            <w:tcW w:w="9606" w:type="dxa"/>
            <w:tcBorders>
              <w:top w:val="nil"/>
              <w:left w:val="nil"/>
              <w:bottom w:val="single" w:color="auto" w:sz="4" w:space="0"/>
              <w:right w:val="nil"/>
            </w:tcBorders>
          </w:tcPr>
          <w:p w14:paraId="56621487">
            <w:pPr>
              <w:keepNext w:val="0"/>
              <w:keepLines w:val="0"/>
              <w:suppressLineNumbers w:val="0"/>
              <w:spacing w:before="0" w:beforeAutospacing="0" w:after="0" w:afterAutospacing="0"/>
              <w:ind w:left="0" w:right="0"/>
              <w:jc w:val="left"/>
              <w:rPr>
                <w:rFonts w:hint="default" w:ascii="Times New Roman Regular" w:hAnsi="Times New Roman Regular" w:cs="Times New Roman Regular"/>
                <w:sz w:val="15"/>
                <w:szCs w:val="15"/>
              </w:rPr>
            </w:pPr>
            <w:r>
              <w:rPr>
                <w:rFonts w:hint="default" w:ascii="Times New Roman Regular" w:hAnsi="Times New Roman Regular" w:cs="Times New Roman Regular"/>
                <w:b/>
                <w:bCs/>
                <w:sz w:val="15"/>
                <w:szCs w:val="15"/>
              </w:rPr>
              <w:t>Table1 PubMed retrieval strategy</w:t>
            </w:r>
          </w:p>
        </w:tc>
      </w:tr>
      <w:tr w14:paraId="1B537CA2">
        <w:tc>
          <w:tcPr>
            <w:tcW w:w="9606" w:type="dxa"/>
            <w:tcBorders>
              <w:top w:val="single" w:color="auto" w:sz="4" w:space="0"/>
            </w:tcBorders>
          </w:tcPr>
          <w:p w14:paraId="121EDADA">
            <w:pPr>
              <w:keepNext w:val="0"/>
              <w:keepLines w:val="0"/>
              <w:suppressLineNumbers w:val="0"/>
              <w:spacing w:before="0" w:beforeAutospacing="0" w:after="0" w:afterAutospacing="0"/>
              <w:ind w:left="0" w:right="0"/>
              <w:jc w:val="left"/>
              <w:rPr>
                <w:rFonts w:hint="default" w:ascii="Times New Roman Regular" w:hAnsi="Times New Roman Regular" w:cs="Times New Roman Regular"/>
                <w:sz w:val="15"/>
                <w:szCs w:val="15"/>
              </w:rPr>
            </w:pPr>
            <w:r>
              <w:rPr>
                <w:rFonts w:hint="default" w:ascii="Times New Roman Regular" w:hAnsi="Times New Roman Regular" w:cs="Times New Roman Regular"/>
                <w:sz w:val="15"/>
                <w:szCs w:val="15"/>
              </w:rPr>
              <w:t>#1((((((probiotics[MeSH]) OR (Synbiotics[MeSH]) OR (Saccharomyces[MeSH]) OR (Escherichia[MeSH]) OR (Bifidobacterium[MeSH]) OR (Bacillus[MeSH]) OR (Lactobacillus[MeSH]) OR (Clostridium[MeSH]) OR (probiotics))) OR ("Prebiotics"[Mesh])) OR ("Synbiotics"[Mesh]))</w:t>
            </w:r>
          </w:p>
        </w:tc>
      </w:tr>
      <w:tr w14:paraId="2D321816">
        <w:tc>
          <w:tcPr>
            <w:tcW w:w="9606" w:type="dxa"/>
          </w:tcPr>
          <w:p w14:paraId="6AF6E592">
            <w:pPr>
              <w:keepNext w:val="0"/>
              <w:keepLines w:val="0"/>
              <w:suppressLineNumbers w:val="0"/>
              <w:spacing w:before="0" w:beforeAutospacing="0" w:after="0" w:afterAutospacing="0"/>
              <w:ind w:left="0" w:right="0"/>
              <w:jc w:val="left"/>
              <w:rPr>
                <w:rFonts w:hint="default" w:ascii="Times New Roman Regular" w:hAnsi="Times New Roman Regular" w:cs="Times New Roman Regular"/>
                <w:sz w:val="15"/>
                <w:szCs w:val="15"/>
              </w:rPr>
            </w:pPr>
            <w:r>
              <w:rPr>
                <w:rFonts w:hint="default" w:ascii="Times New Roman Regular" w:hAnsi="Times New Roman Regular" w:cs="Times New Roman Regular"/>
                <w:sz w:val="15"/>
                <w:szCs w:val="15"/>
              </w:rPr>
              <w:t>#2 ((("Anemia"[Mesh]) OR (Anemia)) OR ((((Iron-deficiency anemia) OR (Nutritional anemia)) OR (anemias)) OR (Hemoglobin))))</w:t>
            </w:r>
          </w:p>
        </w:tc>
      </w:tr>
      <w:tr w14:paraId="1445D1E1">
        <w:tc>
          <w:tcPr>
            <w:tcW w:w="9606" w:type="dxa"/>
          </w:tcPr>
          <w:p w14:paraId="032CEDF7">
            <w:pPr>
              <w:keepNext w:val="0"/>
              <w:keepLines w:val="0"/>
              <w:suppressLineNumbers w:val="0"/>
              <w:spacing w:before="0" w:beforeAutospacing="0" w:after="0" w:afterAutospacing="0"/>
              <w:ind w:left="0" w:right="0"/>
              <w:jc w:val="left"/>
              <w:rPr>
                <w:rFonts w:hint="default" w:ascii="Times New Roman Regular" w:hAnsi="Times New Roman Regular" w:cs="Times New Roman Regular"/>
                <w:sz w:val="15"/>
                <w:szCs w:val="15"/>
              </w:rPr>
            </w:pPr>
            <w:r>
              <w:rPr>
                <w:rFonts w:hint="default" w:ascii="Times New Roman Regular" w:hAnsi="Times New Roman Regular" w:cs="Times New Roman Regular"/>
                <w:sz w:val="15"/>
                <w:szCs w:val="15"/>
              </w:rPr>
              <w:t>#3((clinical trial) OR (trial) OR (randomized controlled trial))</w:t>
            </w:r>
          </w:p>
        </w:tc>
      </w:tr>
      <w:tr w14:paraId="04FC3324">
        <w:tc>
          <w:tcPr>
            <w:tcW w:w="9606" w:type="dxa"/>
          </w:tcPr>
          <w:p w14:paraId="100A557F">
            <w:pPr>
              <w:keepNext w:val="0"/>
              <w:keepLines w:val="0"/>
              <w:suppressLineNumbers w:val="0"/>
              <w:spacing w:before="0" w:beforeAutospacing="0" w:after="0" w:afterAutospacing="0"/>
              <w:ind w:left="0" w:right="0"/>
              <w:jc w:val="left"/>
              <w:rPr>
                <w:rFonts w:hint="default" w:ascii="Times New Roman Regular" w:hAnsi="Times New Roman Regular" w:cs="Times New Roman Regular"/>
                <w:sz w:val="15"/>
                <w:szCs w:val="15"/>
              </w:rPr>
            </w:pPr>
            <w:r>
              <w:rPr>
                <w:rFonts w:hint="default" w:ascii="Times New Roman Regular" w:hAnsi="Times New Roman Regular" w:cs="Times New Roman Regular"/>
                <w:sz w:val="15"/>
                <w:szCs w:val="15"/>
              </w:rPr>
              <w:t>#3 #1 AND #2 AND #3</w:t>
            </w:r>
          </w:p>
        </w:tc>
      </w:tr>
    </w:tbl>
    <w:p w14:paraId="55AFF631">
      <w:pPr>
        <w:rPr>
          <w:rFonts w:hint="default" w:ascii="Times New Roman Regular" w:hAnsi="Times New Roman Regular" w:cs="Times New Roman Regular"/>
          <w:sz w:val="15"/>
          <w:szCs w:val="15"/>
          <w:lang w:val="en-US" w:eastAsia="zh-CN"/>
        </w:rPr>
      </w:pPr>
    </w:p>
    <w:p w14:paraId="351E8CEF">
      <w:pPr>
        <w:rPr>
          <w:rFonts w:hint="default" w:ascii="Times New Roman Regular" w:hAnsi="Times New Roman Regular" w:cs="Times New Roman Regular" w:eastAsiaTheme="minorEastAsia"/>
          <w:sz w:val="15"/>
          <w:szCs w:val="15"/>
          <w:lang w:val="en-US" w:eastAsia="zh-CN"/>
        </w:rPr>
      </w:pPr>
    </w:p>
    <w:tbl>
      <w:tblPr>
        <w:tblStyle w:val="4"/>
        <w:tblW w:w="9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8"/>
        <w:gridCol w:w="2317"/>
      </w:tblGrid>
      <w:tr w14:paraId="6800C29C">
        <w:tc>
          <w:tcPr>
            <w:tcW w:w="9605" w:type="dxa"/>
            <w:gridSpan w:val="2"/>
            <w:tcBorders>
              <w:top w:val="nil"/>
              <w:left w:val="nil"/>
              <w:right w:val="nil"/>
            </w:tcBorders>
            <w:vAlign w:val="top"/>
          </w:tcPr>
          <w:p w14:paraId="5C8F1330">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b/>
                <w:bCs/>
                <w:sz w:val="15"/>
                <w:szCs w:val="15"/>
                <w:lang w:val="en-US" w:eastAsia="zh-CN"/>
              </w:rPr>
              <w:t>Table2 Excluded list for the ‘Full-text assessed for eligibility</w:t>
            </w:r>
          </w:p>
        </w:tc>
      </w:tr>
      <w:tr w14:paraId="5B128F47">
        <w:tc>
          <w:tcPr>
            <w:tcW w:w="7288" w:type="dxa"/>
            <w:tcBorders>
              <w:left w:val="nil"/>
              <w:bottom w:val="nil"/>
              <w:right w:val="nil"/>
            </w:tcBorders>
            <w:vAlign w:val="top"/>
          </w:tcPr>
          <w:p w14:paraId="14E670D4">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Citation</w:t>
            </w:r>
          </w:p>
        </w:tc>
        <w:tc>
          <w:tcPr>
            <w:tcW w:w="2317" w:type="dxa"/>
            <w:tcBorders>
              <w:left w:val="nil"/>
              <w:bottom w:val="nil"/>
              <w:right w:val="nil"/>
            </w:tcBorders>
            <w:vAlign w:val="top"/>
          </w:tcPr>
          <w:p w14:paraId="77DCAF09">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Reason for exclusion</w:t>
            </w:r>
          </w:p>
        </w:tc>
      </w:tr>
      <w:tr w14:paraId="586EE3F4">
        <w:trPr>
          <w:trHeight w:val="293" w:hRule="atLeast"/>
        </w:trPr>
        <w:tc>
          <w:tcPr>
            <w:tcW w:w="7288" w:type="dxa"/>
            <w:tcBorders>
              <w:top w:val="nil"/>
              <w:left w:val="nil"/>
              <w:bottom w:val="nil"/>
              <w:right w:val="nil"/>
            </w:tcBorders>
            <w:vAlign w:val="top"/>
          </w:tcPr>
          <w:p w14:paraId="78633CB5">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Beteri B, Barone M, Turroni S, et al. Impact of Combined Prebiotic Galacto-Oligosaccharides and Bifidobacterium breve-Derived Postbiotic on Gut Microbiota and HbA1c in Prediabetic Adults: A Double-Blind, Randomized, Placebo-Controlled Study. </w:t>
            </w:r>
          </w:p>
        </w:tc>
        <w:tc>
          <w:tcPr>
            <w:tcW w:w="2317" w:type="dxa"/>
            <w:tcBorders>
              <w:top w:val="nil"/>
              <w:left w:val="nil"/>
              <w:bottom w:val="nil"/>
              <w:right w:val="nil"/>
            </w:tcBorders>
            <w:vAlign w:val="top"/>
          </w:tcPr>
          <w:p w14:paraId="5DD720B7">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Patients without anemia</w:t>
            </w:r>
          </w:p>
        </w:tc>
      </w:tr>
      <w:tr w14:paraId="226DDDAD">
        <w:tc>
          <w:tcPr>
            <w:tcW w:w="7288" w:type="dxa"/>
            <w:tcBorders>
              <w:top w:val="nil"/>
              <w:left w:val="nil"/>
              <w:bottom w:val="nil"/>
              <w:right w:val="nil"/>
            </w:tcBorders>
            <w:vAlign w:val="top"/>
          </w:tcPr>
          <w:p w14:paraId="14DF04CE">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Giannoulaki P, Kotzakioulafi E, Nakas A, et al. Effect of Crocus sativus Extract Supplementation in the Metabolic Control of People with Diabetes Mellitus Type 1: A Double-Blind Randomized Placebo-Controlled Trial.  </w:t>
            </w:r>
          </w:p>
          <w:p w14:paraId="3CBB2F5C">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p>
        </w:tc>
        <w:tc>
          <w:tcPr>
            <w:tcW w:w="2317" w:type="dxa"/>
            <w:tcBorders>
              <w:top w:val="nil"/>
              <w:left w:val="nil"/>
              <w:bottom w:val="nil"/>
              <w:right w:val="nil"/>
            </w:tcBorders>
            <w:vAlign w:val="top"/>
          </w:tcPr>
          <w:p w14:paraId="0EF32CBF">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Patients without anemia</w:t>
            </w:r>
          </w:p>
        </w:tc>
      </w:tr>
      <w:tr w14:paraId="09867C9F">
        <w:tc>
          <w:tcPr>
            <w:tcW w:w="7288" w:type="dxa"/>
            <w:tcBorders>
              <w:top w:val="nil"/>
              <w:left w:val="nil"/>
              <w:bottom w:val="nil"/>
              <w:right w:val="nil"/>
            </w:tcBorders>
            <w:vAlign w:val="top"/>
          </w:tcPr>
          <w:p w14:paraId="2586A267">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Li L, Chen Y, Tang Z, You Y, Guo Y, Liao Y. Effect of metformin on gut microbiota imbalance in patients with T2DM, and the value of probiotic supplementation. </w:t>
            </w:r>
          </w:p>
          <w:p w14:paraId="1E65F2DF">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p>
        </w:tc>
        <w:tc>
          <w:tcPr>
            <w:tcW w:w="2317" w:type="dxa"/>
            <w:tcBorders>
              <w:top w:val="nil"/>
              <w:left w:val="nil"/>
              <w:bottom w:val="nil"/>
              <w:right w:val="nil"/>
            </w:tcBorders>
            <w:vAlign w:val="top"/>
          </w:tcPr>
          <w:p w14:paraId="4CB83A9E">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Patients without anemia</w:t>
            </w:r>
          </w:p>
        </w:tc>
      </w:tr>
      <w:tr w14:paraId="22F300B3">
        <w:tc>
          <w:tcPr>
            <w:tcW w:w="7288" w:type="dxa"/>
            <w:tcBorders>
              <w:top w:val="nil"/>
              <w:left w:val="nil"/>
              <w:bottom w:val="nil"/>
              <w:right w:val="nil"/>
            </w:tcBorders>
            <w:vAlign w:val="top"/>
          </w:tcPr>
          <w:p w14:paraId="654966B4">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Lan W, Yang H, Zhong Z, et al. Bifidobacterium animalis subsp. lactis LPL-RH improves postoperative gastrointestinal symptoms and nutrition indexes by regulating the gut microbiota in patients with valvular heart disease: a randomized controlled trial</w:t>
            </w:r>
          </w:p>
          <w:p w14:paraId="569200AD">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p>
        </w:tc>
        <w:tc>
          <w:tcPr>
            <w:tcW w:w="2317" w:type="dxa"/>
            <w:tcBorders>
              <w:top w:val="nil"/>
              <w:left w:val="nil"/>
              <w:bottom w:val="nil"/>
              <w:right w:val="nil"/>
            </w:tcBorders>
            <w:vAlign w:val="top"/>
          </w:tcPr>
          <w:p w14:paraId="65050518">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Patients without anemia</w:t>
            </w:r>
          </w:p>
        </w:tc>
      </w:tr>
      <w:tr w14:paraId="5C3A2010">
        <w:tc>
          <w:tcPr>
            <w:tcW w:w="7288" w:type="dxa"/>
            <w:tcBorders>
              <w:top w:val="nil"/>
              <w:left w:val="nil"/>
              <w:bottom w:val="nil"/>
              <w:right w:val="nil"/>
            </w:tcBorders>
            <w:vAlign w:val="top"/>
          </w:tcPr>
          <w:p w14:paraId="6CF51458">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Franko J, Raman S, Patel S, et al. Survival and cancer recurrence after short-course perioperative probiotics in a randomized trial. </w:t>
            </w:r>
          </w:p>
          <w:p w14:paraId="3457297D">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p>
        </w:tc>
        <w:tc>
          <w:tcPr>
            <w:tcW w:w="2317" w:type="dxa"/>
            <w:tcBorders>
              <w:top w:val="nil"/>
              <w:left w:val="nil"/>
              <w:bottom w:val="nil"/>
              <w:right w:val="nil"/>
            </w:tcBorders>
            <w:vAlign w:val="top"/>
          </w:tcPr>
          <w:p w14:paraId="4EDFA833">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Patients without anemia</w:t>
            </w:r>
          </w:p>
        </w:tc>
      </w:tr>
      <w:tr w14:paraId="0081D10C">
        <w:tc>
          <w:tcPr>
            <w:tcW w:w="7288" w:type="dxa"/>
            <w:tcBorders>
              <w:top w:val="nil"/>
              <w:left w:val="nil"/>
              <w:bottom w:val="nil"/>
              <w:right w:val="nil"/>
            </w:tcBorders>
            <w:vAlign w:val="top"/>
          </w:tcPr>
          <w:p w14:paraId="2A045C24">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Toshimitsu T, Gotou A, Sashihara T, et al. Ingesting probiotic yogurt containing Lactiplantibacillus plantarum OLL2712 improves glycaemic control in adults with prediabetes in a randomized, double-blind, placebo-controlled trial. </w:t>
            </w:r>
          </w:p>
          <w:p w14:paraId="35C48C73">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p>
        </w:tc>
        <w:tc>
          <w:tcPr>
            <w:tcW w:w="2317" w:type="dxa"/>
            <w:tcBorders>
              <w:top w:val="nil"/>
              <w:left w:val="nil"/>
              <w:bottom w:val="nil"/>
              <w:right w:val="nil"/>
            </w:tcBorders>
            <w:vAlign w:val="top"/>
          </w:tcPr>
          <w:p w14:paraId="6747EDDD">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Incomplete data</w:t>
            </w:r>
          </w:p>
          <w:p w14:paraId="034774F9">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p>
        </w:tc>
      </w:tr>
      <w:tr w14:paraId="5475BBDB">
        <w:tc>
          <w:tcPr>
            <w:tcW w:w="7288" w:type="dxa"/>
            <w:tcBorders>
              <w:top w:val="nil"/>
              <w:left w:val="nil"/>
              <w:bottom w:val="nil"/>
              <w:right w:val="nil"/>
            </w:tcBorders>
            <w:vAlign w:val="top"/>
          </w:tcPr>
          <w:p w14:paraId="61381F22">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Lee E, Park HY, Kim SW, et al. Enhancing Supplemental Effects of Acute Natural Antioxidant Derived from Yeast Fermentation and Vitamin C on Sports Performance in Triathlon Athletes: A Randomized, Double-Blinded, Placebo-Controlled, Crossover Trial.</w:t>
            </w:r>
          </w:p>
          <w:p w14:paraId="5D25835C">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p>
        </w:tc>
        <w:tc>
          <w:tcPr>
            <w:tcW w:w="2317" w:type="dxa"/>
            <w:tcBorders>
              <w:top w:val="nil"/>
              <w:left w:val="nil"/>
              <w:bottom w:val="nil"/>
              <w:right w:val="nil"/>
            </w:tcBorders>
            <w:vAlign w:val="top"/>
          </w:tcPr>
          <w:p w14:paraId="707083BA">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Patients without anemia</w:t>
            </w:r>
          </w:p>
        </w:tc>
      </w:tr>
      <w:tr w14:paraId="6EFEEEF5">
        <w:tc>
          <w:tcPr>
            <w:tcW w:w="7288" w:type="dxa"/>
            <w:tcBorders>
              <w:top w:val="nil"/>
              <w:left w:val="nil"/>
              <w:bottom w:val="nil"/>
              <w:right w:val="nil"/>
            </w:tcBorders>
            <w:vAlign w:val="top"/>
          </w:tcPr>
          <w:p w14:paraId="35DA7690">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Lee E, Park HY, Kim SW, et al. Enhancing Supplemental Effects of Acute Natural Antioxidant Derived from Yeast Fermentation and Vitamin C on Sports Performance in Triathlon Athletes: A Randomized, Double-Blinded, Placebo-Controlled, Crossover Trial.</w:t>
            </w:r>
          </w:p>
          <w:p w14:paraId="098A5FB7">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p>
        </w:tc>
        <w:tc>
          <w:tcPr>
            <w:tcW w:w="2317" w:type="dxa"/>
            <w:tcBorders>
              <w:top w:val="nil"/>
              <w:left w:val="nil"/>
              <w:bottom w:val="nil"/>
              <w:right w:val="nil"/>
            </w:tcBorders>
            <w:vAlign w:val="top"/>
          </w:tcPr>
          <w:p w14:paraId="56F69979">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Patients without anemia</w:t>
            </w:r>
          </w:p>
        </w:tc>
      </w:tr>
      <w:tr w14:paraId="038F2098">
        <w:tc>
          <w:tcPr>
            <w:tcW w:w="7288" w:type="dxa"/>
            <w:tcBorders>
              <w:top w:val="nil"/>
              <w:left w:val="nil"/>
              <w:bottom w:val="nil"/>
              <w:right w:val="nil"/>
            </w:tcBorders>
            <w:vAlign w:val="top"/>
          </w:tcPr>
          <w:p w14:paraId="6FF92F1E">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Kewcharoenwong C, Sein MM, Nithichanon A, et al. Daily preventive zinc supplementation increases the antibody response against pathogenic Escherichia coli in children with zinc insufficiency: a randomised controlled trial.</w:t>
            </w:r>
          </w:p>
          <w:p w14:paraId="022EBCDD">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p>
        </w:tc>
        <w:tc>
          <w:tcPr>
            <w:tcW w:w="2317" w:type="dxa"/>
            <w:tcBorders>
              <w:top w:val="nil"/>
              <w:left w:val="nil"/>
              <w:bottom w:val="nil"/>
              <w:right w:val="nil"/>
            </w:tcBorders>
            <w:vAlign w:val="top"/>
          </w:tcPr>
          <w:p w14:paraId="74A732CE">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Does not meet the inclusion criteria</w:t>
            </w:r>
          </w:p>
        </w:tc>
      </w:tr>
      <w:tr w14:paraId="212B5CF7">
        <w:tc>
          <w:tcPr>
            <w:tcW w:w="7288" w:type="dxa"/>
            <w:tcBorders>
              <w:top w:val="nil"/>
              <w:left w:val="nil"/>
              <w:bottom w:val="nil"/>
              <w:right w:val="nil"/>
            </w:tcBorders>
            <w:vAlign w:val="top"/>
          </w:tcPr>
          <w:p w14:paraId="0F56AE0D">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Rosen GM, Morrissette S, Larson A, Stading P, Griffin KH, Barnes TL. Use of a Probiotic to Enhance Iron Absorption in a Randomized Trial of Pediatric Patients Presenting with Iron Deficiency.</w:t>
            </w:r>
          </w:p>
          <w:p w14:paraId="397E9DC7">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p>
        </w:tc>
        <w:tc>
          <w:tcPr>
            <w:tcW w:w="2317" w:type="dxa"/>
            <w:tcBorders>
              <w:top w:val="nil"/>
              <w:left w:val="nil"/>
              <w:bottom w:val="nil"/>
              <w:right w:val="nil"/>
            </w:tcBorders>
            <w:vAlign w:val="top"/>
          </w:tcPr>
          <w:p w14:paraId="61135EAD">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Does not meet the inclusion criteria</w:t>
            </w:r>
          </w:p>
        </w:tc>
      </w:tr>
      <w:tr w14:paraId="3C809CD8">
        <w:tc>
          <w:tcPr>
            <w:tcW w:w="7288" w:type="dxa"/>
            <w:tcBorders>
              <w:top w:val="nil"/>
              <w:left w:val="nil"/>
              <w:bottom w:val="nil"/>
              <w:right w:val="nil"/>
            </w:tcBorders>
            <w:vAlign w:val="top"/>
          </w:tcPr>
          <w:p w14:paraId="3A82F81A">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Paganini D, Uyoga MA, Kortman GAM, et al. Prebiotic galacto-oligosaccharides mitigate the adverse effects of iron fortification on the gut microbiome: a randomised controlled study in Kenyan infants.</w:t>
            </w:r>
          </w:p>
          <w:p w14:paraId="119EE369">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p>
        </w:tc>
        <w:tc>
          <w:tcPr>
            <w:tcW w:w="2317" w:type="dxa"/>
            <w:tcBorders>
              <w:top w:val="nil"/>
              <w:left w:val="nil"/>
              <w:bottom w:val="nil"/>
              <w:right w:val="nil"/>
            </w:tcBorders>
            <w:vAlign w:val="top"/>
          </w:tcPr>
          <w:p w14:paraId="66C9FDC7">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Does not meet the inclusion criteria</w:t>
            </w:r>
          </w:p>
        </w:tc>
      </w:tr>
      <w:tr w14:paraId="6EBCD685">
        <w:tc>
          <w:tcPr>
            <w:tcW w:w="7288" w:type="dxa"/>
            <w:tcBorders>
              <w:top w:val="nil"/>
              <w:left w:val="nil"/>
              <w:right w:val="nil"/>
            </w:tcBorders>
            <w:vAlign w:val="top"/>
          </w:tcPr>
          <w:p w14:paraId="11E9698A">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Shariaty, Zahra et al. “The effects of probiotic supplement on hemoglobin in chronic renal failure patients under hemodialysis: A randomized clinical trial.</w:t>
            </w:r>
          </w:p>
        </w:tc>
        <w:tc>
          <w:tcPr>
            <w:tcW w:w="2317" w:type="dxa"/>
            <w:tcBorders>
              <w:top w:val="nil"/>
              <w:left w:val="nil"/>
              <w:right w:val="nil"/>
            </w:tcBorders>
            <w:vAlign w:val="top"/>
          </w:tcPr>
          <w:p w14:paraId="2C23AC23">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r>
              <w:rPr>
                <w:rFonts w:hint="default" w:ascii="Times New Roman Regular" w:hAnsi="Times New Roman Regular" w:cs="Times New Roman Regular" w:eastAsiaTheme="minorEastAsia"/>
                <w:sz w:val="15"/>
                <w:szCs w:val="15"/>
                <w:vertAlign w:val="baseline"/>
                <w:lang w:val="en-US" w:eastAsia="zh-CN"/>
              </w:rPr>
              <w:t>Incomplete data</w:t>
            </w:r>
          </w:p>
          <w:p w14:paraId="59B610E4">
            <w:pPr>
              <w:keepNext w:val="0"/>
              <w:keepLines w:val="0"/>
              <w:suppressLineNumbers w:val="0"/>
              <w:spacing w:before="0" w:beforeAutospacing="0" w:after="0" w:afterAutospacing="0"/>
              <w:ind w:left="0" w:right="0"/>
              <w:jc w:val="both"/>
              <w:rPr>
                <w:rFonts w:hint="default" w:ascii="Times New Roman Regular" w:hAnsi="Times New Roman Regular" w:cs="Times New Roman Regular" w:eastAsiaTheme="minorEastAsia"/>
                <w:sz w:val="15"/>
                <w:szCs w:val="15"/>
                <w:vertAlign w:val="baseline"/>
                <w:lang w:val="en-US" w:eastAsia="zh-CN"/>
              </w:rPr>
            </w:pPr>
          </w:p>
        </w:tc>
      </w:tr>
    </w:tbl>
    <w:p w14:paraId="7840890F">
      <w:pPr>
        <w:rPr>
          <w:rFonts w:hint="default" w:eastAsiaTheme="minorEastAsia"/>
          <w:lang w:val="en-US" w:eastAsia="zh-CN"/>
        </w:rPr>
        <w:sectPr>
          <w:pgSz w:w="11906" w:h="16838"/>
          <w:pgMar w:top="1440" w:right="1800" w:bottom="1440" w:left="1800" w:header="851" w:footer="992" w:gutter="0"/>
          <w:cols w:space="425" w:num="1"/>
          <w:docGrid w:type="lines" w:linePitch="312" w:charSpace="0"/>
        </w:sectPr>
      </w:pPr>
    </w:p>
    <w:p w14:paraId="4EFB4047">
      <w:pPr>
        <w:jc w:val="left"/>
        <w:rPr>
          <w:rFonts w:ascii="Times New Roman" w:hAnsi="Times New Roman" w:cs="Times New Roman"/>
          <w:sz w:val="30"/>
          <w:szCs w:val="30"/>
        </w:rPr>
      </w:pPr>
      <w:r>
        <w:rPr>
          <w:rFonts w:hint="eastAsia" w:ascii="Times New Roman" w:hAnsi="Times New Roman" w:cs="Times New Roman"/>
          <w:sz w:val="30"/>
          <w:szCs w:val="30"/>
        </w:rPr>
        <w:t>Table</w:t>
      </w:r>
      <w:r>
        <w:rPr>
          <w:rFonts w:ascii="Times New Roman" w:hAnsi="Times New Roman" w:cs="Times New Roman"/>
          <w:sz w:val="30"/>
          <w:szCs w:val="30"/>
        </w:rPr>
        <w:t xml:space="preserve"> 3 PRISMA 2020 for Abstracts checklist.</w:t>
      </w:r>
    </w:p>
    <w:tbl>
      <w:tblPr>
        <w:tblStyle w:val="3"/>
        <w:tblW w:w="0" w:type="auto"/>
        <w:tblInd w:w="0" w:type="dxa"/>
        <w:tblLayout w:type="autofit"/>
        <w:tblCellMar>
          <w:top w:w="0" w:type="dxa"/>
          <w:left w:w="108" w:type="dxa"/>
          <w:bottom w:w="0" w:type="dxa"/>
          <w:right w:w="108" w:type="dxa"/>
        </w:tblCellMar>
      </w:tblPr>
      <w:tblGrid>
        <w:gridCol w:w="1677"/>
        <w:gridCol w:w="607"/>
        <w:gridCol w:w="4592"/>
        <w:gridCol w:w="1646"/>
      </w:tblGrid>
      <w:tr w14:paraId="2D6DA17A">
        <w:trPr>
          <w:trHeight w:val="65" w:hRule="atLeast"/>
          <w:tblHeader/>
        </w:trPr>
        <w:tc>
          <w:tcPr>
            <w:tcW w:w="0" w:type="auto"/>
            <w:tcBorders>
              <w:top w:val="double" w:color="000000" w:sz="4" w:space="0"/>
              <w:left w:val="single" w:color="000000" w:sz="4" w:space="0"/>
              <w:bottom w:val="double" w:color="FFFFCC" w:sz="2" w:space="0"/>
              <w:right w:val="single" w:color="000000" w:sz="4" w:space="0"/>
            </w:tcBorders>
            <w:shd w:val="clear" w:color="auto" w:fill="63639A"/>
            <w:vAlign w:val="center"/>
          </w:tcPr>
          <w:p w14:paraId="323A75B8">
            <w:pPr>
              <w:pStyle w:val="9"/>
              <w:keepNext w:val="0"/>
              <w:keepLines w:val="0"/>
              <w:suppressLineNumbers w:val="0"/>
              <w:spacing w:before="0" w:beforeAutospacing="0" w:after="0" w:afterAutospacing="0"/>
              <w:ind w:left="0" w:right="0"/>
              <w:rPr>
                <w:rFonts w:hint="default" w:ascii="Arial" w:hAnsi="Arial" w:cs="Arial"/>
                <w:color w:val="FFFFFF"/>
                <w:sz w:val="18"/>
                <w:szCs w:val="18"/>
              </w:rPr>
            </w:pPr>
            <w:r>
              <w:rPr>
                <w:rFonts w:hint="default" w:ascii="Arial" w:hAnsi="Arial" w:cs="Arial"/>
                <w:b/>
                <w:bCs/>
                <w:color w:val="FFFFFF"/>
                <w:sz w:val="18"/>
                <w:szCs w:val="18"/>
              </w:rPr>
              <w:t xml:space="preserve">Section and Topic </w:t>
            </w:r>
          </w:p>
        </w:tc>
        <w:tc>
          <w:tcPr>
            <w:tcW w:w="0" w:type="auto"/>
            <w:tcBorders>
              <w:top w:val="double" w:color="000000" w:sz="4" w:space="0"/>
              <w:left w:val="single" w:color="000000" w:sz="4" w:space="0"/>
              <w:bottom w:val="double" w:color="FFFFCC" w:sz="2" w:space="0"/>
              <w:right w:val="single" w:color="000000" w:sz="4" w:space="0"/>
            </w:tcBorders>
            <w:shd w:val="clear" w:color="auto" w:fill="63639A"/>
            <w:vAlign w:val="center"/>
          </w:tcPr>
          <w:p w14:paraId="78245C12">
            <w:pPr>
              <w:pStyle w:val="9"/>
              <w:keepNext w:val="0"/>
              <w:keepLines w:val="0"/>
              <w:suppressLineNumbers w:val="0"/>
              <w:spacing w:before="0" w:beforeAutospacing="0" w:after="0" w:afterAutospacing="0"/>
              <w:ind w:left="0" w:right="0"/>
              <w:rPr>
                <w:rFonts w:hint="default" w:ascii="Arial" w:hAnsi="Arial" w:cs="Arial"/>
                <w:b/>
                <w:bCs/>
                <w:color w:val="FFFFFF"/>
                <w:sz w:val="18"/>
                <w:szCs w:val="18"/>
              </w:rPr>
            </w:pPr>
            <w:r>
              <w:rPr>
                <w:rFonts w:hint="default" w:ascii="Arial" w:hAnsi="Arial" w:cs="Arial"/>
                <w:b/>
                <w:bCs/>
                <w:color w:val="FFFFFF"/>
                <w:sz w:val="18"/>
                <w:szCs w:val="18"/>
              </w:rPr>
              <w:t>Item #</w:t>
            </w:r>
          </w:p>
        </w:tc>
        <w:tc>
          <w:tcPr>
            <w:tcW w:w="0" w:type="auto"/>
            <w:tcBorders>
              <w:top w:val="double" w:color="000000" w:sz="4" w:space="0"/>
              <w:left w:val="single" w:color="000000" w:sz="4" w:space="0"/>
              <w:bottom w:val="double" w:color="000000" w:sz="4" w:space="0"/>
              <w:right w:val="single" w:color="000000" w:sz="4" w:space="0"/>
            </w:tcBorders>
            <w:shd w:val="clear" w:color="auto" w:fill="63639A"/>
            <w:vAlign w:val="center"/>
          </w:tcPr>
          <w:p w14:paraId="5BC39276">
            <w:pPr>
              <w:pStyle w:val="9"/>
              <w:keepNext w:val="0"/>
              <w:keepLines w:val="0"/>
              <w:suppressLineNumbers w:val="0"/>
              <w:spacing w:before="0" w:beforeAutospacing="0" w:after="0" w:afterAutospacing="0"/>
              <w:ind w:left="0" w:right="0"/>
              <w:rPr>
                <w:rFonts w:hint="default" w:ascii="Arial" w:hAnsi="Arial" w:cs="Arial"/>
                <w:color w:val="FFFFFF"/>
                <w:sz w:val="18"/>
                <w:szCs w:val="18"/>
              </w:rPr>
            </w:pPr>
            <w:r>
              <w:rPr>
                <w:rFonts w:hint="default" w:ascii="Arial" w:hAnsi="Arial" w:cs="Arial"/>
                <w:b/>
                <w:bCs/>
                <w:color w:val="FFFFFF"/>
                <w:sz w:val="18"/>
                <w:szCs w:val="18"/>
              </w:rPr>
              <w:t xml:space="preserve">Checklist item </w:t>
            </w:r>
          </w:p>
        </w:tc>
        <w:tc>
          <w:tcPr>
            <w:tcW w:w="0" w:type="auto"/>
            <w:tcBorders>
              <w:top w:val="double" w:color="000000" w:sz="4" w:space="0"/>
              <w:left w:val="single" w:color="000000" w:sz="4" w:space="0"/>
              <w:bottom w:val="double" w:color="000000" w:sz="4" w:space="0"/>
              <w:right w:val="single" w:color="000000" w:sz="4" w:space="0"/>
            </w:tcBorders>
            <w:shd w:val="clear" w:color="auto" w:fill="63639A"/>
            <w:vAlign w:val="center"/>
          </w:tcPr>
          <w:p w14:paraId="53BF24D3">
            <w:pPr>
              <w:pStyle w:val="9"/>
              <w:keepNext w:val="0"/>
              <w:keepLines w:val="0"/>
              <w:suppressLineNumbers w:val="0"/>
              <w:spacing w:before="0" w:beforeAutospacing="0" w:after="0" w:afterAutospacing="0"/>
              <w:ind w:left="0" w:right="0"/>
              <w:rPr>
                <w:rFonts w:hint="default" w:ascii="Arial" w:hAnsi="Arial" w:cs="Arial"/>
                <w:color w:val="FFFFFF"/>
                <w:sz w:val="18"/>
                <w:szCs w:val="18"/>
              </w:rPr>
            </w:pPr>
            <w:r>
              <w:rPr>
                <w:rFonts w:hint="default" w:ascii="Arial" w:hAnsi="Arial" w:cs="Arial"/>
                <w:b/>
                <w:bCs/>
                <w:color w:val="FFFFFF"/>
                <w:sz w:val="18"/>
                <w:szCs w:val="18"/>
              </w:rPr>
              <w:t xml:space="preserve">Location where item is reported </w:t>
            </w:r>
          </w:p>
        </w:tc>
      </w:tr>
      <w:tr w14:paraId="14947C70">
        <w:trPr>
          <w:trHeight w:val="24" w:hRule="atLeast"/>
        </w:trPr>
        <w:tc>
          <w:tcPr>
            <w:tcW w:w="0" w:type="auto"/>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7C583AC">
            <w:pPr>
              <w:pStyle w:val="9"/>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 xml:space="preserve">TITLE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4CCA0B4F">
            <w:pPr>
              <w:pStyle w:val="9"/>
              <w:keepNext w:val="0"/>
              <w:keepLines w:val="0"/>
              <w:suppressLineNumbers w:val="0"/>
              <w:spacing w:before="0" w:beforeAutospacing="0" w:after="0" w:afterAutospacing="0"/>
              <w:ind w:left="0" w:right="0"/>
              <w:jc w:val="right"/>
              <w:rPr>
                <w:rFonts w:hint="default" w:ascii="Arial" w:hAnsi="Arial" w:cs="Arial"/>
                <w:color w:val="auto"/>
                <w:sz w:val="18"/>
                <w:szCs w:val="18"/>
              </w:rPr>
            </w:pPr>
          </w:p>
        </w:tc>
      </w:tr>
      <w:tr w14:paraId="261930D8">
        <w:trPr>
          <w:trHeight w:val="48" w:hRule="atLeast"/>
        </w:trPr>
        <w:tc>
          <w:tcPr>
            <w:tcW w:w="0" w:type="auto"/>
            <w:tcBorders>
              <w:top w:val="single" w:color="000000" w:sz="4" w:space="0"/>
              <w:left w:val="single" w:color="000000" w:sz="4" w:space="0"/>
              <w:bottom w:val="double" w:color="FFFFCC" w:sz="2" w:space="0"/>
              <w:right w:val="single" w:color="000000" w:sz="4" w:space="0"/>
            </w:tcBorders>
          </w:tcPr>
          <w:p w14:paraId="2129F81A">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Title </w:t>
            </w:r>
          </w:p>
        </w:tc>
        <w:tc>
          <w:tcPr>
            <w:tcW w:w="0" w:type="auto"/>
            <w:tcBorders>
              <w:top w:val="single" w:color="000000" w:sz="4" w:space="0"/>
              <w:left w:val="single" w:color="000000" w:sz="4" w:space="0"/>
              <w:bottom w:val="double" w:color="FFFFCC" w:sz="2" w:space="0"/>
              <w:right w:val="single" w:color="000000" w:sz="4" w:space="0"/>
            </w:tcBorders>
          </w:tcPr>
          <w:p w14:paraId="1E797374">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w:t>
            </w:r>
          </w:p>
        </w:tc>
        <w:tc>
          <w:tcPr>
            <w:tcW w:w="0" w:type="auto"/>
            <w:tcBorders>
              <w:top w:val="single" w:color="000000" w:sz="4" w:space="0"/>
              <w:left w:val="single" w:color="000000" w:sz="4" w:space="0"/>
              <w:bottom w:val="double" w:color="000000" w:sz="4" w:space="0"/>
              <w:right w:val="single" w:color="000000" w:sz="4" w:space="0"/>
            </w:tcBorders>
          </w:tcPr>
          <w:p w14:paraId="47BBF3EE">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Identify the report as a systematic review.</w:t>
            </w:r>
          </w:p>
        </w:tc>
        <w:tc>
          <w:tcPr>
            <w:tcW w:w="0" w:type="auto"/>
            <w:tcBorders>
              <w:top w:val="single" w:color="000000" w:sz="4" w:space="0"/>
              <w:left w:val="single" w:color="000000" w:sz="4" w:space="0"/>
              <w:bottom w:val="double" w:color="000000" w:sz="4" w:space="0"/>
              <w:right w:val="single" w:color="000000" w:sz="4" w:space="0"/>
            </w:tcBorders>
          </w:tcPr>
          <w:p w14:paraId="4B07C2C4">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1</w:t>
            </w:r>
          </w:p>
        </w:tc>
      </w:tr>
      <w:tr w14:paraId="0C8A172A">
        <w:trPr>
          <w:trHeight w:val="24" w:hRule="atLeast"/>
        </w:trPr>
        <w:tc>
          <w:tcPr>
            <w:tcW w:w="0" w:type="auto"/>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500E908">
            <w:pPr>
              <w:pStyle w:val="9"/>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 xml:space="preserve">ABSTRACT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47D2E667">
            <w:pPr>
              <w:pStyle w:val="9"/>
              <w:keepNext w:val="0"/>
              <w:keepLines w:val="0"/>
              <w:suppressLineNumbers w:val="0"/>
              <w:spacing w:before="0" w:beforeAutospacing="0" w:after="0" w:afterAutospacing="0"/>
              <w:ind w:left="0" w:right="0"/>
              <w:jc w:val="right"/>
              <w:rPr>
                <w:rFonts w:hint="default" w:ascii="Arial Regular" w:hAnsi="Arial Regular" w:cs="Arial Regular"/>
                <w:color w:val="auto"/>
                <w:sz w:val="18"/>
                <w:szCs w:val="18"/>
              </w:rPr>
            </w:pPr>
          </w:p>
        </w:tc>
      </w:tr>
      <w:tr w14:paraId="424F6960">
        <w:trPr>
          <w:trHeight w:val="90" w:hRule="atLeast"/>
        </w:trPr>
        <w:tc>
          <w:tcPr>
            <w:tcW w:w="0" w:type="auto"/>
            <w:tcBorders>
              <w:top w:val="single" w:color="000000" w:sz="4" w:space="0"/>
              <w:left w:val="single" w:color="000000" w:sz="4" w:space="0"/>
              <w:bottom w:val="double" w:color="FFFFCC" w:sz="2" w:space="0"/>
              <w:right w:val="single" w:color="000000" w:sz="4" w:space="0"/>
            </w:tcBorders>
          </w:tcPr>
          <w:p w14:paraId="7B273E1C">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Abstract </w:t>
            </w:r>
          </w:p>
        </w:tc>
        <w:tc>
          <w:tcPr>
            <w:tcW w:w="0" w:type="auto"/>
            <w:tcBorders>
              <w:top w:val="single" w:color="000000" w:sz="4" w:space="0"/>
              <w:left w:val="single" w:color="000000" w:sz="4" w:space="0"/>
              <w:bottom w:val="double" w:color="FFFFCC" w:sz="2" w:space="0"/>
              <w:right w:val="single" w:color="000000" w:sz="4" w:space="0"/>
            </w:tcBorders>
          </w:tcPr>
          <w:p w14:paraId="43B1A8C5">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w:t>
            </w:r>
          </w:p>
        </w:tc>
        <w:tc>
          <w:tcPr>
            <w:tcW w:w="0" w:type="auto"/>
            <w:tcBorders>
              <w:top w:val="single" w:color="000000" w:sz="4" w:space="0"/>
              <w:left w:val="single" w:color="000000" w:sz="4" w:space="0"/>
              <w:bottom w:val="double" w:color="000000" w:sz="4" w:space="0"/>
              <w:right w:val="single" w:color="000000" w:sz="4" w:space="0"/>
            </w:tcBorders>
          </w:tcPr>
          <w:p w14:paraId="69B0861E">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See the PRISMA 2020 for Abstracts checklist.</w:t>
            </w:r>
          </w:p>
        </w:tc>
        <w:tc>
          <w:tcPr>
            <w:tcW w:w="0" w:type="auto"/>
            <w:tcBorders>
              <w:top w:val="single" w:color="000000" w:sz="4" w:space="0"/>
              <w:left w:val="single" w:color="000000" w:sz="4" w:space="0"/>
              <w:bottom w:val="double" w:color="000000" w:sz="4" w:space="0"/>
              <w:right w:val="single" w:color="000000" w:sz="4" w:space="0"/>
            </w:tcBorders>
          </w:tcPr>
          <w:p w14:paraId="51D53216">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1</w:t>
            </w:r>
          </w:p>
        </w:tc>
      </w:tr>
      <w:tr w14:paraId="35589801">
        <w:trPr>
          <w:trHeight w:val="24" w:hRule="atLeast"/>
        </w:trPr>
        <w:tc>
          <w:tcPr>
            <w:tcW w:w="0" w:type="auto"/>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3047DFC">
            <w:pPr>
              <w:pStyle w:val="9"/>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 xml:space="preserve">INTRODUCTION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08CB3E2E">
            <w:pPr>
              <w:pStyle w:val="9"/>
              <w:keepNext w:val="0"/>
              <w:keepLines w:val="0"/>
              <w:suppressLineNumbers w:val="0"/>
              <w:spacing w:before="0" w:beforeAutospacing="0" w:after="0" w:afterAutospacing="0"/>
              <w:ind w:left="0" w:right="0"/>
              <w:jc w:val="right"/>
              <w:rPr>
                <w:rFonts w:hint="default" w:ascii="Arial Regular" w:hAnsi="Arial Regular" w:cs="Arial Regular"/>
                <w:color w:val="auto"/>
                <w:sz w:val="18"/>
                <w:szCs w:val="18"/>
              </w:rPr>
            </w:pPr>
          </w:p>
        </w:tc>
      </w:tr>
      <w:tr w14:paraId="4D0C2A94">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281DE7D2">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Rationale </w:t>
            </w:r>
          </w:p>
        </w:tc>
        <w:tc>
          <w:tcPr>
            <w:tcW w:w="0" w:type="auto"/>
            <w:tcBorders>
              <w:top w:val="single" w:color="000000" w:sz="4" w:space="0"/>
              <w:left w:val="single" w:color="000000" w:sz="4" w:space="0"/>
              <w:bottom w:val="single" w:color="000000" w:sz="4" w:space="0"/>
              <w:right w:val="single" w:color="000000" w:sz="4" w:space="0"/>
            </w:tcBorders>
          </w:tcPr>
          <w:p w14:paraId="0C9EF3C2">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3</w:t>
            </w:r>
          </w:p>
        </w:tc>
        <w:tc>
          <w:tcPr>
            <w:tcW w:w="0" w:type="auto"/>
            <w:tcBorders>
              <w:top w:val="single" w:color="000000" w:sz="4" w:space="0"/>
              <w:left w:val="single" w:color="000000" w:sz="4" w:space="0"/>
              <w:bottom w:val="single" w:color="000000" w:sz="4" w:space="0"/>
              <w:right w:val="single" w:color="000000" w:sz="4" w:space="0"/>
            </w:tcBorders>
          </w:tcPr>
          <w:p w14:paraId="536E9403">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the rationale for the review in the context of existing knowledge.</w:t>
            </w:r>
          </w:p>
        </w:tc>
        <w:tc>
          <w:tcPr>
            <w:tcW w:w="0" w:type="auto"/>
            <w:tcBorders>
              <w:top w:val="single" w:color="000000" w:sz="4" w:space="0"/>
              <w:left w:val="single" w:color="000000" w:sz="4" w:space="0"/>
              <w:bottom w:val="single" w:color="000000" w:sz="4" w:space="0"/>
              <w:right w:val="single" w:color="000000" w:sz="4" w:space="0"/>
            </w:tcBorders>
          </w:tcPr>
          <w:p w14:paraId="2CA7CD88">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3</w:t>
            </w:r>
          </w:p>
        </w:tc>
      </w:tr>
      <w:tr w14:paraId="6F675069">
        <w:trPr>
          <w:trHeight w:val="48" w:hRule="atLeast"/>
        </w:trPr>
        <w:tc>
          <w:tcPr>
            <w:tcW w:w="0" w:type="auto"/>
            <w:tcBorders>
              <w:top w:val="single" w:color="000000" w:sz="4" w:space="0"/>
              <w:left w:val="single" w:color="000000" w:sz="4" w:space="0"/>
              <w:bottom w:val="double" w:color="FFFFCC" w:sz="2" w:space="0"/>
              <w:right w:val="single" w:color="000000" w:sz="4" w:space="0"/>
            </w:tcBorders>
          </w:tcPr>
          <w:p w14:paraId="48E47AB9">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Objectives </w:t>
            </w:r>
          </w:p>
        </w:tc>
        <w:tc>
          <w:tcPr>
            <w:tcW w:w="0" w:type="auto"/>
            <w:tcBorders>
              <w:top w:val="single" w:color="000000" w:sz="4" w:space="0"/>
              <w:left w:val="single" w:color="000000" w:sz="4" w:space="0"/>
              <w:bottom w:val="double" w:color="FFFFCC" w:sz="2" w:space="0"/>
              <w:right w:val="single" w:color="000000" w:sz="4" w:space="0"/>
            </w:tcBorders>
          </w:tcPr>
          <w:p w14:paraId="42BBF533">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4</w:t>
            </w:r>
          </w:p>
        </w:tc>
        <w:tc>
          <w:tcPr>
            <w:tcW w:w="0" w:type="auto"/>
            <w:tcBorders>
              <w:top w:val="single" w:color="000000" w:sz="4" w:space="0"/>
              <w:left w:val="single" w:color="000000" w:sz="4" w:space="0"/>
              <w:bottom w:val="double" w:color="000000" w:sz="4" w:space="0"/>
              <w:right w:val="single" w:color="000000" w:sz="4" w:space="0"/>
            </w:tcBorders>
          </w:tcPr>
          <w:p w14:paraId="3FB61CF5">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Provide an explicit statement of the objective(s) or question(s) the review addresses.</w:t>
            </w:r>
          </w:p>
        </w:tc>
        <w:tc>
          <w:tcPr>
            <w:tcW w:w="0" w:type="auto"/>
            <w:tcBorders>
              <w:top w:val="single" w:color="000000" w:sz="4" w:space="0"/>
              <w:left w:val="single" w:color="000000" w:sz="4" w:space="0"/>
              <w:bottom w:val="double" w:color="000000" w:sz="4" w:space="0"/>
              <w:right w:val="single" w:color="000000" w:sz="4" w:space="0"/>
            </w:tcBorders>
          </w:tcPr>
          <w:p w14:paraId="4EAFD9C4">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4</w:t>
            </w:r>
          </w:p>
        </w:tc>
      </w:tr>
      <w:tr w14:paraId="4F7FD189">
        <w:trPr>
          <w:trHeight w:val="24" w:hRule="atLeast"/>
        </w:trPr>
        <w:tc>
          <w:tcPr>
            <w:tcW w:w="0" w:type="auto"/>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A8624B1">
            <w:pPr>
              <w:pStyle w:val="9"/>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 xml:space="preserve">METHODS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26A7AE85">
            <w:pPr>
              <w:pStyle w:val="9"/>
              <w:keepNext w:val="0"/>
              <w:keepLines w:val="0"/>
              <w:suppressLineNumbers w:val="0"/>
              <w:spacing w:before="0" w:beforeAutospacing="0" w:after="0" w:afterAutospacing="0"/>
              <w:ind w:left="0" w:right="0"/>
              <w:jc w:val="right"/>
              <w:rPr>
                <w:rFonts w:hint="default" w:ascii="Arial Regular" w:hAnsi="Arial Regular" w:cs="Arial Regular"/>
                <w:color w:val="auto"/>
                <w:sz w:val="18"/>
                <w:szCs w:val="18"/>
              </w:rPr>
            </w:pPr>
          </w:p>
        </w:tc>
      </w:tr>
      <w:tr w14:paraId="23FCE7D4">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2D053CE1">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Eligibility criteria </w:t>
            </w:r>
          </w:p>
        </w:tc>
        <w:tc>
          <w:tcPr>
            <w:tcW w:w="0" w:type="auto"/>
            <w:tcBorders>
              <w:top w:val="single" w:color="000000" w:sz="4" w:space="0"/>
              <w:left w:val="single" w:color="000000" w:sz="4" w:space="0"/>
              <w:bottom w:val="single" w:color="000000" w:sz="4" w:space="0"/>
              <w:right w:val="single" w:color="000000" w:sz="4" w:space="0"/>
            </w:tcBorders>
          </w:tcPr>
          <w:p w14:paraId="1BFF76EA">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5</w:t>
            </w:r>
          </w:p>
        </w:tc>
        <w:tc>
          <w:tcPr>
            <w:tcW w:w="0" w:type="auto"/>
            <w:tcBorders>
              <w:top w:val="single" w:color="000000" w:sz="4" w:space="0"/>
              <w:left w:val="single" w:color="000000" w:sz="4" w:space="0"/>
              <w:bottom w:val="single" w:color="000000" w:sz="4" w:space="0"/>
              <w:right w:val="single" w:color="000000" w:sz="4" w:space="0"/>
            </w:tcBorders>
          </w:tcPr>
          <w:p w14:paraId="712BB912">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Specify the inclusion and exclusion criteria for the review and how studies were grouped for the syntheses.</w:t>
            </w:r>
          </w:p>
        </w:tc>
        <w:tc>
          <w:tcPr>
            <w:tcW w:w="0" w:type="auto"/>
            <w:tcBorders>
              <w:top w:val="single" w:color="000000" w:sz="4" w:space="0"/>
              <w:left w:val="single" w:color="000000" w:sz="4" w:space="0"/>
              <w:bottom w:val="single" w:color="000000" w:sz="4" w:space="0"/>
              <w:right w:val="single" w:color="000000" w:sz="4" w:space="0"/>
            </w:tcBorders>
          </w:tcPr>
          <w:p w14:paraId="61383409">
            <w:pPr>
              <w:pStyle w:val="9"/>
              <w:keepNext w:val="0"/>
              <w:keepLines w:val="0"/>
              <w:suppressLineNumbers w:val="0"/>
              <w:tabs>
                <w:tab w:val="left" w:pos="243"/>
              </w:tabs>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4</w:t>
            </w:r>
          </w:p>
        </w:tc>
      </w:tr>
      <w:tr w14:paraId="0DCB31B2">
        <w:trPr>
          <w:trHeight w:val="191" w:hRule="atLeast"/>
        </w:trPr>
        <w:tc>
          <w:tcPr>
            <w:tcW w:w="0" w:type="auto"/>
            <w:tcBorders>
              <w:top w:val="single" w:color="000000" w:sz="4" w:space="0"/>
              <w:left w:val="single" w:color="000000" w:sz="4" w:space="0"/>
              <w:bottom w:val="single" w:color="000000" w:sz="4" w:space="0"/>
              <w:right w:val="single" w:color="000000" w:sz="4" w:space="0"/>
            </w:tcBorders>
          </w:tcPr>
          <w:p w14:paraId="67F6EFBC">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Information sources </w:t>
            </w:r>
          </w:p>
        </w:tc>
        <w:tc>
          <w:tcPr>
            <w:tcW w:w="0" w:type="auto"/>
            <w:tcBorders>
              <w:top w:val="single" w:color="000000" w:sz="4" w:space="0"/>
              <w:left w:val="single" w:color="000000" w:sz="4" w:space="0"/>
              <w:bottom w:val="single" w:color="000000" w:sz="4" w:space="0"/>
              <w:right w:val="single" w:color="000000" w:sz="4" w:space="0"/>
            </w:tcBorders>
          </w:tcPr>
          <w:p w14:paraId="21FD10DC">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6</w:t>
            </w:r>
          </w:p>
        </w:tc>
        <w:tc>
          <w:tcPr>
            <w:tcW w:w="0" w:type="auto"/>
            <w:tcBorders>
              <w:top w:val="single" w:color="000000" w:sz="4" w:space="0"/>
              <w:left w:val="single" w:color="000000" w:sz="4" w:space="0"/>
              <w:bottom w:val="single" w:color="000000" w:sz="4" w:space="0"/>
              <w:right w:val="single" w:color="000000" w:sz="4" w:space="0"/>
            </w:tcBorders>
          </w:tcPr>
          <w:p w14:paraId="78E07DC4">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top w:val="single" w:color="000000" w:sz="4" w:space="0"/>
              <w:left w:val="single" w:color="000000" w:sz="4" w:space="0"/>
              <w:bottom w:val="single" w:color="000000" w:sz="4" w:space="0"/>
              <w:right w:val="single" w:color="000000" w:sz="4" w:space="0"/>
            </w:tcBorders>
          </w:tcPr>
          <w:p w14:paraId="732BDAA4">
            <w:pPr>
              <w:pStyle w:val="9"/>
              <w:keepNext w:val="0"/>
              <w:keepLines w:val="0"/>
              <w:suppressLineNumbers w:val="0"/>
              <w:spacing w:before="40" w:beforeAutospacing="0" w:after="40" w:afterAutospacing="0"/>
              <w:ind w:left="0" w:right="0"/>
              <w:rPr>
                <w:rFonts w:hint="default" w:ascii="Arial Regular" w:hAnsi="Arial Regular" w:cs="Arial Regular"/>
                <w:sz w:val="18"/>
                <w:szCs w:val="18"/>
                <w:lang w:val="en-US" w:eastAsia="zh-CN"/>
              </w:rPr>
            </w:pPr>
            <w:r>
              <w:rPr>
                <w:rFonts w:hint="default" w:ascii="Arial Regular" w:hAnsi="Arial Regular" w:cs="Arial Regular"/>
                <w:sz w:val="18"/>
                <w:szCs w:val="18"/>
                <w:lang w:val="en-US" w:eastAsia="zh-CN"/>
              </w:rPr>
              <w:t>4</w:t>
            </w:r>
          </w:p>
        </w:tc>
      </w:tr>
      <w:tr w14:paraId="259A28C3">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0090B220">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Search strategy</w:t>
            </w:r>
          </w:p>
        </w:tc>
        <w:tc>
          <w:tcPr>
            <w:tcW w:w="0" w:type="auto"/>
            <w:tcBorders>
              <w:top w:val="single" w:color="000000" w:sz="4" w:space="0"/>
              <w:left w:val="single" w:color="000000" w:sz="4" w:space="0"/>
              <w:bottom w:val="single" w:color="000000" w:sz="4" w:space="0"/>
              <w:right w:val="single" w:color="000000" w:sz="4" w:space="0"/>
            </w:tcBorders>
          </w:tcPr>
          <w:p w14:paraId="47A2D772">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7</w:t>
            </w:r>
          </w:p>
        </w:tc>
        <w:tc>
          <w:tcPr>
            <w:tcW w:w="0" w:type="auto"/>
            <w:tcBorders>
              <w:top w:val="single" w:color="000000" w:sz="4" w:space="0"/>
              <w:left w:val="single" w:color="000000" w:sz="4" w:space="0"/>
              <w:bottom w:val="single" w:color="000000" w:sz="4" w:space="0"/>
              <w:right w:val="single" w:color="000000" w:sz="4" w:space="0"/>
            </w:tcBorders>
          </w:tcPr>
          <w:p w14:paraId="6F06C85D">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Present the full search strategies for all databases, registers and websites, including any filters and limits used.</w:t>
            </w:r>
          </w:p>
        </w:tc>
        <w:tc>
          <w:tcPr>
            <w:tcW w:w="0" w:type="auto"/>
            <w:tcBorders>
              <w:top w:val="single" w:color="000000" w:sz="4" w:space="0"/>
              <w:left w:val="single" w:color="000000" w:sz="4" w:space="0"/>
              <w:bottom w:val="single" w:color="000000" w:sz="4" w:space="0"/>
              <w:right w:val="single" w:color="000000" w:sz="4" w:space="0"/>
            </w:tcBorders>
          </w:tcPr>
          <w:p w14:paraId="5CD1C67F">
            <w:pPr>
              <w:pStyle w:val="9"/>
              <w:keepNext w:val="0"/>
              <w:keepLines w:val="0"/>
              <w:suppressLineNumbers w:val="0"/>
              <w:spacing w:before="40" w:beforeAutospacing="0" w:after="40" w:afterAutospacing="0"/>
              <w:ind w:left="0" w:right="0"/>
              <w:rPr>
                <w:rFonts w:hint="default" w:ascii="Arial Regular" w:hAnsi="Arial Regular" w:cs="Arial Regular"/>
                <w:sz w:val="18"/>
                <w:szCs w:val="18"/>
                <w:lang w:val="en-US" w:eastAsia="zh-CN"/>
              </w:rPr>
            </w:pPr>
            <w:r>
              <w:rPr>
                <w:rFonts w:hint="default" w:ascii="Arial Regular" w:hAnsi="Arial Regular" w:cs="Arial Regular"/>
                <w:sz w:val="18"/>
                <w:szCs w:val="18"/>
                <w:lang w:val="en-US" w:eastAsia="zh-CN"/>
              </w:rPr>
              <w:t>4</w:t>
            </w:r>
          </w:p>
        </w:tc>
      </w:tr>
      <w:tr w14:paraId="33B12C68">
        <w:trPr>
          <w:trHeight w:val="90" w:hRule="atLeast"/>
        </w:trPr>
        <w:tc>
          <w:tcPr>
            <w:tcW w:w="0" w:type="auto"/>
            <w:tcBorders>
              <w:top w:val="single" w:color="000000" w:sz="4" w:space="0"/>
              <w:left w:val="single" w:color="000000" w:sz="4" w:space="0"/>
              <w:bottom w:val="single" w:color="000000" w:sz="4" w:space="0"/>
              <w:right w:val="single" w:color="000000" w:sz="4" w:space="0"/>
            </w:tcBorders>
          </w:tcPr>
          <w:p w14:paraId="46E88008">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Selection process</w:t>
            </w:r>
          </w:p>
        </w:tc>
        <w:tc>
          <w:tcPr>
            <w:tcW w:w="0" w:type="auto"/>
            <w:tcBorders>
              <w:top w:val="single" w:color="000000" w:sz="4" w:space="0"/>
              <w:left w:val="single" w:color="000000" w:sz="4" w:space="0"/>
              <w:bottom w:val="single" w:color="000000" w:sz="4" w:space="0"/>
              <w:right w:val="single" w:color="000000" w:sz="4" w:space="0"/>
            </w:tcBorders>
          </w:tcPr>
          <w:p w14:paraId="27EE75F5">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8</w:t>
            </w:r>
          </w:p>
        </w:tc>
        <w:tc>
          <w:tcPr>
            <w:tcW w:w="0" w:type="auto"/>
            <w:tcBorders>
              <w:top w:val="single" w:color="000000" w:sz="4" w:space="0"/>
              <w:left w:val="single" w:color="000000" w:sz="4" w:space="0"/>
              <w:bottom w:val="single" w:color="000000" w:sz="4" w:space="0"/>
              <w:right w:val="single" w:color="000000" w:sz="4" w:space="0"/>
            </w:tcBorders>
          </w:tcPr>
          <w:p w14:paraId="6BFFD5C4">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top w:val="single" w:color="000000" w:sz="4" w:space="0"/>
              <w:left w:val="single" w:color="000000" w:sz="4" w:space="0"/>
              <w:bottom w:val="single" w:color="000000" w:sz="4" w:space="0"/>
              <w:right w:val="single" w:color="000000" w:sz="4" w:space="0"/>
            </w:tcBorders>
          </w:tcPr>
          <w:p w14:paraId="561F7303">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4</w:t>
            </w:r>
          </w:p>
        </w:tc>
      </w:tr>
      <w:tr w14:paraId="459DA666">
        <w:trPr>
          <w:trHeight w:val="152" w:hRule="atLeast"/>
        </w:trPr>
        <w:tc>
          <w:tcPr>
            <w:tcW w:w="0" w:type="auto"/>
            <w:tcBorders>
              <w:top w:val="single" w:color="000000" w:sz="4" w:space="0"/>
              <w:left w:val="single" w:color="000000" w:sz="4" w:space="0"/>
              <w:bottom w:val="single" w:color="000000" w:sz="4" w:space="0"/>
              <w:right w:val="single" w:color="000000" w:sz="4" w:space="0"/>
            </w:tcBorders>
          </w:tcPr>
          <w:p w14:paraId="6AF43F82">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Data collection process </w:t>
            </w:r>
          </w:p>
        </w:tc>
        <w:tc>
          <w:tcPr>
            <w:tcW w:w="0" w:type="auto"/>
            <w:tcBorders>
              <w:top w:val="single" w:color="000000" w:sz="4" w:space="0"/>
              <w:left w:val="single" w:color="000000" w:sz="4" w:space="0"/>
              <w:bottom w:val="single" w:color="000000" w:sz="4" w:space="0"/>
              <w:right w:val="single" w:color="000000" w:sz="4" w:space="0"/>
            </w:tcBorders>
          </w:tcPr>
          <w:p w14:paraId="1C7BA348">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9</w:t>
            </w:r>
          </w:p>
        </w:tc>
        <w:tc>
          <w:tcPr>
            <w:tcW w:w="0" w:type="auto"/>
            <w:tcBorders>
              <w:top w:val="single" w:color="000000" w:sz="4" w:space="0"/>
              <w:left w:val="single" w:color="000000" w:sz="4" w:space="0"/>
              <w:bottom w:val="single" w:color="000000" w:sz="4" w:space="0"/>
              <w:right w:val="single" w:color="000000" w:sz="4" w:space="0"/>
            </w:tcBorders>
          </w:tcPr>
          <w:p w14:paraId="49EB4469">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tcBorders>
              <w:top w:val="single" w:color="000000" w:sz="4" w:space="0"/>
              <w:left w:val="single" w:color="000000" w:sz="4" w:space="0"/>
              <w:bottom w:val="single" w:color="000000" w:sz="4" w:space="0"/>
              <w:right w:val="single" w:color="000000" w:sz="4" w:space="0"/>
            </w:tcBorders>
          </w:tcPr>
          <w:p w14:paraId="40BCED49">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4</w:t>
            </w:r>
          </w:p>
        </w:tc>
      </w:tr>
      <w:tr w14:paraId="7135E97C">
        <w:trPr>
          <w:trHeight w:val="48" w:hRule="atLeast"/>
        </w:trPr>
        <w:tc>
          <w:tcPr>
            <w:tcW w:w="0" w:type="auto"/>
            <w:vMerge w:val="restart"/>
            <w:tcBorders>
              <w:top w:val="single" w:color="000000" w:sz="4" w:space="0"/>
              <w:left w:val="single" w:color="000000" w:sz="4" w:space="0"/>
              <w:right w:val="single" w:color="000000" w:sz="4" w:space="0"/>
            </w:tcBorders>
          </w:tcPr>
          <w:p w14:paraId="4326874C">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Data items </w:t>
            </w:r>
          </w:p>
        </w:tc>
        <w:tc>
          <w:tcPr>
            <w:tcW w:w="0" w:type="auto"/>
            <w:tcBorders>
              <w:top w:val="single" w:color="000000" w:sz="4" w:space="0"/>
              <w:left w:val="single" w:color="000000" w:sz="4" w:space="0"/>
              <w:bottom w:val="single" w:color="000000" w:sz="4" w:space="0"/>
              <w:right w:val="single" w:color="000000" w:sz="4" w:space="0"/>
            </w:tcBorders>
          </w:tcPr>
          <w:p w14:paraId="779FCE4A">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10a</w:t>
            </w:r>
          </w:p>
        </w:tc>
        <w:tc>
          <w:tcPr>
            <w:tcW w:w="0" w:type="auto"/>
            <w:tcBorders>
              <w:top w:val="single" w:color="000000" w:sz="4" w:space="0"/>
              <w:left w:val="single" w:color="000000" w:sz="4" w:space="0"/>
              <w:bottom w:val="single" w:color="000000" w:sz="4" w:space="0"/>
              <w:right w:val="single" w:color="000000" w:sz="4" w:space="0"/>
            </w:tcBorders>
          </w:tcPr>
          <w:p w14:paraId="68D506AF">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top w:val="single" w:color="000000" w:sz="4" w:space="0"/>
              <w:left w:val="single" w:color="000000" w:sz="4" w:space="0"/>
              <w:bottom w:val="single" w:color="000000" w:sz="4" w:space="0"/>
              <w:right w:val="single" w:color="000000" w:sz="4" w:space="0"/>
            </w:tcBorders>
          </w:tcPr>
          <w:p w14:paraId="7CAAAA31">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4</w:t>
            </w:r>
          </w:p>
        </w:tc>
      </w:tr>
      <w:tr w14:paraId="76EC216E">
        <w:trPr>
          <w:trHeight w:val="48" w:hRule="atLeast"/>
        </w:trPr>
        <w:tc>
          <w:tcPr>
            <w:tcW w:w="0" w:type="auto"/>
            <w:vMerge w:val="continue"/>
            <w:tcBorders>
              <w:left w:val="single" w:color="000000" w:sz="4" w:space="0"/>
              <w:bottom w:val="single" w:color="000000" w:sz="4" w:space="0"/>
              <w:right w:val="single" w:color="000000" w:sz="4" w:space="0"/>
            </w:tcBorders>
          </w:tcPr>
          <w:p w14:paraId="5BEB40B5">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1054BB2F">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10b</w:t>
            </w:r>
          </w:p>
        </w:tc>
        <w:tc>
          <w:tcPr>
            <w:tcW w:w="0" w:type="auto"/>
            <w:tcBorders>
              <w:top w:val="single" w:color="000000" w:sz="4" w:space="0"/>
              <w:left w:val="single" w:color="000000" w:sz="4" w:space="0"/>
              <w:bottom w:val="single" w:color="000000" w:sz="4" w:space="0"/>
              <w:right w:val="single" w:color="000000" w:sz="4" w:space="0"/>
            </w:tcBorders>
          </w:tcPr>
          <w:p w14:paraId="622D2223">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top w:val="single" w:color="000000" w:sz="4" w:space="0"/>
              <w:left w:val="single" w:color="000000" w:sz="4" w:space="0"/>
              <w:bottom w:val="single" w:color="000000" w:sz="4" w:space="0"/>
              <w:right w:val="single" w:color="000000" w:sz="4" w:space="0"/>
            </w:tcBorders>
          </w:tcPr>
          <w:p w14:paraId="615EFB05">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Table 1</w:t>
            </w:r>
          </w:p>
        </w:tc>
      </w:tr>
      <w:tr w14:paraId="6E782DB7">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0E32C976">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Study risk of bias assessment</w:t>
            </w:r>
          </w:p>
        </w:tc>
        <w:tc>
          <w:tcPr>
            <w:tcW w:w="0" w:type="auto"/>
            <w:tcBorders>
              <w:top w:val="single" w:color="000000" w:sz="4" w:space="0"/>
              <w:left w:val="single" w:color="000000" w:sz="4" w:space="0"/>
              <w:bottom w:val="single" w:color="000000" w:sz="4" w:space="0"/>
              <w:right w:val="single" w:color="000000" w:sz="4" w:space="0"/>
            </w:tcBorders>
          </w:tcPr>
          <w:p w14:paraId="00CF64FB">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11</w:t>
            </w:r>
          </w:p>
        </w:tc>
        <w:tc>
          <w:tcPr>
            <w:tcW w:w="0" w:type="auto"/>
            <w:tcBorders>
              <w:top w:val="single" w:color="000000" w:sz="4" w:space="0"/>
              <w:left w:val="single" w:color="000000" w:sz="4" w:space="0"/>
              <w:bottom w:val="single" w:color="000000" w:sz="4" w:space="0"/>
              <w:right w:val="single" w:color="000000" w:sz="4" w:space="0"/>
            </w:tcBorders>
          </w:tcPr>
          <w:p w14:paraId="2190C145">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tcBorders>
              <w:top w:val="single" w:color="000000" w:sz="4" w:space="0"/>
              <w:left w:val="single" w:color="000000" w:sz="4" w:space="0"/>
              <w:bottom w:val="single" w:color="000000" w:sz="4" w:space="0"/>
              <w:right w:val="single" w:color="000000" w:sz="4" w:space="0"/>
            </w:tcBorders>
          </w:tcPr>
          <w:p w14:paraId="7E93046E">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4</w:t>
            </w:r>
          </w:p>
        </w:tc>
      </w:tr>
      <w:tr w14:paraId="21C17D02">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5C9B0504">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Effect measures </w:t>
            </w:r>
          </w:p>
        </w:tc>
        <w:tc>
          <w:tcPr>
            <w:tcW w:w="0" w:type="auto"/>
            <w:tcBorders>
              <w:top w:val="single" w:color="000000" w:sz="4" w:space="0"/>
              <w:left w:val="single" w:color="000000" w:sz="4" w:space="0"/>
              <w:bottom w:val="single" w:color="000000" w:sz="4" w:space="0"/>
              <w:right w:val="single" w:color="000000" w:sz="4" w:space="0"/>
            </w:tcBorders>
          </w:tcPr>
          <w:p w14:paraId="48205F67">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12</w:t>
            </w:r>
          </w:p>
        </w:tc>
        <w:tc>
          <w:tcPr>
            <w:tcW w:w="0" w:type="auto"/>
            <w:tcBorders>
              <w:top w:val="single" w:color="000000" w:sz="4" w:space="0"/>
              <w:left w:val="single" w:color="000000" w:sz="4" w:space="0"/>
              <w:bottom w:val="single" w:color="000000" w:sz="4" w:space="0"/>
              <w:right w:val="single" w:color="000000" w:sz="4" w:space="0"/>
            </w:tcBorders>
          </w:tcPr>
          <w:p w14:paraId="0F3FB0F0">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Specify for each outcome the effect measure(s) (e.g. risk ratio, mean difference) used in the synthesis or presentation of results.</w:t>
            </w:r>
          </w:p>
        </w:tc>
        <w:tc>
          <w:tcPr>
            <w:tcW w:w="0" w:type="auto"/>
            <w:tcBorders>
              <w:top w:val="single" w:color="000000" w:sz="4" w:space="0"/>
              <w:left w:val="single" w:color="000000" w:sz="4" w:space="0"/>
              <w:bottom w:val="single" w:color="000000" w:sz="4" w:space="0"/>
              <w:right w:val="single" w:color="000000" w:sz="4" w:space="0"/>
            </w:tcBorders>
          </w:tcPr>
          <w:p w14:paraId="6EB0588F">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5</w:t>
            </w:r>
          </w:p>
        </w:tc>
      </w:tr>
      <w:tr w14:paraId="322E3864">
        <w:trPr>
          <w:trHeight w:val="48" w:hRule="atLeast"/>
        </w:trPr>
        <w:tc>
          <w:tcPr>
            <w:tcW w:w="0" w:type="auto"/>
            <w:vMerge w:val="restart"/>
            <w:tcBorders>
              <w:top w:val="single" w:color="000000" w:sz="4" w:space="0"/>
              <w:left w:val="single" w:color="000000" w:sz="4" w:space="0"/>
              <w:right w:val="single" w:color="000000" w:sz="4" w:space="0"/>
            </w:tcBorders>
          </w:tcPr>
          <w:p w14:paraId="214329BC">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Synthesis methods</w:t>
            </w:r>
          </w:p>
        </w:tc>
        <w:tc>
          <w:tcPr>
            <w:tcW w:w="0" w:type="auto"/>
            <w:tcBorders>
              <w:top w:val="single" w:color="000000" w:sz="4" w:space="0"/>
              <w:left w:val="single" w:color="000000" w:sz="4" w:space="0"/>
              <w:bottom w:val="single" w:color="000000" w:sz="4" w:space="0"/>
              <w:right w:val="single" w:color="000000" w:sz="4" w:space="0"/>
            </w:tcBorders>
          </w:tcPr>
          <w:p w14:paraId="265DAA95">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13a</w:t>
            </w:r>
          </w:p>
        </w:tc>
        <w:tc>
          <w:tcPr>
            <w:tcW w:w="0" w:type="auto"/>
            <w:tcBorders>
              <w:top w:val="single" w:color="000000" w:sz="4" w:space="0"/>
              <w:left w:val="single" w:color="000000" w:sz="4" w:space="0"/>
              <w:bottom w:val="single" w:color="000000" w:sz="4" w:space="0"/>
              <w:right w:val="single" w:color="000000" w:sz="4" w:space="0"/>
            </w:tcBorders>
          </w:tcPr>
          <w:p w14:paraId="3F4D8C66">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0" w:type="auto"/>
            <w:tcBorders>
              <w:top w:val="single" w:color="000000" w:sz="4" w:space="0"/>
              <w:left w:val="single" w:color="000000" w:sz="4" w:space="0"/>
              <w:bottom w:val="single" w:color="000000" w:sz="4" w:space="0"/>
              <w:right w:val="single" w:color="000000" w:sz="4" w:space="0"/>
            </w:tcBorders>
          </w:tcPr>
          <w:p w14:paraId="194534BC">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5</w:t>
            </w:r>
          </w:p>
        </w:tc>
      </w:tr>
      <w:tr w14:paraId="1FDC3393">
        <w:trPr>
          <w:trHeight w:val="48" w:hRule="atLeast"/>
        </w:trPr>
        <w:tc>
          <w:tcPr>
            <w:tcW w:w="0" w:type="auto"/>
            <w:vMerge w:val="continue"/>
            <w:tcBorders>
              <w:left w:val="single" w:color="000000" w:sz="4" w:space="0"/>
              <w:right w:val="single" w:color="000000" w:sz="4" w:space="0"/>
            </w:tcBorders>
          </w:tcPr>
          <w:p w14:paraId="35956419">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1C2D7233">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13b</w:t>
            </w:r>
          </w:p>
        </w:tc>
        <w:tc>
          <w:tcPr>
            <w:tcW w:w="0" w:type="auto"/>
            <w:tcBorders>
              <w:top w:val="single" w:color="000000" w:sz="4" w:space="0"/>
              <w:left w:val="single" w:color="000000" w:sz="4" w:space="0"/>
              <w:bottom w:val="single" w:color="000000" w:sz="4" w:space="0"/>
              <w:right w:val="single" w:color="000000" w:sz="4" w:space="0"/>
            </w:tcBorders>
          </w:tcPr>
          <w:p w14:paraId="149AF44B">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any methods required to prepare the data for presentation or synthesis, such as handling of missing summary statistics, or data conversions.</w:t>
            </w:r>
          </w:p>
        </w:tc>
        <w:tc>
          <w:tcPr>
            <w:tcW w:w="0" w:type="auto"/>
            <w:tcBorders>
              <w:top w:val="single" w:color="000000" w:sz="4" w:space="0"/>
              <w:left w:val="single" w:color="000000" w:sz="4" w:space="0"/>
              <w:bottom w:val="single" w:color="000000" w:sz="4" w:space="0"/>
              <w:right w:val="single" w:color="000000" w:sz="4" w:space="0"/>
            </w:tcBorders>
          </w:tcPr>
          <w:p w14:paraId="02C42BEA">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5</w:t>
            </w:r>
          </w:p>
        </w:tc>
      </w:tr>
      <w:tr w14:paraId="5C9F5E9E">
        <w:trPr>
          <w:trHeight w:val="48" w:hRule="atLeast"/>
        </w:trPr>
        <w:tc>
          <w:tcPr>
            <w:tcW w:w="0" w:type="auto"/>
            <w:vMerge w:val="continue"/>
            <w:tcBorders>
              <w:left w:val="single" w:color="000000" w:sz="4" w:space="0"/>
              <w:right w:val="single" w:color="000000" w:sz="4" w:space="0"/>
            </w:tcBorders>
          </w:tcPr>
          <w:p w14:paraId="268A2758">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06AAECAB">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13c</w:t>
            </w:r>
          </w:p>
        </w:tc>
        <w:tc>
          <w:tcPr>
            <w:tcW w:w="0" w:type="auto"/>
            <w:tcBorders>
              <w:top w:val="single" w:color="000000" w:sz="4" w:space="0"/>
              <w:left w:val="single" w:color="000000" w:sz="4" w:space="0"/>
              <w:bottom w:val="single" w:color="000000" w:sz="4" w:space="0"/>
              <w:right w:val="single" w:color="000000" w:sz="4" w:space="0"/>
            </w:tcBorders>
          </w:tcPr>
          <w:p w14:paraId="1F467CA6">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any methods used to tabulate or visually display results of individual studies and syntheses.</w:t>
            </w:r>
          </w:p>
        </w:tc>
        <w:tc>
          <w:tcPr>
            <w:tcW w:w="0" w:type="auto"/>
            <w:tcBorders>
              <w:top w:val="single" w:color="000000" w:sz="4" w:space="0"/>
              <w:left w:val="single" w:color="000000" w:sz="4" w:space="0"/>
              <w:bottom w:val="single" w:color="000000" w:sz="4" w:space="0"/>
              <w:right w:val="single" w:color="000000" w:sz="4" w:space="0"/>
            </w:tcBorders>
          </w:tcPr>
          <w:p w14:paraId="4269CC18">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5</w:t>
            </w:r>
          </w:p>
        </w:tc>
      </w:tr>
      <w:tr w14:paraId="3C0C3634">
        <w:trPr>
          <w:trHeight w:val="48" w:hRule="atLeast"/>
        </w:trPr>
        <w:tc>
          <w:tcPr>
            <w:tcW w:w="0" w:type="auto"/>
            <w:vMerge w:val="continue"/>
            <w:tcBorders>
              <w:left w:val="single" w:color="000000" w:sz="4" w:space="0"/>
              <w:right w:val="single" w:color="000000" w:sz="4" w:space="0"/>
            </w:tcBorders>
          </w:tcPr>
          <w:p w14:paraId="03526D95">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23DE754F">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13d</w:t>
            </w:r>
          </w:p>
        </w:tc>
        <w:tc>
          <w:tcPr>
            <w:tcW w:w="0" w:type="auto"/>
            <w:tcBorders>
              <w:top w:val="single" w:color="000000" w:sz="4" w:space="0"/>
              <w:left w:val="single" w:color="000000" w:sz="4" w:space="0"/>
              <w:bottom w:val="single" w:color="000000" w:sz="4" w:space="0"/>
              <w:right w:val="single" w:color="000000" w:sz="4" w:space="0"/>
            </w:tcBorders>
          </w:tcPr>
          <w:p w14:paraId="1CAA9F49">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top w:val="single" w:color="000000" w:sz="4" w:space="0"/>
              <w:left w:val="single" w:color="000000" w:sz="4" w:space="0"/>
              <w:bottom w:val="single" w:color="000000" w:sz="4" w:space="0"/>
              <w:right w:val="single" w:color="000000" w:sz="4" w:space="0"/>
            </w:tcBorders>
          </w:tcPr>
          <w:p w14:paraId="6F1AB738">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5</w:t>
            </w:r>
          </w:p>
        </w:tc>
      </w:tr>
      <w:tr w14:paraId="2FB1DC53">
        <w:trPr>
          <w:trHeight w:val="48" w:hRule="atLeast"/>
        </w:trPr>
        <w:tc>
          <w:tcPr>
            <w:tcW w:w="0" w:type="auto"/>
            <w:vMerge w:val="continue"/>
            <w:tcBorders>
              <w:left w:val="single" w:color="000000" w:sz="4" w:space="0"/>
              <w:right w:val="single" w:color="000000" w:sz="4" w:space="0"/>
            </w:tcBorders>
          </w:tcPr>
          <w:p w14:paraId="56820D01">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3FBD3B2E">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13e</w:t>
            </w:r>
          </w:p>
        </w:tc>
        <w:tc>
          <w:tcPr>
            <w:tcW w:w="0" w:type="auto"/>
            <w:tcBorders>
              <w:top w:val="single" w:color="000000" w:sz="4" w:space="0"/>
              <w:left w:val="single" w:color="000000" w:sz="4" w:space="0"/>
              <w:bottom w:val="single" w:color="000000" w:sz="4" w:space="0"/>
              <w:right w:val="single" w:color="000000" w:sz="4" w:space="0"/>
            </w:tcBorders>
          </w:tcPr>
          <w:p w14:paraId="01BE65CE">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any methods used to explore possible causes of heterogeneity among study results (e.g. subgroup analysis, meta-regression).</w:t>
            </w:r>
          </w:p>
        </w:tc>
        <w:tc>
          <w:tcPr>
            <w:tcW w:w="0" w:type="auto"/>
            <w:tcBorders>
              <w:top w:val="single" w:color="000000" w:sz="4" w:space="0"/>
              <w:left w:val="single" w:color="000000" w:sz="4" w:space="0"/>
              <w:bottom w:val="single" w:color="000000" w:sz="4" w:space="0"/>
              <w:right w:val="single" w:color="000000" w:sz="4" w:space="0"/>
            </w:tcBorders>
          </w:tcPr>
          <w:p w14:paraId="29587DCF">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6</w:t>
            </w:r>
          </w:p>
        </w:tc>
      </w:tr>
      <w:tr w14:paraId="0C7D321D">
        <w:trPr>
          <w:trHeight w:val="50" w:hRule="atLeast"/>
        </w:trPr>
        <w:tc>
          <w:tcPr>
            <w:tcW w:w="0" w:type="auto"/>
            <w:vMerge w:val="continue"/>
            <w:tcBorders>
              <w:left w:val="single" w:color="000000" w:sz="4" w:space="0"/>
              <w:bottom w:val="single" w:color="000000" w:sz="4" w:space="0"/>
              <w:right w:val="single" w:color="000000" w:sz="4" w:space="0"/>
            </w:tcBorders>
          </w:tcPr>
          <w:p w14:paraId="3A354D4B">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2A470B59">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13f</w:t>
            </w:r>
          </w:p>
        </w:tc>
        <w:tc>
          <w:tcPr>
            <w:tcW w:w="0" w:type="auto"/>
            <w:tcBorders>
              <w:top w:val="single" w:color="000000" w:sz="4" w:space="0"/>
              <w:left w:val="single" w:color="000000" w:sz="4" w:space="0"/>
              <w:bottom w:val="single" w:color="000000" w:sz="4" w:space="0"/>
              <w:right w:val="single" w:color="000000" w:sz="4" w:space="0"/>
            </w:tcBorders>
          </w:tcPr>
          <w:p w14:paraId="48E69AC9">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any sensitivity analyses conducted to assess robustness of the synthesized results.</w:t>
            </w:r>
          </w:p>
        </w:tc>
        <w:tc>
          <w:tcPr>
            <w:tcW w:w="0" w:type="auto"/>
            <w:tcBorders>
              <w:top w:val="single" w:color="000000" w:sz="4" w:space="0"/>
              <w:left w:val="single" w:color="000000" w:sz="4" w:space="0"/>
              <w:bottom w:val="single" w:color="000000" w:sz="4" w:space="0"/>
              <w:right w:val="single" w:color="000000" w:sz="4" w:space="0"/>
            </w:tcBorders>
          </w:tcPr>
          <w:p w14:paraId="523AD1FC">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6</w:t>
            </w:r>
          </w:p>
        </w:tc>
      </w:tr>
      <w:tr w14:paraId="281F751B">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6D5B44E6">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Reporting bias assessment</w:t>
            </w:r>
          </w:p>
        </w:tc>
        <w:tc>
          <w:tcPr>
            <w:tcW w:w="0" w:type="auto"/>
            <w:tcBorders>
              <w:top w:val="single" w:color="000000" w:sz="4" w:space="0"/>
              <w:left w:val="single" w:color="000000" w:sz="4" w:space="0"/>
              <w:bottom w:val="single" w:color="000000" w:sz="4" w:space="0"/>
              <w:right w:val="single" w:color="000000" w:sz="4" w:space="0"/>
            </w:tcBorders>
          </w:tcPr>
          <w:p w14:paraId="43FB9B74">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14</w:t>
            </w:r>
          </w:p>
        </w:tc>
        <w:tc>
          <w:tcPr>
            <w:tcW w:w="0" w:type="auto"/>
            <w:tcBorders>
              <w:top w:val="single" w:color="000000" w:sz="4" w:space="0"/>
              <w:left w:val="single" w:color="000000" w:sz="4" w:space="0"/>
              <w:bottom w:val="single" w:color="000000" w:sz="4" w:space="0"/>
              <w:right w:val="single" w:color="000000" w:sz="4" w:space="0"/>
            </w:tcBorders>
          </w:tcPr>
          <w:p w14:paraId="7B1F15DE">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any methods used to assess risk of bias due to missing results in a synthesis (arising from reporting biases).</w:t>
            </w:r>
          </w:p>
        </w:tc>
        <w:tc>
          <w:tcPr>
            <w:tcW w:w="0" w:type="auto"/>
            <w:tcBorders>
              <w:top w:val="single" w:color="000000" w:sz="4" w:space="0"/>
              <w:left w:val="single" w:color="000000" w:sz="4" w:space="0"/>
              <w:bottom w:val="single" w:color="000000" w:sz="4" w:space="0"/>
              <w:right w:val="single" w:color="000000" w:sz="4" w:space="0"/>
            </w:tcBorders>
          </w:tcPr>
          <w:p w14:paraId="446A7CF3">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7</w:t>
            </w:r>
          </w:p>
        </w:tc>
      </w:tr>
      <w:tr w14:paraId="198FB879">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489294F1">
            <w:pPr>
              <w:pStyle w:val="9"/>
              <w:keepNext w:val="0"/>
              <w:keepLines w:val="0"/>
              <w:suppressLineNumbers w:val="0"/>
              <w:spacing w:before="40" w:beforeAutospacing="0" w:after="40" w:afterAutospacing="0"/>
              <w:ind w:left="0" w:right="0"/>
              <w:rPr>
                <w:rFonts w:hint="default" w:ascii="Arial" w:hAnsi="Arial" w:eastAsia="宋体" w:cs="Arial"/>
                <w:sz w:val="18"/>
                <w:szCs w:val="18"/>
                <w:lang w:val="en-US" w:eastAsia="zh-CN"/>
              </w:rPr>
            </w:pPr>
            <w:r>
              <w:rPr>
                <w:rFonts w:hint="default" w:ascii="Arial" w:hAnsi="Arial" w:cs="Arial"/>
                <w:sz w:val="18"/>
                <w:szCs w:val="18"/>
              </w:rPr>
              <w:t>Certainty assessment</w:t>
            </w:r>
          </w:p>
        </w:tc>
        <w:tc>
          <w:tcPr>
            <w:tcW w:w="0" w:type="auto"/>
            <w:tcBorders>
              <w:top w:val="single" w:color="000000" w:sz="4" w:space="0"/>
              <w:left w:val="single" w:color="000000" w:sz="4" w:space="0"/>
              <w:bottom w:val="single" w:color="000000" w:sz="4" w:space="0"/>
              <w:right w:val="single" w:color="000000" w:sz="4" w:space="0"/>
            </w:tcBorders>
          </w:tcPr>
          <w:p w14:paraId="3918E1FC">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15</w:t>
            </w:r>
          </w:p>
        </w:tc>
        <w:tc>
          <w:tcPr>
            <w:tcW w:w="0" w:type="auto"/>
            <w:tcBorders>
              <w:top w:val="single" w:color="000000" w:sz="4" w:space="0"/>
              <w:left w:val="single" w:color="000000" w:sz="4" w:space="0"/>
              <w:bottom w:val="single" w:color="000000" w:sz="4" w:space="0"/>
              <w:right w:val="single" w:color="000000" w:sz="4" w:space="0"/>
            </w:tcBorders>
          </w:tcPr>
          <w:p w14:paraId="0E3385EF">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any methods used to assess certainty (or confidence) in the body of evidence for an outcome.</w:t>
            </w:r>
          </w:p>
        </w:tc>
        <w:tc>
          <w:tcPr>
            <w:tcW w:w="0" w:type="auto"/>
            <w:tcBorders>
              <w:top w:val="single" w:color="000000" w:sz="4" w:space="0"/>
              <w:left w:val="single" w:color="000000" w:sz="4" w:space="0"/>
              <w:bottom w:val="single" w:color="000000" w:sz="4" w:space="0"/>
              <w:right w:val="single" w:color="000000" w:sz="4" w:space="0"/>
            </w:tcBorders>
          </w:tcPr>
          <w:p w14:paraId="7284D8FA">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Table 2</w:t>
            </w:r>
          </w:p>
        </w:tc>
      </w:tr>
      <w:tr w14:paraId="48A10309">
        <w:trPr>
          <w:trHeight w:val="24" w:hRule="atLeast"/>
        </w:trPr>
        <w:tc>
          <w:tcPr>
            <w:tcW w:w="0" w:type="auto"/>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21DC956">
            <w:pPr>
              <w:pStyle w:val="9"/>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 xml:space="preserve">RESULTS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0D81919B">
            <w:pPr>
              <w:pStyle w:val="9"/>
              <w:keepNext w:val="0"/>
              <w:keepLines w:val="0"/>
              <w:suppressLineNumbers w:val="0"/>
              <w:spacing w:before="0" w:beforeAutospacing="0" w:after="0" w:afterAutospacing="0"/>
              <w:ind w:left="0" w:right="0"/>
              <w:jc w:val="center"/>
              <w:rPr>
                <w:rFonts w:hint="default" w:ascii="Arial Regular" w:hAnsi="Arial Regular" w:cs="Arial Regular"/>
                <w:color w:val="auto"/>
                <w:sz w:val="18"/>
                <w:szCs w:val="18"/>
              </w:rPr>
            </w:pPr>
          </w:p>
        </w:tc>
      </w:tr>
      <w:tr w14:paraId="4A5A9CE7">
        <w:trPr>
          <w:trHeight w:val="48" w:hRule="atLeast"/>
        </w:trPr>
        <w:tc>
          <w:tcPr>
            <w:tcW w:w="0" w:type="auto"/>
            <w:vMerge w:val="restart"/>
            <w:tcBorders>
              <w:top w:val="single" w:color="000000" w:sz="4" w:space="0"/>
              <w:left w:val="single" w:color="000000" w:sz="4" w:space="0"/>
              <w:right w:val="single" w:color="000000" w:sz="4" w:space="0"/>
            </w:tcBorders>
          </w:tcPr>
          <w:p w14:paraId="72F4533D">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Study selection </w:t>
            </w:r>
          </w:p>
        </w:tc>
        <w:tc>
          <w:tcPr>
            <w:tcW w:w="0" w:type="auto"/>
            <w:tcBorders>
              <w:top w:val="single" w:color="000000" w:sz="4" w:space="0"/>
              <w:left w:val="single" w:color="000000" w:sz="4" w:space="0"/>
              <w:bottom w:val="single" w:color="000000" w:sz="4" w:space="0"/>
              <w:right w:val="single" w:color="000000" w:sz="4" w:space="0"/>
            </w:tcBorders>
          </w:tcPr>
          <w:p w14:paraId="3808923B">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16a</w:t>
            </w:r>
          </w:p>
        </w:tc>
        <w:tc>
          <w:tcPr>
            <w:tcW w:w="0" w:type="auto"/>
            <w:tcBorders>
              <w:top w:val="single" w:color="000000" w:sz="4" w:space="0"/>
              <w:left w:val="single" w:color="000000" w:sz="4" w:space="0"/>
              <w:bottom w:val="single" w:color="000000" w:sz="4" w:space="0"/>
              <w:right w:val="single" w:color="000000" w:sz="4" w:space="0"/>
            </w:tcBorders>
          </w:tcPr>
          <w:p w14:paraId="49483AB1">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0" w:type="auto"/>
            <w:tcBorders>
              <w:top w:val="single" w:color="000000" w:sz="4" w:space="0"/>
              <w:left w:val="single" w:color="000000" w:sz="4" w:space="0"/>
              <w:bottom w:val="single" w:color="000000" w:sz="4" w:space="0"/>
              <w:right w:val="single" w:color="000000" w:sz="4" w:space="0"/>
            </w:tcBorders>
          </w:tcPr>
          <w:p w14:paraId="71D3EFB9">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Figure 1</w:t>
            </w:r>
          </w:p>
        </w:tc>
      </w:tr>
      <w:tr w14:paraId="30AFC511">
        <w:trPr>
          <w:trHeight w:val="48" w:hRule="atLeast"/>
        </w:trPr>
        <w:tc>
          <w:tcPr>
            <w:tcW w:w="0" w:type="auto"/>
            <w:vMerge w:val="continue"/>
            <w:tcBorders>
              <w:left w:val="single" w:color="000000" w:sz="4" w:space="0"/>
              <w:bottom w:val="single" w:color="000000" w:sz="4" w:space="0"/>
              <w:right w:val="single" w:color="000000" w:sz="4" w:space="0"/>
            </w:tcBorders>
          </w:tcPr>
          <w:p w14:paraId="0EEAA7A6">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3420615C">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16b</w:t>
            </w:r>
          </w:p>
        </w:tc>
        <w:tc>
          <w:tcPr>
            <w:tcW w:w="0" w:type="auto"/>
            <w:tcBorders>
              <w:top w:val="single" w:color="000000" w:sz="4" w:space="0"/>
              <w:left w:val="single" w:color="000000" w:sz="4" w:space="0"/>
              <w:bottom w:val="single" w:color="000000" w:sz="4" w:space="0"/>
              <w:right w:val="single" w:color="000000" w:sz="4" w:space="0"/>
            </w:tcBorders>
          </w:tcPr>
          <w:p w14:paraId="21C6E1B4">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Cite studies that might appear to meet the inclusion criteria, but which were excluded, and explain why they were excluded.</w:t>
            </w:r>
          </w:p>
        </w:tc>
        <w:tc>
          <w:tcPr>
            <w:tcW w:w="0" w:type="auto"/>
            <w:tcBorders>
              <w:top w:val="single" w:color="000000" w:sz="4" w:space="0"/>
              <w:left w:val="single" w:color="000000" w:sz="4" w:space="0"/>
              <w:bottom w:val="single" w:color="000000" w:sz="4" w:space="0"/>
              <w:right w:val="single" w:color="000000" w:sz="4" w:space="0"/>
            </w:tcBorders>
          </w:tcPr>
          <w:p w14:paraId="7172A8DF">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Supplementary Material Table 1</w:t>
            </w:r>
          </w:p>
        </w:tc>
      </w:tr>
      <w:tr w14:paraId="73E66C19">
        <w:trPr>
          <w:trHeight w:val="103" w:hRule="atLeast"/>
        </w:trPr>
        <w:tc>
          <w:tcPr>
            <w:tcW w:w="0" w:type="auto"/>
            <w:tcBorders>
              <w:top w:val="single" w:color="000000" w:sz="4" w:space="0"/>
              <w:left w:val="single" w:color="000000" w:sz="4" w:space="0"/>
              <w:bottom w:val="single" w:color="000000" w:sz="4" w:space="0"/>
              <w:right w:val="single" w:color="000000" w:sz="4" w:space="0"/>
            </w:tcBorders>
          </w:tcPr>
          <w:p w14:paraId="645BB093">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Study characteristics </w:t>
            </w:r>
          </w:p>
        </w:tc>
        <w:tc>
          <w:tcPr>
            <w:tcW w:w="0" w:type="auto"/>
            <w:tcBorders>
              <w:top w:val="single" w:color="000000" w:sz="4" w:space="0"/>
              <w:left w:val="single" w:color="000000" w:sz="4" w:space="0"/>
              <w:bottom w:val="single" w:color="000000" w:sz="4" w:space="0"/>
              <w:right w:val="single" w:color="000000" w:sz="4" w:space="0"/>
            </w:tcBorders>
          </w:tcPr>
          <w:p w14:paraId="42C57D60">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17</w:t>
            </w:r>
          </w:p>
        </w:tc>
        <w:tc>
          <w:tcPr>
            <w:tcW w:w="0" w:type="auto"/>
            <w:tcBorders>
              <w:top w:val="single" w:color="000000" w:sz="4" w:space="0"/>
              <w:left w:val="single" w:color="000000" w:sz="4" w:space="0"/>
              <w:bottom w:val="single" w:color="000000" w:sz="4" w:space="0"/>
              <w:right w:val="single" w:color="000000" w:sz="4" w:space="0"/>
            </w:tcBorders>
          </w:tcPr>
          <w:p w14:paraId="3F49AD7D">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Cite each included study and present its characteristics.</w:t>
            </w:r>
          </w:p>
        </w:tc>
        <w:tc>
          <w:tcPr>
            <w:tcW w:w="0" w:type="auto"/>
            <w:tcBorders>
              <w:top w:val="single" w:color="000000" w:sz="4" w:space="0"/>
              <w:left w:val="single" w:color="000000" w:sz="4" w:space="0"/>
              <w:bottom w:val="single" w:color="000000" w:sz="4" w:space="0"/>
              <w:right w:val="single" w:color="000000" w:sz="4" w:space="0"/>
            </w:tcBorders>
          </w:tcPr>
          <w:p w14:paraId="5B28B623">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Table 1</w:t>
            </w:r>
          </w:p>
        </w:tc>
      </w:tr>
      <w:tr w14:paraId="21227461">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11EB8202">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Risk of bias in studies </w:t>
            </w:r>
          </w:p>
        </w:tc>
        <w:tc>
          <w:tcPr>
            <w:tcW w:w="0" w:type="auto"/>
            <w:tcBorders>
              <w:top w:val="single" w:color="000000" w:sz="4" w:space="0"/>
              <w:left w:val="single" w:color="000000" w:sz="4" w:space="0"/>
              <w:bottom w:val="single" w:color="000000" w:sz="4" w:space="0"/>
              <w:right w:val="single" w:color="000000" w:sz="4" w:space="0"/>
            </w:tcBorders>
          </w:tcPr>
          <w:p w14:paraId="40CB0621">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18</w:t>
            </w:r>
          </w:p>
        </w:tc>
        <w:tc>
          <w:tcPr>
            <w:tcW w:w="0" w:type="auto"/>
            <w:tcBorders>
              <w:top w:val="single" w:color="000000" w:sz="4" w:space="0"/>
              <w:left w:val="single" w:color="000000" w:sz="4" w:space="0"/>
              <w:bottom w:val="single" w:color="000000" w:sz="4" w:space="0"/>
              <w:right w:val="single" w:color="000000" w:sz="4" w:space="0"/>
            </w:tcBorders>
          </w:tcPr>
          <w:p w14:paraId="46E0D424">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Present assessments of risk of bias for each included study.</w:t>
            </w:r>
          </w:p>
        </w:tc>
        <w:tc>
          <w:tcPr>
            <w:tcW w:w="0" w:type="auto"/>
            <w:tcBorders>
              <w:top w:val="single" w:color="000000" w:sz="4" w:space="0"/>
              <w:left w:val="single" w:color="000000" w:sz="4" w:space="0"/>
              <w:bottom w:val="single" w:color="000000" w:sz="4" w:space="0"/>
              <w:right w:val="single" w:color="000000" w:sz="4" w:space="0"/>
            </w:tcBorders>
          </w:tcPr>
          <w:p w14:paraId="6E729F28">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Figure 2</w:t>
            </w:r>
          </w:p>
        </w:tc>
      </w:tr>
      <w:tr w14:paraId="4989804E">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3B9AE921">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Results of individual studies </w:t>
            </w:r>
          </w:p>
        </w:tc>
        <w:tc>
          <w:tcPr>
            <w:tcW w:w="0" w:type="auto"/>
            <w:tcBorders>
              <w:top w:val="single" w:color="000000" w:sz="4" w:space="0"/>
              <w:left w:val="single" w:color="000000" w:sz="4" w:space="0"/>
              <w:bottom w:val="single" w:color="000000" w:sz="4" w:space="0"/>
              <w:right w:val="single" w:color="000000" w:sz="4" w:space="0"/>
            </w:tcBorders>
          </w:tcPr>
          <w:p w14:paraId="7BFCEB9E">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19</w:t>
            </w:r>
          </w:p>
        </w:tc>
        <w:tc>
          <w:tcPr>
            <w:tcW w:w="0" w:type="auto"/>
            <w:tcBorders>
              <w:top w:val="single" w:color="000000" w:sz="4" w:space="0"/>
              <w:left w:val="single" w:color="000000" w:sz="4" w:space="0"/>
              <w:bottom w:val="single" w:color="000000" w:sz="4" w:space="0"/>
              <w:right w:val="single" w:color="000000" w:sz="4" w:space="0"/>
            </w:tcBorders>
          </w:tcPr>
          <w:p w14:paraId="4586C489">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0" w:type="auto"/>
            <w:tcBorders>
              <w:top w:val="single" w:color="000000" w:sz="4" w:space="0"/>
              <w:left w:val="single" w:color="000000" w:sz="4" w:space="0"/>
              <w:bottom w:val="single" w:color="000000" w:sz="4" w:space="0"/>
              <w:right w:val="single" w:color="000000" w:sz="4" w:space="0"/>
            </w:tcBorders>
          </w:tcPr>
          <w:p w14:paraId="3250B80F">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Figure 3, 4，5，6</w:t>
            </w:r>
          </w:p>
        </w:tc>
      </w:tr>
      <w:tr w14:paraId="17C80D3F">
        <w:trPr>
          <w:trHeight w:val="48" w:hRule="atLeast"/>
        </w:trPr>
        <w:tc>
          <w:tcPr>
            <w:tcW w:w="0" w:type="auto"/>
            <w:vMerge w:val="restart"/>
            <w:tcBorders>
              <w:top w:val="single" w:color="000000" w:sz="4" w:space="0"/>
              <w:left w:val="single" w:color="000000" w:sz="4" w:space="0"/>
              <w:right w:val="single" w:color="000000" w:sz="4" w:space="0"/>
            </w:tcBorders>
          </w:tcPr>
          <w:p w14:paraId="732F978F">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Results of syntheses</w:t>
            </w:r>
          </w:p>
        </w:tc>
        <w:tc>
          <w:tcPr>
            <w:tcW w:w="0" w:type="auto"/>
            <w:tcBorders>
              <w:top w:val="single" w:color="000000" w:sz="4" w:space="0"/>
              <w:left w:val="single" w:color="000000" w:sz="4" w:space="0"/>
              <w:bottom w:val="single" w:color="000000" w:sz="4" w:space="0"/>
              <w:right w:val="single" w:color="000000" w:sz="4" w:space="0"/>
            </w:tcBorders>
          </w:tcPr>
          <w:p w14:paraId="283801A1">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20a</w:t>
            </w:r>
          </w:p>
        </w:tc>
        <w:tc>
          <w:tcPr>
            <w:tcW w:w="0" w:type="auto"/>
            <w:tcBorders>
              <w:top w:val="single" w:color="000000" w:sz="4" w:space="0"/>
              <w:left w:val="single" w:color="000000" w:sz="4" w:space="0"/>
              <w:bottom w:val="single" w:color="000000" w:sz="4" w:space="0"/>
              <w:right w:val="single" w:color="000000" w:sz="4" w:space="0"/>
            </w:tcBorders>
          </w:tcPr>
          <w:p w14:paraId="4FDB3E83">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For each synthesis, briefly summarise the characteristics and risk of bias among contributing studies.</w:t>
            </w:r>
          </w:p>
        </w:tc>
        <w:tc>
          <w:tcPr>
            <w:tcW w:w="0" w:type="auto"/>
            <w:tcBorders>
              <w:top w:val="single" w:color="000000" w:sz="4" w:space="0"/>
              <w:left w:val="single" w:color="000000" w:sz="4" w:space="0"/>
              <w:bottom w:val="single" w:color="000000" w:sz="4" w:space="0"/>
              <w:right w:val="single" w:color="000000" w:sz="4" w:space="0"/>
            </w:tcBorders>
          </w:tcPr>
          <w:p w14:paraId="22ABE966">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8</w:t>
            </w:r>
          </w:p>
        </w:tc>
      </w:tr>
      <w:tr w14:paraId="6AA4644B">
        <w:trPr>
          <w:trHeight w:val="203" w:hRule="atLeast"/>
        </w:trPr>
        <w:tc>
          <w:tcPr>
            <w:tcW w:w="0" w:type="auto"/>
            <w:vMerge w:val="continue"/>
            <w:tcBorders>
              <w:left w:val="single" w:color="000000" w:sz="4" w:space="0"/>
              <w:right w:val="single" w:color="000000" w:sz="4" w:space="0"/>
            </w:tcBorders>
          </w:tcPr>
          <w:p w14:paraId="6D1F9ED8">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4F4E71CA">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20b</w:t>
            </w:r>
          </w:p>
        </w:tc>
        <w:tc>
          <w:tcPr>
            <w:tcW w:w="0" w:type="auto"/>
            <w:tcBorders>
              <w:top w:val="single" w:color="000000" w:sz="4" w:space="0"/>
              <w:left w:val="single" w:color="000000" w:sz="4" w:space="0"/>
              <w:bottom w:val="single" w:color="000000" w:sz="4" w:space="0"/>
              <w:right w:val="single" w:color="000000" w:sz="4" w:space="0"/>
            </w:tcBorders>
          </w:tcPr>
          <w:p w14:paraId="48669BFA">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top w:val="single" w:color="000000" w:sz="4" w:space="0"/>
              <w:left w:val="single" w:color="000000" w:sz="4" w:space="0"/>
              <w:bottom w:val="single" w:color="000000" w:sz="4" w:space="0"/>
              <w:right w:val="single" w:color="000000" w:sz="4" w:space="0"/>
            </w:tcBorders>
          </w:tcPr>
          <w:p w14:paraId="5A805768">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8-9</w:t>
            </w:r>
          </w:p>
        </w:tc>
      </w:tr>
      <w:tr w14:paraId="62180833">
        <w:trPr>
          <w:trHeight w:val="48" w:hRule="atLeast"/>
        </w:trPr>
        <w:tc>
          <w:tcPr>
            <w:tcW w:w="0" w:type="auto"/>
            <w:vMerge w:val="continue"/>
            <w:tcBorders>
              <w:left w:val="single" w:color="000000" w:sz="4" w:space="0"/>
              <w:right w:val="single" w:color="000000" w:sz="4" w:space="0"/>
            </w:tcBorders>
          </w:tcPr>
          <w:p w14:paraId="05805553">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6EF9423A">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20c</w:t>
            </w:r>
          </w:p>
        </w:tc>
        <w:tc>
          <w:tcPr>
            <w:tcW w:w="0" w:type="auto"/>
            <w:tcBorders>
              <w:top w:val="single" w:color="000000" w:sz="4" w:space="0"/>
              <w:left w:val="single" w:color="000000" w:sz="4" w:space="0"/>
              <w:bottom w:val="single" w:color="000000" w:sz="4" w:space="0"/>
              <w:right w:val="single" w:color="000000" w:sz="4" w:space="0"/>
            </w:tcBorders>
          </w:tcPr>
          <w:p w14:paraId="7D590A64">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Present results of all investigations of possible causes of heterogeneity among study results.</w:t>
            </w:r>
          </w:p>
        </w:tc>
        <w:tc>
          <w:tcPr>
            <w:tcW w:w="0" w:type="auto"/>
            <w:tcBorders>
              <w:top w:val="single" w:color="000000" w:sz="4" w:space="0"/>
              <w:left w:val="single" w:color="000000" w:sz="4" w:space="0"/>
              <w:bottom w:val="single" w:color="000000" w:sz="4" w:space="0"/>
              <w:right w:val="single" w:color="000000" w:sz="4" w:space="0"/>
            </w:tcBorders>
          </w:tcPr>
          <w:p w14:paraId="4C7D0738">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9</w:t>
            </w:r>
          </w:p>
        </w:tc>
      </w:tr>
      <w:tr w14:paraId="4410349D">
        <w:trPr>
          <w:trHeight w:val="240" w:hRule="atLeast"/>
        </w:trPr>
        <w:tc>
          <w:tcPr>
            <w:tcW w:w="0" w:type="auto"/>
            <w:vMerge w:val="continue"/>
            <w:tcBorders>
              <w:left w:val="single" w:color="000000" w:sz="4" w:space="0"/>
              <w:bottom w:val="single" w:color="000000" w:sz="4" w:space="0"/>
              <w:right w:val="single" w:color="000000" w:sz="4" w:space="0"/>
            </w:tcBorders>
          </w:tcPr>
          <w:p w14:paraId="03220BED">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499CB0EA">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20d</w:t>
            </w:r>
          </w:p>
        </w:tc>
        <w:tc>
          <w:tcPr>
            <w:tcW w:w="0" w:type="auto"/>
            <w:tcBorders>
              <w:top w:val="single" w:color="000000" w:sz="4" w:space="0"/>
              <w:left w:val="single" w:color="000000" w:sz="4" w:space="0"/>
              <w:bottom w:val="single" w:color="000000" w:sz="4" w:space="0"/>
              <w:right w:val="single" w:color="000000" w:sz="4" w:space="0"/>
            </w:tcBorders>
          </w:tcPr>
          <w:p w14:paraId="5122AAE5">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Present results of all sensitivity analyses conducted to assess the robustness of the synthesized results.</w:t>
            </w:r>
          </w:p>
        </w:tc>
        <w:tc>
          <w:tcPr>
            <w:tcW w:w="0" w:type="auto"/>
            <w:tcBorders>
              <w:top w:val="single" w:color="000000" w:sz="4" w:space="0"/>
              <w:left w:val="single" w:color="000000" w:sz="4" w:space="0"/>
              <w:bottom w:val="single" w:color="000000" w:sz="4" w:space="0"/>
              <w:right w:val="single" w:color="000000" w:sz="4" w:space="0"/>
            </w:tcBorders>
          </w:tcPr>
          <w:p w14:paraId="64746916">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Supplementary Material Figure 1，2</w:t>
            </w:r>
          </w:p>
        </w:tc>
      </w:tr>
      <w:tr w14:paraId="1CC72CC2">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09255C84">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Reporting biases</w:t>
            </w:r>
          </w:p>
        </w:tc>
        <w:tc>
          <w:tcPr>
            <w:tcW w:w="0" w:type="auto"/>
            <w:tcBorders>
              <w:top w:val="single" w:color="000000" w:sz="4" w:space="0"/>
              <w:left w:val="single" w:color="000000" w:sz="4" w:space="0"/>
              <w:bottom w:val="single" w:color="000000" w:sz="4" w:space="0"/>
              <w:right w:val="single" w:color="000000" w:sz="4" w:space="0"/>
            </w:tcBorders>
          </w:tcPr>
          <w:p w14:paraId="039DCDC7">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21</w:t>
            </w:r>
          </w:p>
        </w:tc>
        <w:tc>
          <w:tcPr>
            <w:tcW w:w="0" w:type="auto"/>
            <w:tcBorders>
              <w:top w:val="single" w:color="000000" w:sz="4" w:space="0"/>
              <w:left w:val="single" w:color="000000" w:sz="4" w:space="0"/>
              <w:bottom w:val="single" w:color="000000" w:sz="4" w:space="0"/>
              <w:right w:val="single" w:color="000000" w:sz="4" w:space="0"/>
            </w:tcBorders>
          </w:tcPr>
          <w:p w14:paraId="76612F4A">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Present assessments of risk of bias due to missing results (arising from reporting biases) for each synthesis assessed.</w:t>
            </w:r>
          </w:p>
        </w:tc>
        <w:tc>
          <w:tcPr>
            <w:tcW w:w="0" w:type="auto"/>
            <w:tcBorders>
              <w:top w:val="single" w:color="000000" w:sz="4" w:space="0"/>
              <w:left w:val="single" w:color="000000" w:sz="4" w:space="0"/>
              <w:bottom w:val="single" w:color="000000" w:sz="4" w:space="0"/>
              <w:right w:val="single" w:color="000000" w:sz="4" w:space="0"/>
            </w:tcBorders>
          </w:tcPr>
          <w:p w14:paraId="0EA44828">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None</w:t>
            </w:r>
          </w:p>
        </w:tc>
      </w:tr>
      <w:tr w14:paraId="50237FFB">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0868856D">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Certainty of evidence </w:t>
            </w:r>
          </w:p>
        </w:tc>
        <w:tc>
          <w:tcPr>
            <w:tcW w:w="0" w:type="auto"/>
            <w:tcBorders>
              <w:top w:val="single" w:color="000000" w:sz="4" w:space="0"/>
              <w:left w:val="single" w:color="000000" w:sz="4" w:space="0"/>
              <w:bottom w:val="single" w:color="000000" w:sz="4" w:space="0"/>
              <w:right w:val="single" w:color="000000" w:sz="4" w:space="0"/>
            </w:tcBorders>
          </w:tcPr>
          <w:p w14:paraId="1B81D84A">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22</w:t>
            </w:r>
          </w:p>
        </w:tc>
        <w:tc>
          <w:tcPr>
            <w:tcW w:w="0" w:type="auto"/>
            <w:tcBorders>
              <w:top w:val="single" w:color="000000" w:sz="4" w:space="0"/>
              <w:left w:val="single" w:color="000000" w:sz="4" w:space="0"/>
              <w:bottom w:val="single" w:color="000000" w:sz="4" w:space="0"/>
              <w:right w:val="single" w:color="000000" w:sz="4" w:space="0"/>
            </w:tcBorders>
          </w:tcPr>
          <w:p w14:paraId="50994274">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Present assessments of certainty (or confidence) in the body of evidence for each outcome assessed.</w:t>
            </w:r>
          </w:p>
        </w:tc>
        <w:tc>
          <w:tcPr>
            <w:tcW w:w="0" w:type="auto"/>
            <w:tcBorders>
              <w:top w:val="single" w:color="000000" w:sz="4" w:space="0"/>
              <w:left w:val="single" w:color="000000" w:sz="4" w:space="0"/>
              <w:bottom w:val="single" w:color="000000" w:sz="4" w:space="0"/>
              <w:right w:val="single" w:color="000000" w:sz="4" w:space="0"/>
            </w:tcBorders>
          </w:tcPr>
          <w:p w14:paraId="278D7FA5">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Table 2</w:t>
            </w:r>
          </w:p>
        </w:tc>
      </w:tr>
      <w:tr w14:paraId="76436987">
        <w:trPr>
          <w:trHeight w:val="24" w:hRule="atLeast"/>
        </w:trPr>
        <w:tc>
          <w:tcPr>
            <w:tcW w:w="0" w:type="auto"/>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2111E6B">
            <w:pPr>
              <w:pStyle w:val="9"/>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 xml:space="preserve">DISCUSSION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7A002B72">
            <w:pPr>
              <w:pStyle w:val="9"/>
              <w:keepNext w:val="0"/>
              <w:keepLines w:val="0"/>
              <w:suppressLineNumbers w:val="0"/>
              <w:spacing w:before="0" w:beforeAutospacing="0" w:after="0" w:afterAutospacing="0"/>
              <w:ind w:left="0" w:right="0"/>
              <w:jc w:val="center"/>
              <w:rPr>
                <w:rFonts w:hint="default" w:ascii="Arial Regular" w:hAnsi="Arial Regular" w:cs="Arial Regular"/>
                <w:color w:val="auto"/>
                <w:sz w:val="18"/>
                <w:szCs w:val="18"/>
              </w:rPr>
            </w:pPr>
          </w:p>
        </w:tc>
      </w:tr>
      <w:tr w14:paraId="1DC3E707">
        <w:trPr>
          <w:trHeight w:val="48" w:hRule="atLeast"/>
        </w:trPr>
        <w:tc>
          <w:tcPr>
            <w:tcW w:w="0" w:type="auto"/>
            <w:vMerge w:val="restart"/>
            <w:tcBorders>
              <w:top w:val="single" w:color="000000" w:sz="4" w:space="0"/>
              <w:left w:val="single" w:color="000000" w:sz="4" w:space="0"/>
              <w:right w:val="single" w:color="000000" w:sz="4" w:space="0"/>
            </w:tcBorders>
          </w:tcPr>
          <w:p w14:paraId="3782EF06">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 xml:space="preserve">Discussion </w:t>
            </w:r>
          </w:p>
        </w:tc>
        <w:tc>
          <w:tcPr>
            <w:tcW w:w="0" w:type="auto"/>
            <w:tcBorders>
              <w:top w:val="single" w:color="000000" w:sz="4" w:space="0"/>
              <w:left w:val="single" w:color="000000" w:sz="4" w:space="0"/>
              <w:bottom w:val="single" w:color="000000" w:sz="4" w:space="0"/>
              <w:right w:val="single" w:color="000000" w:sz="4" w:space="0"/>
            </w:tcBorders>
          </w:tcPr>
          <w:p w14:paraId="6BE6CB28">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23a</w:t>
            </w:r>
          </w:p>
        </w:tc>
        <w:tc>
          <w:tcPr>
            <w:tcW w:w="0" w:type="auto"/>
            <w:tcBorders>
              <w:top w:val="single" w:color="000000" w:sz="4" w:space="0"/>
              <w:left w:val="single" w:color="000000" w:sz="4" w:space="0"/>
              <w:bottom w:val="single" w:color="000000" w:sz="4" w:space="0"/>
              <w:right w:val="single" w:color="000000" w:sz="4" w:space="0"/>
            </w:tcBorders>
          </w:tcPr>
          <w:p w14:paraId="5258F108">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Provide a general interpretation of the results in the context of other evidence.</w:t>
            </w:r>
          </w:p>
        </w:tc>
        <w:tc>
          <w:tcPr>
            <w:tcW w:w="0" w:type="auto"/>
            <w:tcBorders>
              <w:top w:val="single" w:color="000000" w:sz="4" w:space="0"/>
              <w:left w:val="single" w:color="000000" w:sz="4" w:space="0"/>
              <w:bottom w:val="single" w:color="000000" w:sz="4" w:space="0"/>
              <w:right w:val="single" w:color="000000" w:sz="4" w:space="0"/>
            </w:tcBorders>
          </w:tcPr>
          <w:p w14:paraId="21365838">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9</w:t>
            </w:r>
          </w:p>
        </w:tc>
      </w:tr>
      <w:tr w14:paraId="6FFC3EA3">
        <w:trPr>
          <w:trHeight w:val="48" w:hRule="atLeast"/>
        </w:trPr>
        <w:tc>
          <w:tcPr>
            <w:tcW w:w="0" w:type="auto"/>
            <w:vMerge w:val="continue"/>
            <w:tcBorders>
              <w:left w:val="single" w:color="000000" w:sz="4" w:space="0"/>
              <w:right w:val="single" w:color="000000" w:sz="4" w:space="0"/>
            </w:tcBorders>
          </w:tcPr>
          <w:p w14:paraId="7CA41016">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30CC6FF4">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23b</w:t>
            </w:r>
          </w:p>
        </w:tc>
        <w:tc>
          <w:tcPr>
            <w:tcW w:w="0" w:type="auto"/>
            <w:tcBorders>
              <w:top w:val="single" w:color="000000" w:sz="4" w:space="0"/>
              <w:left w:val="single" w:color="000000" w:sz="4" w:space="0"/>
              <w:bottom w:val="single" w:color="000000" w:sz="4" w:space="0"/>
              <w:right w:val="single" w:color="000000" w:sz="4" w:space="0"/>
            </w:tcBorders>
          </w:tcPr>
          <w:p w14:paraId="6860AF4F">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Discuss any limitations of the evidence included in the review.</w:t>
            </w:r>
          </w:p>
        </w:tc>
        <w:tc>
          <w:tcPr>
            <w:tcW w:w="0" w:type="auto"/>
            <w:tcBorders>
              <w:top w:val="single" w:color="000000" w:sz="4" w:space="0"/>
              <w:left w:val="single" w:color="000000" w:sz="4" w:space="0"/>
              <w:bottom w:val="single" w:color="000000" w:sz="4" w:space="0"/>
              <w:right w:val="single" w:color="000000" w:sz="4" w:space="0"/>
            </w:tcBorders>
          </w:tcPr>
          <w:p w14:paraId="40A91966">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10-11</w:t>
            </w:r>
          </w:p>
        </w:tc>
      </w:tr>
      <w:tr w14:paraId="2CAEC50F">
        <w:trPr>
          <w:trHeight w:val="48" w:hRule="atLeast"/>
        </w:trPr>
        <w:tc>
          <w:tcPr>
            <w:tcW w:w="0" w:type="auto"/>
            <w:vMerge w:val="continue"/>
            <w:tcBorders>
              <w:left w:val="single" w:color="000000" w:sz="4" w:space="0"/>
              <w:right w:val="single" w:color="000000" w:sz="4" w:space="0"/>
            </w:tcBorders>
          </w:tcPr>
          <w:p w14:paraId="22DC54D8">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000000" w:sz="4" w:space="0"/>
              <w:left w:val="single" w:color="000000" w:sz="4" w:space="0"/>
              <w:bottom w:val="single" w:color="auto" w:sz="4" w:space="0"/>
              <w:right w:val="single" w:color="000000" w:sz="4" w:space="0"/>
            </w:tcBorders>
          </w:tcPr>
          <w:p w14:paraId="13844FC2">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23c</w:t>
            </w:r>
          </w:p>
        </w:tc>
        <w:tc>
          <w:tcPr>
            <w:tcW w:w="0" w:type="auto"/>
            <w:tcBorders>
              <w:top w:val="single" w:color="000000" w:sz="4" w:space="0"/>
              <w:left w:val="single" w:color="000000" w:sz="4" w:space="0"/>
              <w:bottom w:val="single" w:color="000000" w:sz="4" w:space="0"/>
              <w:right w:val="single" w:color="000000" w:sz="4" w:space="0"/>
            </w:tcBorders>
          </w:tcPr>
          <w:p w14:paraId="3BCBC74C">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Discuss any limitations of the review processes used.</w:t>
            </w:r>
          </w:p>
        </w:tc>
        <w:tc>
          <w:tcPr>
            <w:tcW w:w="0" w:type="auto"/>
            <w:tcBorders>
              <w:top w:val="single" w:color="000000" w:sz="4" w:space="0"/>
              <w:left w:val="single" w:color="000000" w:sz="4" w:space="0"/>
              <w:bottom w:val="single" w:color="000000" w:sz="4" w:space="0"/>
              <w:right w:val="single" w:color="000000" w:sz="4" w:space="0"/>
            </w:tcBorders>
          </w:tcPr>
          <w:p w14:paraId="131C1F56">
            <w:pPr>
              <w:pStyle w:val="9"/>
              <w:keepNext w:val="0"/>
              <w:keepLines w:val="0"/>
              <w:suppressLineNumbers w:val="0"/>
              <w:tabs>
                <w:tab w:val="left" w:pos="409"/>
              </w:tabs>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12</w:t>
            </w:r>
          </w:p>
        </w:tc>
      </w:tr>
      <w:tr w14:paraId="7CADF4B7">
        <w:trPr>
          <w:trHeight w:val="48" w:hRule="atLeast"/>
        </w:trPr>
        <w:tc>
          <w:tcPr>
            <w:tcW w:w="0" w:type="auto"/>
            <w:vMerge w:val="continue"/>
            <w:tcBorders>
              <w:left w:val="single" w:color="000000" w:sz="4" w:space="0"/>
              <w:bottom w:val="single" w:color="auto" w:sz="4" w:space="0"/>
              <w:right w:val="single" w:color="000000" w:sz="4" w:space="0"/>
            </w:tcBorders>
          </w:tcPr>
          <w:p w14:paraId="5C9566E2">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auto" w:sz="4" w:space="0"/>
              <w:left w:val="single" w:color="000000" w:sz="4" w:space="0"/>
              <w:bottom w:val="single" w:color="auto" w:sz="4" w:space="0"/>
              <w:right w:val="single" w:color="auto" w:sz="4" w:space="0"/>
            </w:tcBorders>
          </w:tcPr>
          <w:p w14:paraId="66FA5436">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23d</w:t>
            </w:r>
          </w:p>
        </w:tc>
        <w:tc>
          <w:tcPr>
            <w:tcW w:w="0" w:type="auto"/>
            <w:tcBorders>
              <w:top w:val="single" w:color="000000" w:sz="4" w:space="0"/>
              <w:left w:val="single" w:color="auto" w:sz="4" w:space="0"/>
              <w:bottom w:val="double" w:color="000000" w:sz="4" w:space="0"/>
              <w:right w:val="single" w:color="000000" w:sz="4" w:space="0"/>
            </w:tcBorders>
          </w:tcPr>
          <w:p w14:paraId="009916C0">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Discuss implications of the results for practice, policy, and future research.</w:t>
            </w:r>
          </w:p>
        </w:tc>
        <w:tc>
          <w:tcPr>
            <w:tcW w:w="0" w:type="auto"/>
            <w:tcBorders>
              <w:top w:val="single" w:color="000000" w:sz="4" w:space="0"/>
              <w:left w:val="single" w:color="000000" w:sz="4" w:space="0"/>
              <w:bottom w:val="double" w:color="000000" w:sz="4" w:space="0"/>
              <w:right w:val="single" w:color="000000" w:sz="4" w:space="0"/>
            </w:tcBorders>
          </w:tcPr>
          <w:p w14:paraId="59262736">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12-13</w:t>
            </w:r>
          </w:p>
        </w:tc>
      </w:tr>
      <w:tr w14:paraId="5591BFB0">
        <w:trPr>
          <w:trHeight w:val="24" w:hRule="atLeast"/>
        </w:trPr>
        <w:tc>
          <w:tcPr>
            <w:tcW w:w="0" w:type="auto"/>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1FF8AD3">
            <w:pPr>
              <w:pStyle w:val="9"/>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OTHER INFORMATION</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2996C5F7">
            <w:pPr>
              <w:pStyle w:val="9"/>
              <w:keepNext w:val="0"/>
              <w:keepLines w:val="0"/>
              <w:suppressLineNumbers w:val="0"/>
              <w:spacing w:before="0" w:beforeAutospacing="0" w:after="0" w:afterAutospacing="0"/>
              <w:ind w:left="0" w:right="0"/>
              <w:jc w:val="center"/>
              <w:rPr>
                <w:rFonts w:hint="default" w:ascii="Arial Regular" w:hAnsi="Arial Regular" w:cs="Arial Regular"/>
                <w:color w:val="auto"/>
                <w:sz w:val="18"/>
                <w:szCs w:val="18"/>
              </w:rPr>
            </w:pPr>
          </w:p>
        </w:tc>
      </w:tr>
      <w:tr w14:paraId="6B787F7B">
        <w:trPr>
          <w:trHeight w:val="48" w:hRule="atLeast"/>
        </w:trPr>
        <w:tc>
          <w:tcPr>
            <w:tcW w:w="0" w:type="auto"/>
            <w:vMerge w:val="restart"/>
            <w:tcBorders>
              <w:top w:val="single" w:color="000000" w:sz="4" w:space="0"/>
              <w:left w:val="single" w:color="000000" w:sz="4" w:space="0"/>
              <w:right w:val="single" w:color="000000" w:sz="4" w:space="0"/>
            </w:tcBorders>
          </w:tcPr>
          <w:p w14:paraId="6B4303A5">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Registration and protocol</w:t>
            </w:r>
          </w:p>
        </w:tc>
        <w:tc>
          <w:tcPr>
            <w:tcW w:w="0" w:type="auto"/>
            <w:tcBorders>
              <w:top w:val="single" w:color="000000" w:sz="4" w:space="0"/>
              <w:left w:val="single" w:color="000000" w:sz="4" w:space="0"/>
              <w:bottom w:val="single" w:color="000000" w:sz="4" w:space="0"/>
              <w:right w:val="single" w:color="000000" w:sz="4" w:space="0"/>
            </w:tcBorders>
          </w:tcPr>
          <w:p w14:paraId="63E9D60A">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24a</w:t>
            </w:r>
          </w:p>
        </w:tc>
        <w:tc>
          <w:tcPr>
            <w:tcW w:w="0" w:type="auto"/>
            <w:tcBorders>
              <w:top w:val="single" w:color="000000" w:sz="4" w:space="0"/>
              <w:left w:val="single" w:color="000000" w:sz="4" w:space="0"/>
              <w:bottom w:val="single" w:color="000000" w:sz="4" w:space="0"/>
              <w:right w:val="single" w:color="000000" w:sz="4" w:space="0"/>
            </w:tcBorders>
          </w:tcPr>
          <w:p w14:paraId="091C22E8">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Provide registration information for the review, including register name and registration number, or state that the review was not registered.</w:t>
            </w:r>
          </w:p>
        </w:tc>
        <w:tc>
          <w:tcPr>
            <w:tcW w:w="0" w:type="auto"/>
            <w:tcBorders>
              <w:top w:val="single" w:color="000000" w:sz="4" w:space="0"/>
              <w:left w:val="single" w:color="000000" w:sz="4" w:space="0"/>
              <w:bottom w:val="single" w:color="000000" w:sz="4" w:space="0"/>
              <w:right w:val="single" w:color="000000" w:sz="4" w:space="0"/>
            </w:tcBorders>
          </w:tcPr>
          <w:p w14:paraId="21B0EDD7">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2</w:t>
            </w:r>
          </w:p>
        </w:tc>
      </w:tr>
      <w:tr w14:paraId="28E7D418">
        <w:trPr>
          <w:trHeight w:val="369" w:hRule="atLeast"/>
        </w:trPr>
        <w:tc>
          <w:tcPr>
            <w:tcW w:w="0" w:type="auto"/>
            <w:vMerge w:val="continue"/>
            <w:tcBorders>
              <w:left w:val="single" w:color="000000" w:sz="4" w:space="0"/>
              <w:right w:val="single" w:color="000000" w:sz="4" w:space="0"/>
            </w:tcBorders>
          </w:tcPr>
          <w:p w14:paraId="231743A0">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28EF469B">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24b</w:t>
            </w:r>
          </w:p>
        </w:tc>
        <w:tc>
          <w:tcPr>
            <w:tcW w:w="0" w:type="auto"/>
            <w:tcBorders>
              <w:top w:val="single" w:color="000000" w:sz="4" w:space="0"/>
              <w:left w:val="single" w:color="000000" w:sz="4" w:space="0"/>
              <w:bottom w:val="single" w:color="000000" w:sz="4" w:space="0"/>
              <w:right w:val="single" w:color="000000" w:sz="4" w:space="0"/>
            </w:tcBorders>
          </w:tcPr>
          <w:p w14:paraId="5CB468D3">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Indicate where the review protocol can be accessed, or state that a protocol was not prepared.</w:t>
            </w:r>
          </w:p>
        </w:tc>
        <w:tc>
          <w:tcPr>
            <w:tcW w:w="0" w:type="auto"/>
            <w:tcBorders>
              <w:top w:val="single" w:color="000000" w:sz="4" w:space="0"/>
              <w:left w:val="single" w:color="000000" w:sz="4" w:space="0"/>
              <w:bottom w:val="single" w:color="000000" w:sz="4" w:space="0"/>
              <w:right w:val="single" w:color="000000" w:sz="4" w:space="0"/>
            </w:tcBorders>
          </w:tcPr>
          <w:p w14:paraId="29B42968">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2</w:t>
            </w:r>
          </w:p>
        </w:tc>
      </w:tr>
      <w:tr w14:paraId="6DA818CA">
        <w:trPr>
          <w:trHeight w:val="48" w:hRule="atLeast"/>
        </w:trPr>
        <w:tc>
          <w:tcPr>
            <w:tcW w:w="0" w:type="auto"/>
            <w:vMerge w:val="continue"/>
            <w:tcBorders>
              <w:left w:val="single" w:color="000000" w:sz="4" w:space="0"/>
              <w:bottom w:val="single" w:color="000000" w:sz="4" w:space="0"/>
              <w:right w:val="single" w:color="000000" w:sz="4" w:space="0"/>
            </w:tcBorders>
          </w:tcPr>
          <w:p w14:paraId="5694D584">
            <w:pPr>
              <w:pStyle w:val="9"/>
              <w:keepNext w:val="0"/>
              <w:keepLines w:val="0"/>
              <w:suppressLineNumbers w:val="0"/>
              <w:spacing w:before="40" w:beforeAutospacing="0" w:after="40" w:afterAutospacing="0"/>
              <w:ind w:left="0" w:right="0"/>
              <w:rPr>
                <w:rFonts w:hint="default"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5001C3F2">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24c</w:t>
            </w:r>
          </w:p>
        </w:tc>
        <w:tc>
          <w:tcPr>
            <w:tcW w:w="0" w:type="auto"/>
            <w:tcBorders>
              <w:top w:val="single" w:color="000000" w:sz="4" w:space="0"/>
              <w:left w:val="single" w:color="000000" w:sz="4" w:space="0"/>
              <w:bottom w:val="single" w:color="000000" w:sz="4" w:space="0"/>
              <w:right w:val="single" w:color="000000" w:sz="4" w:space="0"/>
            </w:tcBorders>
          </w:tcPr>
          <w:p w14:paraId="2BB86040">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and explain any amendments to information provided at registration or in the protocol.</w:t>
            </w:r>
          </w:p>
        </w:tc>
        <w:tc>
          <w:tcPr>
            <w:tcW w:w="0" w:type="auto"/>
            <w:tcBorders>
              <w:top w:val="single" w:color="000000" w:sz="4" w:space="0"/>
              <w:left w:val="single" w:color="000000" w:sz="4" w:space="0"/>
              <w:bottom w:val="single" w:color="000000" w:sz="4" w:space="0"/>
              <w:right w:val="single" w:color="000000" w:sz="4" w:space="0"/>
            </w:tcBorders>
          </w:tcPr>
          <w:p w14:paraId="20D79766">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None</w:t>
            </w:r>
          </w:p>
        </w:tc>
      </w:tr>
      <w:tr w14:paraId="7425E41D">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5446E0AB">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Support</w:t>
            </w:r>
          </w:p>
        </w:tc>
        <w:tc>
          <w:tcPr>
            <w:tcW w:w="0" w:type="auto"/>
            <w:tcBorders>
              <w:top w:val="single" w:color="000000" w:sz="4" w:space="0"/>
              <w:left w:val="single" w:color="000000" w:sz="4" w:space="0"/>
              <w:bottom w:val="single" w:color="000000" w:sz="4" w:space="0"/>
              <w:right w:val="single" w:color="000000" w:sz="4" w:space="0"/>
            </w:tcBorders>
          </w:tcPr>
          <w:p w14:paraId="7A27134F">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25</w:t>
            </w:r>
          </w:p>
        </w:tc>
        <w:tc>
          <w:tcPr>
            <w:tcW w:w="0" w:type="auto"/>
            <w:tcBorders>
              <w:top w:val="single" w:color="000000" w:sz="4" w:space="0"/>
              <w:left w:val="single" w:color="000000" w:sz="4" w:space="0"/>
              <w:bottom w:val="single" w:color="000000" w:sz="4" w:space="0"/>
              <w:right w:val="single" w:color="000000" w:sz="4" w:space="0"/>
            </w:tcBorders>
          </w:tcPr>
          <w:p w14:paraId="665BBA0A">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Describe sources of financial or non-financial support for the review, and the role of the funders or sponsors in the review.</w:t>
            </w:r>
          </w:p>
        </w:tc>
        <w:tc>
          <w:tcPr>
            <w:tcW w:w="0" w:type="auto"/>
            <w:tcBorders>
              <w:top w:val="single" w:color="000000" w:sz="4" w:space="0"/>
              <w:left w:val="single" w:color="000000" w:sz="4" w:space="0"/>
              <w:bottom w:val="single" w:color="000000" w:sz="4" w:space="0"/>
              <w:right w:val="single" w:color="000000" w:sz="4" w:space="0"/>
            </w:tcBorders>
          </w:tcPr>
          <w:p w14:paraId="156DBF08">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1</w:t>
            </w:r>
            <w:r>
              <w:rPr>
                <w:rFonts w:hint="eastAsia" w:ascii="Arial Regular" w:hAnsi="Arial Regular" w:eastAsia="宋体" w:cs="Arial Regular"/>
                <w:color w:val="auto"/>
                <w:sz w:val="18"/>
                <w:szCs w:val="18"/>
                <w:lang w:val="en-US" w:eastAsia="zh-CN"/>
              </w:rPr>
              <w:t>5</w:t>
            </w:r>
          </w:p>
        </w:tc>
      </w:tr>
      <w:tr w14:paraId="087374B9">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322C12FD">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Competing interests</w:t>
            </w:r>
          </w:p>
        </w:tc>
        <w:tc>
          <w:tcPr>
            <w:tcW w:w="0" w:type="auto"/>
            <w:tcBorders>
              <w:top w:val="single" w:color="000000" w:sz="4" w:space="0"/>
              <w:left w:val="single" w:color="000000" w:sz="4" w:space="0"/>
              <w:bottom w:val="single" w:color="000000" w:sz="4" w:space="0"/>
              <w:right w:val="single" w:color="000000" w:sz="4" w:space="0"/>
            </w:tcBorders>
          </w:tcPr>
          <w:p w14:paraId="2D960B03">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26</w:t>
            </w:r>
          </w:p>
        </w:tc>
        <w:tc>
          <w:tcPr>
            <w:tcW w:w="0" w:type="auto"/>
            <w:tcBorders>
              <w:top w:val="single" w:color="000000" w:sz="4" w:space="0"/>
              <w:left w:val="single" w:color="000000" w:sz="4" w:space="0"/>
              <w:bottom w:val="single" w:color="000000" w:sz="4" w:space="0"/>
              <w:right w:val="single" w:color="000000" w:sz="4" w:space="0"/>
            </w:tcBorders>
          </w:tcPr>
          <w:p w14:paraId="5BD9EEE9">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Declare any competing interests of review authors.</w:t>
            </w:r>
          </w:p>
        </w:tc>
        <w:tc>
          <w:tcPr>
            <w:tcW w:w="0" w:type="auto"/>
            <w:tcBorders>
              <w:top w:val="single" w:color="000000" w:sz="4" w:space="0"/>
              <w:left w:val="single" w:color="000000" w:sz="4" w:space="0"/>
              <w:bottom w:val="single" w:color="000000" w:sz="4" w:space="0"/>
              <w:right w:val="single" w:color="000000" w:sz="4" w:space="0"/>
            </w:tcBorders>
          </w:tcPr>
          <w:p w14:paraId="62ACE682">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1</w:t>
            </w:r>
            <w:r>
              <w:rPr>
                <w:rFonts w:hint="eastAsia" w:ascii="Arial Regular" w:hAnsi="Arial Regular" w:eastAsia="宋体" w:cs="Arial Regular"/>
                <w:color w:val="auto"/>
                <w:sz w:val="18"/>
                <w:szCs w:val="18"/>
                <w:lang w:val="en-US" w:eastAsia="zh-CN"/>
              </w:rPr>
              <w:t>5</w:t>
            </w:r>
          </w:p>
        </w:tc>
      </w:tr>
      <w:tr w14:paraId="2749F06E">
        <w:trPr>
          <w:trHeight w:val="219" w:hRule="atLeast"/>
        </w:trPr>
        <w:tc>
          <w:tcPr>
            <w:tcW w:w="0" w:type="auto"/>
            <w:tcBorders>
              <w:top w:val="single" w:color="000000" w:sz="4" w:space="0"/>
              <w:left w:val="single" w:color="000000" w:sz="4" w:space="0"/>
              <w:bottom w:val="double" w:color="000000" w:sz="4" w:space="0"/>
              <w:right w:val="single" w:color="000000" w:sz="4" w:space="0"/>
            </w:tcBorders>
          </w:tcPr>
          <w:p w14:paraId="3973F3F6">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Availability of data, code and other materials</w:t>
            </w:r>
          </w:p>
        </w:tc>
        <w:tc>
          <w:tcPr>
            <w:tcW w:w="0" w:type="auto"/>
            <w:tcBorders>
              <w:top w:val="single" w:color="000000" w:sz="4" w:space="0"/>
              <w:left w:val="single" w:color="000000" w:sz="4" w:space="0"/>
              <w:bottom w:val="double" w:color="000000" w:sz="4" w:space="0"/>
              <w:right w:val="single" w:color="000000" w:sz="4" w:space="0"/>
            </w:tcBorders>
          </w:tcPr>
          <w:p w14:paraId="1304F213">
            <w:pPr>
              <w:pStyle w:val="9"/>
              <w:keepNext w:val="0"/>
              <w:keepLines w:val="0"/>
              <w:suppressLineNumbers w:val="0"/>
              <w:spacing w:before="40" w:beforeAutospacing="0" w:after="40" w:afterAutospacing="0"/>
              <w:ind w:left="0" w:right="0"/>
              <w:jc w:val="right"/>
              <w:rPr>
                <w:rFonts w:hint="default" w:ascii="Arial" w:hAnsi="Arial" w:cs="Arial"/>
                <w:sz w:val="18"/>
                <w:szCs w:val="18"/>
              </w:rPr>
            </w:pPr>
            <w:r>
              <w:rPr>
                <w:rFonts w:hint="default" w:ascii="Arial" w:hAnsi="Arial" w:cs="Arial"/>
                <w:sz w:val="18"/>
                <w:szCs w:val="18"/>
              </w:rPr>
              <w:t>27</w:t>
            </w:r>
          </w:p>
        </w:tc>
        <w:tc>
          <w:tcPr>
            <w:tcW w:w="0" w:type="auto"/>
            <w:tcBorders>
              <w:top w:val="single" w:color="000000" w:sz="4" w:space="0"/>
              <w:left w:val="single" w:color="000000" w:sz="4" w:space="0"/>
              <w:bottom w:val="double" w:color="000000" w:sz="4" w:space="0"/>
              <w:right w:val="single" w:color="000000" w:sz="4" w:space="0"/>
            </w:tcBorders>
          </w:tcPr>
          <w:p w14:paraId="5382D631">
            <w:pPr>
              <w:pStyle w:val="9"/>
              <w:keepNext w:val="0"/>
              <w:keepLines w:val="0"/>
              <w:suppressLineNumbers w:val="0"/>
              <w:spacing w:before="40" w:beforeAutospacing="0" w:after="40" w:afterAutospacing="0"/>
              <w:ind w:left="0" w:right="0"/>
              <w:rPr>
                <w:rFonts w:hint="default" w:ascii="Arial" w:hAnsi="Arial" w:cs="Arial"/>
                <w:sz w:val="18"/>
                <w:szCs w:val="18"/>
              </w:rPr>
            </w:pPr>
            <w:r>
              <w:rPr>
                <w:rFonts w:hint="default"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top w:val="single" w:color="000000" w:sz="4" w:space="0"/>
              <w:left w:val="single" w:color="000000" w:sz="4" w:space="0"/>
              <w:bottom w:val="double" w:color="000000" w:sz="4" w:space="0"/>
              <w:right w:val="single" w:color="000000" w:sz="4" w:space="0"/>
            </w:tcBorders>
          </w:tcPr>
          <w:p w14:paraId="13E43CDF">
            <w:pPr>
              <w:pStyle w:val="9"/>
              <w:keepNext w:val="0"/>
              <w:keepLines w:val="0"/>
              <w:suppressLineNumbers w:val="0"/>
              <w:spacing w:before="40" w:beforeAutospacing="0" w:after="40" w:afterAutospacing="0"/>
              <w:ind w:left="0" w:right="0"/>
              <w:rPr>
                <w:rFonts w:hint="default" w:ascii="Arial Regular" w:hAnsi="Arial Regular" w:eastAsia="宋体" w:cs="Arial Regular"/>
                <w:color w:val="auto"/>
                <w:sz w:val="18"/>
                <w:szCs w:val="18"/>
                <w:lang w:val="en-US" w:eastAsia="zh-CN"/>
              </w:rPr>
            </w:pPr>
            <w:r>
              <w:rPr>
                <w:rFonts w:hint="default" w:ascii="Arial Regular" w:hAnsi="Arial Regular" w:eastAsia="宋体" w:cs="Arial Regular"/>
                <w:color w:val="auto"/>
                <w:sz w:val="18"/>
                <w:szCs w:val="18"/>
                <w:lang w:val="en-US" w:eastAsia="zh-CN"/>
              </w:rPr>
              <w:t>1</w:t>
            </w:r>
            <w:r>
              <w:rPr>
                <w:rFonts w:hint="eastAsia" w:ascii="Arial Regular" w:hAnsi="Arial Regular" w:eastAsia="宋体" w:cs="Arial Regular"/>
                <w:color w:val="auto"/>
                <w:sz w:val="18"/>
                <w:szCs w:val="18"/>
                <w:lang w:val="en-US" w:eastAsia="zh-CN"/>
              </w:rPr>
              <w:t>5</w:t>
            </w:r>
          </w:p>
        </w:tc>
      </w:tr>
    </w:tbl>
    <w:p w14:paraId="33F1E57A">
      <w:pPr>
        <w:sectPr>
          <w:pgSz w:w="11906" w:h="16838"/>
          <w:pgMar w:top="1440" w:right="1800" w:bottom="1440" w:left="1800" w:header="851" w:footer="992" w:gutter="0"/>
          <w:cols w:space="425" w:num="1"/>
          <w:docGrid w:type="lines" w:linePitch="312" w:charSpace="0"/>
        </w:sectPr>
      </w:pPr>
    </w:p>
    <w:p w14:paraId="35928DBA"/>
    <w:tbl>
      <w:tblPr>
        <w:tblStyle w:val="4"/>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142C7A7F">
        <w:trPr>
          <w:trHeight w:val="3017" w:hRule="atLeast"/>
        </w:trPr>
        <w:tc>
          <w:tcPr>
            <w:tcW w:w="8522" w:type="dxa"/>
          </w:tcPr>
          <w:p w14:paraId="0564CFA5">
            <w:pPr>
              <w:keepNext w:val="0"/>
              <w:keepLines w:val="0"/>
              <w:suppressLineNumbers w:val="0"/>
              <w:spacing w:before="0" w:beforeAutospacing="0" w:after="0" w:afterAutospacing="0"/>
              <w:ind w:left="0" w:right="0"/>
              <w:rPr>
                <w:rFonts w:hint="eastAsia" w:eastAsiaTheme="minorEastAsia"/>
                <w:lang w:eastAsia="zh-CN"/>
              </w:rPr>
            </w:pPr>
            <w:r>
              <w:rPr>
                <w:rFonts w:hint="eastAsia" w:eastAsiaTheme="minorEastAsia"/>
                <w:lang w:eastAsia="zh-CN"/>
              </w:rPr>
              <w:drawing>
                <wp:inline distT="0" distB="0" distL="114300" distR="114300">
                  <wp:extent cx="5271770" cy="3514725"/>
                  <wp:effectExtent l="0" t="0" r="11430" b="15875"/>
                  <wp:docPr id="1" name="图片 1" descr="Figure1 sensitivity analysis for 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1 sensitivity analysis for Hb"/>
                          <pic:cNvPicPr>
                            <a:picLocks noChangeAspect="1"/>
                          </pic:cNvPicPr>
                        </pic:nvPicPr>
                        <pic:blipFill>
                          <a:blip r:embed="rId4"/>
                          <a:stretch>
                            <a:fillRect/>
                          </a:stretch>
                        </pic:blipFill>
                        <pic:spPr>
                          <a:xfrm>
                            <a:off x="0" y="0"/>
                            <a:ext cx="5271770" cy="3514725"/>
                          </a:xfrm>
                          <a:prstGeom prst="rect">
                            <a:avLst/>
                          </a:prstGeom>
                        </pic:spPr>
                      </pic:pic>
                    </a:graphicData>
                  </a:graphic>
                </wp:inline>
              </w:drawing>
            </w:r>
          </w:p>
        </w:tc>
      </w:tr>
    </w:tbl>
    <w:p w14:paraId="1E068D48"/>
    <w:p w14:paraId="378B649E">
      <w:pPr>
        <w:jc w:val="center"/>
        <w:rPr>
          <w:rFonts w:hint="eastAsia" w:ascii="Times New Roman" w:hAnsi="Times New Roman" w:cs="Times New Roman" w:eastAsiaTheme="minorEastAsia"/>
          <w:sz w:val="30"/>
          <w:szCs w:val="30"/>
          <w:lang w:val="en-US" w:eastAsia="zh-CN"/>
        </w:rPr>
      </w:pPr>
      <w:r>
        <w:rPr>
          <w:sz w:val="30"/>
          <w:szCs w:val="30"/>
        </w:rPr>
        <w:tab/>
      </w:r>
      <w:r>
        <w:rPr>
          <w:rFonts w:ascii="Times New Roman" w:hAnsi="Times New Roman" w:cs="Times New Roman"/>
          <w:sz w:val="30"/>
          <w:szCs w:val="30"/>
        </w:rPr>
        <w:t>Fig</w:t>
      </w:r>
      <w:r>
        <w:rPr>
          <w:rFonts w:hint="eastAsia" w:ascii="Times New Roman" w:hAnsi="Times New Roman" w:cs="Times New Roman"/>
          <w:sz w:val="30"/>
          <w:szCs w:val="30"/>
        </w:rPr>
        <w:t>ure</w:t>
      </w:r>
      <w:r>
        <w:rPr>
          <w:rFonts w:ascii="Times New Roman" w:hAnsi="Times New Roman" w:cs="Times New Roman"/>
          <w:sz w:val="30"/>
          <w:szCs w:val="30"/>
        </w:rPr>
        <w:t xml:space="preserve">1 sensitivity analysis for </w:t>
      </w:r>
      <w:r>
        <w:rPr>
          <w:rFonts w:hint="eastAsia" w:ascii="Times New Roman" w:hAnsi="Times New Roman" w:cs="Times New Roman"/>
          <w:sz w:val="30"/>
          <w:szCs w:val="30"/>
          <w:lang w:val="en-US" w:eastAsia="zh-CN"/>
        </w:rPr>
        <w:t>Hb</w:t>
      </w:r>
    </w:p>
    <w:p w14:paraId="678E6A79"/>
    <w:tbl>
      <w:tblPr>
        <w:tblStyle w:val="4"/>
        <w:tblW w:w="97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45"/>
      </w:tblGrid>
      <w:tr w14:paraId="056632CD">
        <w:trPr>
          <w:trHeight w:val="2971" w:hRule="atLeast"/>
        </w:trPr>
        <w:tc>
          <w:tcPr>
            <w:tcW w:w="9745" w:type="dxa"/>
          </w:tcPr>
          <w:p w14:paraId="1AA7B578">
            <w:pPr>
              <w:keepNext w:val="0"/>
              <w:keepLines w:val="0"/>
              <w:suppressLineNumbers w:val="0"/>
              <w:spacing w:before="0" w:beforeAutospacing="0" w:after="0" w:afterAutospacing="0"/>
              <w:ind w:left="0" w:right="0"/>
              <w:rPr>
                <w:rFonts w:hint="eastAsia" w:eastAsiaTheme="minorEastAsia"/>
                <w:lang w:eastAsia="zh-CN"/>
              </w:rPr>
            </w:pPr>
            <w:r>
              <w:rPr>
                <w:rFonts w:hint="eastAsia" w:eastAsiaTheme="minorEastAsia"/>
                <w:lang w:eastAsia="zh-CN"/>
              </w:rPr>
              <w:drawing>
                <wp:inline distT="0" distB="0" distL="114300" distR="114300">
                  <wp:extent cx="5377815" cy="3609340"/>
                  <wp:effectExtent l="0" t="0" r="6985" b="22860"/>
                  <wp:docPr id="2" name="图片 2" descr="Figure 2 eggerg’s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2 eggerg’s test"/>
                          <pic:cNvPicPr>
                            <a:picLocks noChangeAspect="1"/>
                          </pic:cNvPicPr>
                        </pic:nvPicPr>
                        <pic:blipFill>
                          <a:blip r:embed="rId5"/>
                          <a:stretch>
                            <a:fillRect/>
                          </a:stretch>
                        </pic:blipFill>
                        <pic:spPr>
                          <a:xfrm>
                            <a:off x="0" y="0"/>
                            <a:ext cx="5377815" cy="3609340"/>
                          </a:xfrm>
                          <a:prstGeom prst="rect">
                            <a:avLst/>
                          </a:prstGeom>
                        </pic:spPr>
                      </pic:pic>
                    </a:graphicData>
                  </a:graphic>
                </wp:inline>
              </w:drawing>
            </w:r>
          </w:p>
        </w:tc>
      </w:tr>
    </w:tbl>
    <w:p w14:paraId="61DCED55"/>
    <w:p w14:paraId="4B6A92DE">
      <w:pPr>
        <w:jc w:val="center"/>
        <w:rPr>
          <w:rFonts w:hint="eastAsia" w:ascii="Times New Roman" w:hAnsi="Times New Roman" w:cs="Times New Roman"/>
          <w:sz w:val="30"/>
          <w:szCs w:val="30"/>
        </w:rPr>
      </w:pPr>
      <w:r>
        <w:rPr>
          <w:rFonts w:hint="eastAsia" w:ascii="Times New Roman" w:hAnsi="Times New Roman" w:cs="Times New Roman"/>
          <w:sz w:val="30"/>
          <w:szCs w:val="30"/>
        </w:rPr>
        <w:t>Figure 2 eggerg’s</w:t>
      </w:r>
      <w:r>
        <w:rPr>
          <w:rFonts w:hint="eastAsia" w:ascii="Times New Roman" w:hAnsi="Times New Roman" w:cs="Times New Roman"/>
          <w:sz w:val="30"/>
          <w:szCs w:val="30"/>
          <w:lang w:val="en-US" w:eastAsia="zh-CN"/>
        </w:rPr>
        <w:t xml:space="preserve"> test</w:t>
      </w:r>
      <w:r>
        <w:rPr>
          <w:rFonts w:hint="eastAsia" w:ascii="Times New Roman" w:hAnsi="Times New Roman" w:cs="Times New Roman"/>
          <w:sz w:val="30"/>
          <w:szCs w:val="30"/>
        </w:rPr>
        <w:t xml:space="preserve"> </w:t>
      </w:r>
    </w:p>
    <w:p w14:paraId="0447EF9C">
      <w:pPr>
        <w:jc w:val="center"/>
        <w:rPr>
          <w:rFonts w:hint="eastAsia"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drawing>
          <wp:inline distT="0" distB="0" distL="114300" distR="114300">
            <wp:extent cx="5379720" cy="2040890"/>
            <wp:effectExtent l="0" t="0" r="5080" b="16510"/>
            <wp:docPr id="3" name="图片 3" descr="Figure 3 Bggerg’s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3 Bggerg’s test"/>
                    <pic:cNvPicPr>
                      <a:picLocks noChangeAspect="1"/>
                    </pic:cNvPicPr>
                  </pic:nvPicPr>
                  <pic:blipFill>
                    <a:blip r:embed="rId6"/>
                    <a:stretch>
                      <a:fillRect/>
                    </a:stretch>
                  </pic:blipFill>
                  <pic:spPr>
                    <a:xfrm>
                      <a:off x="0" y="0"/>
                      <a:ext cx="5379720" cy="2040890"/>
                    </a:xfrm>
                    <a:prstGeom prst="rect">
                      <a:avLst/>
                    </a:prstGeom>
                  </pic:spPr>
                </pic:pic>
              </a:graphicData>
            </a:graphic>
          </wp:inline>
        </w:drawing>
      </w:r>
    </w:p>
    <w:p w14:paraId="14D82AA3">
      <w:pPr>
        <w:jc w:val="center"/>
        <w:rPr>
          <w:rFonts w:ascii="Times New Roman" w:hAnsi="Times New Roman" w:cs="Times New Roman"/>
          <w:sz w:val="30"/>
          <w:szCs w:val="30"/>
        </w:rPr>
      </w:pPr>
      <w:r>
        <w:rPr>
          <w:rFonts w:ascii="Times New Roman" w:hAnsi="Times New Roman" w:cs="Times New Roman"/>
          <w:sz w:val="30"/>
          <w:szCs w:val="30"/>
        </w:rPr>
        <w:t>Fig</w:t>
      </w:r>
      <w:r>
        <w:rPr>
          <w:rFonts w:hint="eastAsia" w:ascii="Times New Roman" w:hAnsi="Times New Roman" w:cs="Times New Roman"/>
          <w:sz w:val="30"/>
          <w:szCs w:val="30"/>
        </w:rPr>
        <w:t>ure</w:t>
      </w:r>
      <w:r>
        <w:rPr>
          <w:rFonts w:ascii="Times New Roman" w:hAnsi="Times New Roman" w:cs="Times New Roman"/>
          <w:sz w:val="30"/>
          <w:szCs w:val="30"/>
        </w:rPr>
        <w:t xml:space="preserve"> 3 </w:t>
      </w:r>
      <w:r>
        <w:rPr>
          <w:rFonts w:hint="eastAsia" w:ascii="Times New Roman" w:hAnsi="Times New Roman" w:cs="Times New Roman"/>
          <w:sz w:val="30"/>
          <w:szCs w:val="30"/>
          <w:lang w:val="en-US" w:eastAsia="zh-CN"/>
        </w:rPr>
        <w:t>b</w:t>
      </w:r>
      <w:r>
        <w:rPr>
          <w:rFonts w:ascii="Times New Roman" w:hAnsi="Times New Roman" w:cs="Times New Roman"/>
          <w:sz w:val="30"/>
          <w:szCs w:val="30"/>
        </w:rPr>
        <w:t>gge</w:t>
      </w:r>
      <w:r>
        <w:rPr>
          <w:rFonts w:ascii="Times New Roman" w:hAnsi="Times New Roman" w:cs="Times New Roman"/>
          <w:sz w:val="30"/>
          <w:szCs w:val="30"/>
          <w:vertAlign w:val="superscript"/>
        </w:rPr>
        <w:t>’</w:t>
      </w:r>
      <w:r>
        <w:rPr>
          <w:rFonts w:ascii="Times New Roman" w:hAnsi="Times New Roman" w:cs="Times New Roman"/>
          <w:sz w:val="30"/>
          <w:szCs w:val="30"/>
        </w:rPr>
        <w:t>s test</w:t>
      </w:r>
    </w:p>
    <w:p w14:paraId="2D63759E"/>
    <w:p w14:paraId="1466AC28">
      <w:pPr>
        <w:rPr>
          <w:rFonts w:hint="eastAsia" w:eastAsiaTheme="minorEastAsia"/>
          <w:lang w:eastAsia="zh-CN"/>
        </w:rPr>
      </w:pPr>
      <w:r>
        <w:rPr>
          <w:rFonts w:hint="eastAsia" w:eastAsiaTheme="minorEastAsia"/>
          <w:lang w:eastAsia="zh-CN"/>
        </w:rPr>
        <w:drawing>
          <wp:inline distT="0" distB="0" distL="114300" distR="114300">
            <wp:extent cx="5271770" cy="4096385"/>
            <wp:effectExtent l="0" t="0" r="11430" b="18415"/>
            <wp:docPr id="4" name="图片 4" descr="Figure 4 Forest plot for Causes (A), Dose (B), Duration (C) and Ty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4 Forest plot for Causes (A), Dose (B), Duration (C) and Type(D)"/>
                    <pic:cNvPicPr>
                      <a:picLocks noChangeAspect="1"/>
                    </pic:cNvPicPr>
                  </pic:nvPicPr>
                  <pic:blipFill>
                    <a:blip r:embed="rId7"/>
                    <a:stretch>
                      <a:fillRect/>
                    </a:stretch>
                  </pic:blipFill>
                  <pic:spPr>
                    <a:xfrm>
                      <a:off x="0" y="0"/>
                      <a:ext cx="5271770" cy="4096385"/>
                    </a:xfrm>
                    <a:prstGeom prst="rect">
                      <a:avLst/>
                    </a:prstGeom>
                  </pic:spPr>
                </pic:pic>
              </a:graphicData>
            </a:graphic>
          </wp:inline>
        </w:drawing>
      </w:r>
    </w:p>
    <w:p w14:paraId="00914551">
      <w:pPr>
        <w:jc w:val="center"/>
        <w:rPr>
          <w:rFonts w:hint="eastAsia" w:ascii="Times New Roman" w:hAnsi="Times New Roman" w:cs="Times New Roman"/>
          <w:sz w:val="30"/>
          <w:szCs w:val="30"/>
        </w:rPr>
      </w:pPr>
      <w:r>
        <w:rPr>
          <w:rFonts w:hint="eastAsia" w:ascii="Times New Roman" w:hAnsi="Times New Roman" w:cs="Times New Roman"/>
          <w:sz w:val="30"/>
          <w:szCs w:val="30"/>
        </w:rPr>
        <w:t>Figure 4 Forest plot for Causes (A), Dose (B), Duration (C) and Type(D)</w:t>
      </w:r>
    </w:p>
    <w:p w14:paraId="39AF2F38">
      <w:pPr>
        <w:jc w:val="center"/>
        <w:rPr>
          <w:rFonts w:hint="eastAsia"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drawing>
          <wp:inline distT="0" distB="0" distL="114300" distR="114300">
            <wp:extent cx="4562475" cy="3314700"/>
            <wp:effectExtent l="0" t="0" r="9525" b="12700"/>
            <wp:docPr id="5" name="图片 5" descr="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漏"/>
                    <pic:cNvPicPr>
                      <a:picLocks noChangeAspect="1"/>
                    </pic:cNvPicPr>
                  </pic:nvPicPr>
                  <pic:blipFill>
                    <a:blip r:embed="rId8"/>
                    <a:stretch>
                      <a:fillRect/>
                    </a:stretch>
                  </pic:blipFill>
                  <pic:spPr>
                    <a:xfrm>
                      <a:off x="0" y="0"/>
                      <a:ext cx="4562475" cy="3314700"/>
                    </a:xfrm>
                    <a:prstGeom prst="rect">
                      <a:avLst/>
                    </a:prstGeom>
                  </pic:spPr>
                </pic:pic>
              </a:graphicData>
            </a:graphic>
          </wp:inline>
        </w:drawing>
      </w:r>
    </w:p>
    <w:p w14:paraId="2BFC0A88">
      <w:pPr>
        <w:jc w:val="center"/>
        <w:rPr>
          <w:rFonts w:hint="eastAsia" w:ascii="Times New Roman" w:hAnsi="Times New Roman" w:cs="Times New Roman"/>
          <w:sz w:val="30"/>
          <w:szCs w:val="30"/>
          <w:lang w:val="en-US" w:eastAsia="zh-CN"/>
        </w:rPr>
      </w:pPr>
      <w:r>
        <w:rPr>
          <w:rFonts w:hint="eastAsia" w:ascii="Times New Roman" w:hAnsi="Times New Roman" w:cs="Times New Roman" w:eastAsiaTheme="minorEastAsia"/>
          <w:sz w:val="30"/>
          <w:szCs w:val="30"/>
          <w:lang w:eastAsia="zh-CN"/>
        </w:rPr>
        <w:t xml:space="preserve">Figure </w:t>
      </w:r>
      <w:r>
        <w:rPr>
          <w:rFonts w:hint="eastAsia" w:ascii="Times New Roman" w:hAnsi="Times New Roman" w:cs="Times New Roman"/>
          <w:sz w:val="30"/>
          <w:szCs w:val="30"/>
          <w:lang w:val="en-US" w:eastAsia="zh-CN"/>
        </w:rPr>
        <w:t>5 Funnel plot of Hb</w:t>
      </w:r>
    </w:p>
    <w:p w14:paraId="4DFF2E34">
      <w:pPr>
        <w:jc w:val="left"/>
        <w:rPr>
          <w:rFonts w:hint="default" w:ascii="Times New Roman" w:hAnsi="Times New Roman" w:cs="Times New Roman" w:eastAsiaTheme="minorEastAsia"/>
          <w:sz w:val="30"/>
          <w:szCs w:val="30"/>
          <w:lang w:val="en-US" w:eastAsia="zh-CN"/>
        </w:rPr>
      </w:pPr>
    </w:p>
    <w:p w14:paraId="7C7B7D97">
      <w:pPr>
        <w:jc w:val="left"/>
        <w:rPr>
          <w:rFonts w:hint="default" w:ascii="Times New Roman" w:hAnsi="Times New Roman" w:cs="Times New Roman" w:eastAsiaTheme="minorEastAsia"/>
          <w:sz w:val="30"/>
          <w:szCs w:val="30"/>
          <w:lang w:val="en-US" w:eastAsia="zh-CN"/>
        </w:rPr>
      </w:pPr>
      <w:r>
        <w:rPr>
          <w:rFonts w:hint="eastAsia" w:ascii="Times New Roman" w:hAnsi="Times New Roman" w:cs="Times New Roman"/>
          <w:sz w:val="30"/>
          <w:szCs w:val="30"/>
          <w:lang w:val="en-US" w:eastAsia="zh-CN"/>
        </w:rPr>
        <w:t>Original</w:t>
      </w:r>
      <w:r>
        <w:rPr>
          <w:rFonts w:hint="default" w:ascii="Times New Roman" w:hAnsi="Times New Roman" w:cs="Times New Roman" w:eastAsiaTheme="minorEastAsia"/>
          <w:sz w:val="30"/>
          <w:szCs w:val="30"/>
          <w:lang w:val="en-US" w:eastAsia="zh-CN"/>
        </w:rPr>
        <w:t xml:space="preserve"> data</w:t>
      </w:r>
      <w:r>
        <w:rPr>
          <w:rFonts w:hint="eastAsia" w:ascii="Times New Roman" w:hAnsi="Times New Roman" w:cs="Times New Roman"/>
          <w:sz w:val="30"/>
          <w:szCs w:val="30"/>
          <w:lang w:val="en-US" w:eastAsia="zh-CN"/>
        </w:rPr>
        <w:t>：</w:t>
      </w:r>
    </w:p>
    <w:p w14:paraId="171BA8D3">
      <w:pPr>
        <w:jc w:val="left"/>
        <w:rPr>
          <w:rFonts w:hint="default" w:ascii="Times New Roman" w:hAnsi="Times New Roman" w:cs="Times New Roman" w:eastAsiaTheme="minorEastAsia"/>
          <w:sz w:val="30"/>
          <w:szCs w:val="30"/>
          <w:lang w:val="en-US" w:eastAsia="zh-CN"/>
        </w:rPr>
      </w:pPr>
      <w:bookmarkStart w:id="0" w:name="_GoBack"/>
      <w:r>
        <w:rPr>
          <w:rFonts w:hint="default" w:ascii="Times New Roman" w:hAnsi="Times New Roman" w:cs="Times New Roman" w:eastAsiaTheme="minorEastAsia"/>
          <w:sz w:val="30"/>
          <w:szCs w:val="30"/>
          <w:lang w:val="en-US" w:eastAsia="zh-CN"/>
        </w:rPr>
        <w:drawing>
          <wp:inline distT="0" distB="0" distL="114300" distR="114300">
            <wp:extent cx="5269865" cy="2899410"/>
            <wp:effectExtent l="0" t="0" r="13335" b="21590"/>
            <wp:docPr id="6" name="图片 6" descr="审稿人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审稿人4"/>
                    <pic:cNvPicPr>
                      <a:picLocks noChangeAspect="1"/>
                    </pic:cNvPicPr>
                  </pic:nvPicPr>
                  <pic:blipFill>
                    <a:blip r:embed="rId9"/>
                    <a:stretch>
                      <a:fillRect/>
                    </a:stretch>
                  </pic:blipFill>
                  <pic:spPr>
                    <a:xfrm>
                      <a:off x="0" y="0"/>
                      <a:ext cx="5269865" cy="2899410"/>
                    </a:xfrm>
                    <a:prstGeom prst="rect">
                      <a:avLst/>
                    </a:prstGeom>
                  </pic:spPr>
                </pic:pic>
              </a:graphicData>
            </a:graphic>
          </wp:inline>
        </w:drawing>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Times New Roman Regular">
    <w:panose1 w:val="02020503050405090304"/>
    <w:charset w:val="00"/>
    <w:family w:val="auto"/>
    <w:pitch w:val="default"/>
    <w:sig w:usb0="E0000AFF" w:usb1="00007843" w:usb2="00000001" w:usb3="00000000" w:csb0="400001BF" w:csb1="DFF70000"/>
  </w:font>
  <w:font w:name="Arial Regular">
    <w:panose1 w:val="020B06040202020902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SC-Regular">
    <w:panose1 w:val="020B0400000000000000"/>
    <w:charset w:val="86"/>
    <w:family w:val="auto"/>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U3YjE0OTkwNmU1ODAzZmEzODQyMWYyNmYwOTdkZGQifQ=="/>
  </w:docVars>
  <w:rsids>
    <w:rsidRoot w:val="FBFF71B6"/>
    <w:rsid w:val="000748E9"/>
    <w:rsid w:val="0026488C"/>
    <w:rsid w:val="00393570"/>
    <w:rsid w:val="005170FE"/>
    <w:rsid w:val="006200C4"/>
    <w:rsid w:val="00872CFF"/>
    <w:rsid w:val="00964519"/>
    <w:rsid w:val="009D317B"/>
    <w:rsid w:val="00A6130A"/>
    <w:rsid w:val="00BA6940"/>
    <w:rsid w:val="00BE6189"/>
    <w:rsid w:val="00EB0DA0"/>
    <w:rsid w:val="00F04DDC"/>
    <w:rsid w:val="5FFFECC0"/>
    <w:rsid w:val="7AF9DE43"/>
    <w:rsid w:val="7EFA0B1C"/>
    <w:rsid w:val="DEFBA78B"/>
    <w:rsid w:val="DFBF83EB"/>
    <w:rsid w:val="ECEDAD8F"/>
    <w:rsid w:val="EDEF96AF"/>
    <w:rsid w:val="FB671559"/>
    <w:rsid w:val="FBFF71B6"/>
    <w:rsid w:val="FDFDA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uiPriority w:val="1"/>
  </w:style>
  <w:style w:type="table" w:default="1" w:styleId="3">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yperlink"/>
    <w:basedOn w:val="5"/>
    <w:uiPriority w:val="0"/>
    <w:rPr>
      <w:color w:val="0000FF"/>
      <w:u w:val="single"/>
    </w:rPr>
  </w:style>
  <w:style w:type="paragraph" w:customStyle="1" w:styleId="8">
    <w:name w:val="p1"/>
    <w:basedOn w:val="1"/>
    <w:uiPriority w:val="0"/>
    <w:pPr>
      <w:jc w:val="left"/>
    </w:pPr>
    <w:rPr>
      <w:rFonts w:ascii="Helvetica Neue" w:hAnsi="Helvetica Neue" w:eastAsia="Helvetica Neue" w:cs="Times New Roman"/>
      <w:color w:val="000000"/>
      <w:kern w:val="0"/>
      <w:sz w:val="28"/>
      <w:szCs w:val="28"/>
    </w:rPr>
  </w:style>
  <w:style w:type="paragraph" w:customStyle="1" w:styleId="9">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1666</Words>
  <Characters>9500</Characters>
  <Lines>79</Lines>
  <Paragraphs>22</Paragraphs>
  <TotalTime>6</TotalTime>
  <ScaleCrop>false</ScaleCrop>
  <LinksUpToDate>false</LinksUpToDate>
  <CharactersWithSpaces>11144</CharactersWithSpaces>
  <Application>WPS Office_6.11.0.8885_F1E327BC-269C-435d-A152-05C5408002CA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2024-09-22T02:38:00Z</dcterms:created>
  <dc:creator>Mr.Bear</dc:creator>
  <cp:lastModifiedBy>Mr.Bear</cp:lastModifiedBy>
  <dcterms:modified xsi:type="dcterms:W3CDTF">2024-11-28T02:08:47Z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D8AD36F69B6977B00B61F565F7F51509_41</vt:lpwstr>
  </property>
</Properties>
</file>