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40304B">
      <w:pPr>
        <w:spacing w:line="276" w:lineRule="auto"/>
        <w:rPr>
          <w:rFonts w:ascii="Times New Roman" w:hAnsi="Times New Roman"/>
          <w:b w:val="0"/>
          <w:bCs w:val="0"/>
          <w:sz w:val="20"/>
          <w:szCs w:val="20"/>
          <w:vertAlign w:val="superscript"/>
        </w:rPr>
      </w:pPr>
      <w:r>
        <w:rPr>
          <w:rFonts w:hint="eastAsia" w:ascii="Times New Roman" w:hAnsi="Times New Roman"/>
          <w:b/>
          <w:bCs/>
          <w:sz w:val="20"/>
          <w:szCs w:val="20"/>
        </w:rPr>
        <w:t>T</w:t>
      </w:r>
      <w:r>
        <w:rPr>
          <w:rFonts w:hint="eastAsia" w:ascii="Times New Roman" w:hAnsi="Times New Roman"/>
          <w:b/>
          <w:bCs/>
          <w:sz w:val="20"/>
          <w:szCs w:val="20"/>
          <w:lang w:val="en-US" w:eastAsia="zh-CN"/>
        </w:rPr>
        <w:t>able</w:t>
      </w:r>
      <w:r>
        <w:rPr>
          <w:rFonts w:hint="eastAsia" w:ascii="Times New Roman" w:hAnsi="Times New Roman"/>
          <w:b/>
          <w:bCs/>
          <w:sz w:val="20"/>
          <w:szCs w:val="20"/>
        </w:rPr>
        <w:t xml:space="preserve"> S1 </w:t>
      </w:r>
      <w:r>
        <w:rPr>
          <w:rFonts w:hint="eastAsia" w:ascii="Times New Roman" w:hAnsi="Times New Roman"/>
          <w:b w:val="0"/>
          <w:bCs w:val="0"/>
          <w:sz w:val="20"/>
          <w:szCs w:val="20"/>
        </w:rPr>
        <w:t>Healthy Eating Index-2015 components, point values, and standards for scoring</w:t>
      </w:r>
      <w:r>
        <w:rPr>
          <w:rFonts w:hint="eastAsia" w:ascii="Times New Roman" w:hAnsi="Times New Roman"/>
          <w:b w:val="0"/>
          <w:bCs w:val="0"/>
          <w:sz w:val="20"/>
          <w:szCs w:val="20"/>
          <w:vertAlign w:val="superscript"/>
        </w:rPr>
        <w:t>a</w:t>
      </w:r>
    </w:p>
    <w:tbl>
      <w:tblPr>
        <w:tblStyle w:val="11"/>
        <w:tblpPr w:leftFromText="180" w:rightFromText="180" w:vertAnchor="text" w:tblpY="1"/>
        <w:tblOverlap w:val="never"/>
        <w:tblW w:w="9639" w:type="dxa"/>
        <w:tblInd w:w="0" w:type="dxa"/>
        <w:tblBorders>
          <w:top w:val="single" w:color="999999" w:themeColor="text1" w:themeTint="66" w:sz="4" w:space="0"/>
          <w:left w:val="single" w:color="999999" w:themeColor="text1" w:themeTint="66" w:sz="4" w:space="0"/>
          <w:bottom w:val="single" w:color="999999" w:themeColor="text1" w:themeTint="66" w:sz="4" w:space="0"/>
          <w:right w:val="single" w:color="999999" w:themeColor="text1" w:themeTint="66" w:sz="4" w:space="0"/>
          <w:insideH w:val="single" w:color="999999" w:themeColor="text1" w:themeTint="66" w:sz="4" w:space="0"/>
          <w:insideV w:val="single" w:color="999999" w:themeColor="text1" w:themeTint="66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7"/>
        <w:gridCol w:w="1193"/>
        <w:gridCol w:w="3009"/>
        <w:gridCol w:w="3210"/>
      </w:tblGrid>
      <w:tr w14:paraId="4BD46B5E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6CE94832">
            <w:pPr>
              <w:jc w:val="left"/>
              <w:rPr>
                <w:rFonts w:ascii="Times New Roman" w:hAnsi="Times New Roman" w:eastAsia="Times New Roman"/>
                <w:b w:val="0"/>
                <w:bCs w:val="0"/>
                <w:color w:val="333333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/>
                <w:b/>
                <w:bCs/>
                <w:color w:val="333333"/>
                <w:sz w:val="20"/>
                <w:szCs w:val="20"/>
                <w:lang w:eastAsia="en-US"/>
              </w:rPr>
              <w:t>Component</w:t>
            </w:r>
          </w:p>
        </w:tc>
        <w:tc>
          <w:tcPr>
            <w:tcW w:w="119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696DBA67">
            <w:pPr>
              <w:jc w:val="left"/>
              <w:rPr>
                <w:rFonts w:ascii="Times New Roman" w:hAnsi="Times New Roman" w:eastAsia="Times New Roman"/>
                <w:b w:val="0"/>
                <w:bCs w:val="0"/>
                <w:color w:val="333333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/>
                <w:b/>
                <w:bCs/>
                <w:color w:val="333333"/>
                <w:sz w:val="20"/>
                <w:szCs w:val="20"/>
                <w:lang w:eastAsia="en-US"/>
              </w:rPr>
              <w:t>Maximum points</w:t>
            </w:r>
          </w:p>
        </w:tc>
        <w:tc>
          <w:tcPr>
            <w:tcW w:w="300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31B7C7D4">
            <w:pPr>
              <w:jc w:val="left"/>
              <w:rPr>
                <w:rFonts w:ascii="Times New Roman" w:hAnsi="Times New Roman" w:eastAsia="Times New Roman"/>
                <w:b w:val="0"/>
                <w:bCs w:val="0"/>
                <w:color w:val="333333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/>
                <w:b/>
                <w:bCs/>
                <w:color w:val="333333"/>
                <w:sz w:val="20"/>
                <w:szCs w:val="20"/>
                <w:lang w:eastAsia="en-US"/>
              </w:rPr>
              <w:t>Standard for maximum score</w:t>
            </w:r>
          </w:p>
        </w:tc>
        <w:tc>
          <w:tcPr>
            <w:tcW w:w="321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2F017A6A">
            <w:pPr>
              <w:jc w:val="left"/>
              <w:rPr>
                <w:rFonts w:ascii="Times New Roman" w:hAnsi="Times New Roman" w:eastAsia="Times New Roman"/>
                <w:b w:val="0"/>
                <w:bCs w:val="0"/>
                <w:color w:val="333333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/>
                <w:b/>
                <w:bCs/>
                <w:color w:val="333333"/>
                <w:sz w:val="20"/>
                <w:szCs w:val="20"/>
                <w:lang w:eastAsia="en-US"/>
              </w:rPr>
              <w:t>Standard for minimum score of zero</w:t>
            </w:r>
          </w:p>
        </w:tc>
      </w:tr>
      <w:tr w14:paraId="10BBD83D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9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C3BD4D1">
            <w:pPr>
              <w:rPr>
                <w:rFonts w:ascii="Times New Roman" w:hAnsi="Times New Roman" w:eastAsia="Times New Roman"/>
                <w:b/>
                <w:bCs/>
                <w:i/>
                <w:iCs/>
                <w:color w:val="212529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/>
                <w:b/>
                <w:bCs/>
                <w:color w:val="212529"/>
                <w:sz w:val="20"/>
                <w:szCs w:val="20"/>
                <w:lang w:eastAsia="en-US"/>
              </w:rPr>
              <w:t>Adequacy</w:t>
            </w:r>
          </w:p>
        </w:tc>
      </w:tr>
      <w:tr w14:paraId="61913004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</w:tcPr>
          <w:p w14:paraId="16699FC7">
            <w:pPr>
              <w:widowControl/>
              <w:ind w:left="240" w:leftChars="100"/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eastAsia="en-US" w:bidi="ar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en-US" w:bidi="ar"/>
              </w:rPr>
              <w:t>Total Fruits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  <w:lang w:eastAsia="en-US" w:bidi="ar"/>
              </w:rPr>
              <w:t>b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0BECF66F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eastAsia="en-US" w:bidi="ar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 w:bidi="ar"/>
              </w:rPr>
              <w:t>5</w:t>
            </w: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</w:tcPr>
          <w:p w14:paraId="1AA5A871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eastAsia="en-US" w:bidi="ar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 w:bidi="ar"/>
              </w:rPr>
              <w:t>≥0.8 cup equiv. per 1,000 kcal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4D8BA2AC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eastAsia="en-US" w:bidi="ar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 w:bidi="ar"/>
              </w:rPr>
              <w:t>No Fruit</w:t>
            </w:r>
          </w:p>
        </w:tc>
      </w:tr>
      <w:tr w14:paraId="688B22F9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</w:tcPr>
          <w:p w14:paraId="54C461EE">
            <w:pPr>
              <w:widowControl/>
              <w:ind w:left="240" w:leftChars="100"/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eastAsia="en-US" w:bidi="ar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en-US" w:bidi="ar"/>
              </w:rPr>
              <w:t>Whole Fruits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  <w:lang w:eastAsia="en-US" w:bidi="ar"/>
              </w:rPr>
              <w:t>c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757C4F7C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eastAsia="en-US" w:bidi="ar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 w:bidi="ar"/>
              </w:rPr>
              <w:t>5</w:t>
            </w: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</w:tcPr>
          <w:p w14:paraId="072D2DC6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eastAsia="en-US" w:bidi="ar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 w:bidi="ar"/>
              </w:rPr>
              <w:t>≥0.4 cup equiv. per 1,000 kcal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14CA3DDA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eastAsia="en-US" w:bidi="ar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 w:bidi="ar"/>
              </w:rPr>
              <w:t>No Whole Fruit</w:t>
            </w:r>
          </w:p>
        </w:tc>
      </w:tr>
      <w:tr w14:paraId="51F91F4E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</w:tcPr>
          <w:p w14:paraId="032351F5">
            <w:pPr>
              <w:widowControl/>
              <w:ind w:left="240" w:leftChars="100"/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eastAsia="en-US" w:bidi="ar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en-US" w:bidi="ar"/>
              </w:rPr>
              <w:t>Total Vegetables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  <w:lang w:eastAsia="en-US" w:bidi="ar"/>
              </w:rPr>
              <w:t>d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39F21ABF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eastAsia="en-US" w:bidi="ar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 w:bidi="ar"/>
              </w:rPr>
              <w:t>5</w:t>
            </w: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</w:tcPr>
          <w:p w14:paraId="40C5F75A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eastAsia="en-US" w:bidi="ar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 w:bidi="ar"/>
              </w:rPr>
              <w:t>≥1.1 cup equiv. per 1,000 kcal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59CE38BF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eastAsia="en-US" w:bidi="ar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 w:bidi="ar"/>
              </w:rPr>
              <w:t>No Vegetables</w:t>
            </w:r>
          </w:p>
        </w:tc>
      </w:tr>
      <w:tr w14:paraId="36D37CBF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</w:tcPr>
          <w:p w14:paraId="619375B6">
            <w:pPr>
              <w:widowControl/>
              <w:ind w:left="240" w:leftChars="100"/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eastAsia="en-US" w:bidi="ar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en-US" w:bidi="ar"/>
              </w:rPr>
              <w:t>Greens and Beans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  <w:lang w:eastAsia="en-US" w:bidi="ar"/>
              </w:rPr>
              <w:t>d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2AA4A814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eastAsia="en-US" w:bidi="ar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 w:bidi="ar"/>
              </w:rPr>
              <w:t>5</w:t>
            </w: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</w:tcPr>
          <w:p w14:paraId="6A8ACC73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eastAsia="en-US" w:bidi="ar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 w:bidi="ar"/>
              </w:rPr>
              <w:t>≥0.2 cup equiv. per 1,000 kcal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68A44188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eastAsia="en-US" w:bidi="ar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 w:bidi="ar"/>
              </w:rPr>
              <w:t>No Dark Green Vegetables or Legumes</w:t>
            </w:r>
          </w:p>
        </w:tc>
      </w:tr>
      <w:tr w14:paraId="38F38855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</w:tcPr>
          <w:p w14:paraId="681AAC45">
            <w:pPr>
              <w:widowControl/>
              <w:ind w:left="240" w:leftChars="100"/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eastAsia="en-US" w:bidi="ar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en-US" w:bidi="ar"/>
              </w:rPr>
              <w:t>Whole Grains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588B0FFC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eastAsia="en-US" w:bidi="ar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 w:bidi="ar"/>
              </w:rPr>
              <w:t>10</w:t>
            </w: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</w:tcPr>
          <w:p w14:paraId="69D17949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eastAsia="en-US" w:bidi="ar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 w:bidi="ar"/>
              </w:rPr>
              <w:t>≥1.5 oz equiv. per 1,000 kcal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50F11F2B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eastAsia="en-US" w:bidi="ar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 w:bidi="ar"/>
              </w:rPr>
              <w:t>No Whole Grains</w:t>
            </w:r>
          </w:p>
        </w:tc>
      </w:tr>
      <w:tr w14:paraId="76854F00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</w:tcPr>
          <w:p w14:paraId="02536B94">
            <w:pPr>
              <w:widowControl/>
              <w:ind w:left="240" w:leftChars="100"/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eastAsia="en-US" w:bidi="ar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en-US" w:bidi="ar"/>
              </w:rPr>
              <w:t>Dairy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  <w:lang w:eastAsia="en-US" w:bidi="ar"/>
              </w:rPr>
              <w:t>e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411E7807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eastAsia="en-US" w:bidi="ar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 w:bidi="ar"/>
              </w:rPr>
              <w:t>10</w:t>
            </w: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</w:tcPr>
          <w:p w14:paraId="32D115D3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eastAsia="en-US" w:bidi="ar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 w:bidi="ar"/>
              </w:rPr>
              <w:t>≥1.3 cup equiv. per 1,000 kcal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583902EB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eastAsia="en-US" w:bidi="ar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 w:bidi="ar"/>
              </w:rPr>
              <w:t>No Dairy</w:t>
            </w:r>
          </w:p>
        </w:tc>
      </w:tr>
      <w:tr w14:paraId="49DC9D36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</w:tcPr>
          <w:p w14:paraId="2C619FC7">
            <w:pPr>
              <w:widowControl/>
              <w:ind w:left="240" w:leftChars="100"/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eastAsia="en-US" w:bidi="ar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en-US" w:bidi="ar"/>
              </w:rPr>
              <w:t>Total Protein Foods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  <w:lang w:eastAsia="en-US" w:bidi="ar"/>
              </w:rPr>
              <w:t>f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2B6A0E48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eastAsia="en-US" w:bidi="ar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 w:bidi="ar"/>
              </w:rPr>
              <w:t>5</w:t>
            </w: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</w:tcPr>
          <w:p w14:paraId="627874DB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eastAsia="en-US" w:bidi="ar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 w:bidi="ar"/>
              </w:rPr>
              <w:t>≥2.5 oz equiv. per 1,000 kcal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06DED901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eastAsia="en-US" w:bidi="ar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 w:bidi="ar"/>
              </w:rPr>
              <w:t>No Protein Foods</w:t>
            </w:r>
          </w:p>
        </w:tc>
      </w:tr>
      <w:tr w14:paraId="1EE9D50D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</w:tcPr>
          <w:p w14:paraId="61F00DD6">
            <w:pPr>
              <w:widowControl/>
              <w:ind w:left="240" w:leftChars="100"/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eastAsia="en-US" w:bidi="ar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en-US" w:bidi="ar"/>
              </w:rPr>
              <w:t>Seafood and Plant Proteins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  <w:lang w:eastAsia="en-US" w:bidi="ar"/>
              </w:rPr>
              <w:t>f,g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797983F1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eastAsia="en-US" w:bidi="ar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 w:bidi="ar"/>
              </w:rPr>
              <w:t>5</w:t>
            </w: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</w:tcPr>
          <w:p w14:paraId="5720ED20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eastAsia="en-US" w:bidi="ar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 w:bidi="ar"/>
              </w:rPr>
              <w:t>≥0.8 oz equiv. per 1,000 kcal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2EBA12C6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eastAsia="en-US" w:bidi="ar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 w:bidi="ar"/>
              </w:rPr>
              <w:t>No Seafood or Plant Proteins</w:t>
            </w:r>
          </w:p>
        </w:tc>
      </w:tr>
      <w:tr w14:paraId="505934E8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</w:tcPr>
          <w:p w14:paraId="7FC758F0">
            <w:pPr>
              <w:widowControl/>
              <w:ind w:left="240" w:leftChars="100"/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eastAsia="en-US" w:bidi="ar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en-US" w:bidi="ar"/>
              </w:rPr>
              <w:t>Fatty Acids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  <w:lang w:eastAsia="en-US" w:bidi="ar"/>
              </w:rPr>
              <w:t>g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1EFEFA0D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eastAsia="en-US" w:bidi="ar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 w:bidi="ar"/>
              </w:rPr>
              <w:t>10</w:t>
            </w: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</w:tcPr>
          <w:p w14:paraId="08686768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eastAsia="en-US" w:bidi="ar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 w:bidi="ar"/>
              </w:rPr>
              <w:t>(PUFAs + MUFAs)/SFAs ≥2.5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44857FB9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eastAsia="en-US" w:bidi="ar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 w:bidi="ar"/>
              </w:rPr>
              <w:t>(PUFAs + MUFAs)/SFAs ≤1.2</w:t>
            </w:r>
          </w:p>
        </w:tc>
      </w:tr>
      <w:tr w14:paraId="78A9C198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0DFD11C">
            <w:pPr>
              <w:rPr>
                <w:rFonts w:ascii="Times New Roman" w:hAnsi="Times New Roman" w:eastAsia="Times New Roman"/>
                <w:b/>
                <w:bCs/>
                <w:i/>
                <w:iCs/>
                <w:color w:val="212529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/>
                <w:b/>
                <w:bCs/>
                <w:color w:val="212529"/>
                <w:sz w:val="20"/>
                <w:szCs w:val="20"/>
                <w:lang w:eastAsia="en-US"/>
              </w:rPr>
              <w:t>Moderation</w:t>
            </w:r>
          </w:p>
        </w:tc>
      </w:tr>
      <w:tr w14:paraId="0705C2A9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</w:tcPr>
          <w:p w14:paraId="7610A7BE">
            <w:pPr>
              <w:widowControl/>
              <w:ind w:left="240" w:leftChars="100"/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eastAsia="en-US" w:bidi="ar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en-US" w:bidi="ar"/>
              </w:rPr>
              <w:t>Refined Grains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20BDFF21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eastAsia="en-US" w:bidi="ar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 w:bidi="ar"/>
              </w:rPr>
              <w:t>10</w:t>
            </w: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</w:tcPr>
          <w:p w14:paraId="3C9CEF4C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eastAsia="en-US" w:bidi="ar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 w:bidi="ar"/>
              </w:rPr>
              <w:t>≤1.8 oz equiv. per 1,000 kcal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0B28A9A2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eastAsia="en-US" w:bidi="ar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 w:bidi="ar"/>
              </w:rPr>
              <w:t>≥4.3 oz equiv. per 1,000 kcal</w:t>
            </w:r>
          </w:p>
        </w:tc>
      </w:tr>
      <w:tr w14:paraId="57D7B47F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</w:tcPr>
          <w:p w14:paraId="4BF9201E">
            <w:pPr>
              <w:widowControl/>
              <w:ind w:left="240" w:leftChars="100"/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eastAsia="en-US" w:bidi="ar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en-US" w:bidi="ar"/>
              </w:rPr>
              <w:t>Sodium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6EDD6E61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eastAsia="en-US" w:bidi="ar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 w:bidi="ar"/>
              </w:rPr>
              <w:t>10</w:t>
            </w: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</w:tcPr>
          <w:p w14:paraId="12240F72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eastAsia="en-US" w:bidi="ar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 w:bidi="ar"/>
              </w:rPr>
              <w:t>≤1.1 gram per 1,000 kcal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6B7238F6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eastAsia="en-US" w:bidi="ar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 w:bidi="ar"/>
              </w:rPr>
              <w:t>≥2.0 grams per 1,000 kcal</w:t>
            </w:r>
          </w:p>
        </w:tc>
      </w:tr>
      <w:tr w14:paraId="23A2456F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</w:tcPr>
          <w:p w14:paraId="0BC1A4E3">
            <w:pPr>
              <w:widowControl/>
              <w:ind w:left="240" w:leftChars="100"/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eastAsia="en-US" w:bidi="ar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en-US" w:bidi="ar"/>
              </w:rPr>
              <w:t>Added Sugars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08B3445C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eastAsia="en-US" w:bidi="ar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 w:bidi="ar"/>
              </w:rPr>
              <w:t>10</w:t>
            </w: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</w:tcPr>
          <w:p w14:paraId="114B06AC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eastAsia="en-US" w:bidi="ar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 w:bidi="ar"/>
              </w:rPr>
              <w:t>≤6.5% of energy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07CB29D3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eastAsia="en-US" w:bidi="ar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 w:bidi="ar"/>
              </w:rPr>
              <w:t>≥26% of energy</w:t>
            </w:r>
          </w:p>
        </w:tc>
      </w:tr>
      <w:tr w14:paraId="2EFEB8E0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1DFC8B2">
            <w:pPr>
              <w:widowControl/>
              <w:ind w:left="240" w:leftChars="100"/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eastAsia="en-US" w:bidi="ar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en-US" w:bidi="ar"/>
              </w:rPr>
              <w:t>Saturated Fats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DA2D92F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eastAsia="en-US" w:bidi="ar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 w:bidi="ar"/>
              </w:rPr>
              <w:t>10</w:t>
            </w:r>
          </w:p>
        </w:tc>
        <w:tc>
          <w:tcPr>
            <w:tcW w:w="3009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117AF28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eastAsia="en-US" w:bidi="ar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 w:bidi="ar"/>
              </w:rPr>
              <w:t>≤8% of energy</w:t>
            </w:r>
          </w:p>
        </w:tc>
        <w:tc>
          <w:tcPr>
            <w:tcW w:w="321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D4F66F6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eastAsia="en-US" w:bidi="ar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 w:bidi="ar"/>
              </w:rPr>
              <w:t>≥16% of energy</w:t>
            </w:r>
          </w:p>
        </w:tc>
      </w:tr>
    </w:tbl>
    <w:p w14:paraId="78E490FE">
      <w:pPr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vertAlign w:val="superscript"/>
        </w:rPr>
        <w:t xml:space="preserve">a </w:t>
      </w:r>
      <w:r>
        <w:rPr>
          <w:rFonts w:ascii="Times New Roman" w:hAnsi="Times New Roman"/>
          <w:sz w:val="20"/>
          <w:szCs w:val="20"/>
        </w:rPr>
        <w:t>Intakes between the minimum and maximum standards are scored proportionately</w:t>
      </w:r>
    </w:p>
    <w:p w14:paraId="7522D2A8">
      <w:pPr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vertAlign w:val="superscript"/>
        </w:rPr>
        <w:t>b</w:t>
      </w:r>
      <w:r>
        <w:rPr>
          <w:rFonts w:ascii="Times New Roman" w:hAnsi="Times New Roman"/>
          <w:sz w:val="20"/>
          <w:szCs w:val="20"/>
        </w:rPr>
        <w:t xml:space="preserve"> Includes 100% fruit juice </w:t>
      </w:r>
    </w:p>
    <w:p w14:paraId="2939EF99">
      <w:pPr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vertAlign w:val="superscript"/>
        </w:rPr>
        <w:t xml:space="preserve">c </w:t>
      </w:r>
      <w:r>
        <w:rPr>
          <w:rFonts w:ascii="Times New Roman" w:hAnsi="Times New Roman"/>
          <w:sz w:val="20"/>
          <w:szCs w:val="20"/>
        </w:rPr>
        <w:t xml:space="preserve">Includes all forms except juice </w:t>
      </w:r>
    </w:p>
    <w:p w14:paraId="63CF1430">
      <w:pPr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vertAlign w:val="superscript"/>
        </w:rPr>
        <w:t xml:space="preserve">d </w:t>
      </w:r>
      <w:r>
        <w:rPr>
          <w:rFonts w:ascii="Times New Roman" w:hAnsi="Times New Roman"/>
          <w:sz w:val="20"/>
          <w:szCs w:val="20"/>
        </w:rPr>
        <w:t xml:space="preserve">Includes legumes (beans and peas) </w:t>
      </w:r>
    </w:p>
    <w:p w14:paraId="154D327F">
      <w:pPr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vertAlign w:val="superscript"/>
        </w:rPr>
        <w:t xml:space="preserve">e </w:t>
      </w:r>
      <w:r>
        <w:rPr>
          <w:rFonts w:ascii="Times New Roman" w:hAnsi="Times New Roman"/>
          <w:sz w:val="20"/>
          <w:szCs w:val="20"/>
        </w:rPr>
        <w:t xml:space="preserve">Includes all milk products, such as fluid milk, yogurt, and cheese, and fortified soy beverages </w:t>
      </w:r>
    </w:p>
    <w:p w14:paraId="1FEB0CAE">
      <w:pPr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vertAlign w:val="superscript"/>
        </w:rPr>
        <w:t xml:space="preserve">f </w:t>
      </w:r>
      <w:r>
        <w:rPr>
          <w:rFonts w:ascii="Times New Roman" w:hAnsi="Times New Roman"/>
          <w:sz w:val="20"/>
          <w:szCs w:val="20"/>
        </w:rPr>
        <w:t xml:space="preserve">Includes seafood, nuts, seeds, soy products (other than beverages), and beans, peas, and lentils </w:t>
      </w:r>
    </w:p>
    <w:p w14:paraId="14A532C0">
      <w:pPr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vertAlign w:val="superscript"/>
        </w:rPr>
        <w:t xml:space="preserve">g </w:t>
      </w:r>
      <w:r>
        <w:rPr>
          <w:rFonts w:ascii="Times New Roman" w:hAnsi="Times New Roman"/>
          <w:sz w:val="20"/>
          <w:szCs w:val="20"/>
        </w:rPr>
        <w:t>Ratio of poly- and monounsaturated fatty acids (PUFAs and MUFAs) to saturated fatty acids (SFAs)</w:t>
      </w:r>
    </w:p>
    <w:p w14:paraId="3D41BC22">
      <w:pPr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Adequacy </w:t>
      </w:r>
      <w:r>
        <w:rPr>
          <w:rFonts w:ascii="Times New Roman" w:hAnsi="Times New Roman"/>
          <w:sz w:val="20"/>
          <w:szCs w:val="20"/>
        </w:rPr>
        <w:t>components represent the food groups, subgroups, and dietary elements that are encouraged For these components, higher scores reflect higher intakes, because higher intakes are desirable</w:t>
      </w:r>
    </w:p>
    <w:p w14:paraId="00C3F98D">
      <w:pPr>
        <w:jc w:val="left"/>
        <w:rPr>
          <w:rFonts w:hint="eastAsia" w:ascii="Times New Roman" w:hAnsi="Times New Roman" w:eastAsia="宋体"/>
          <w:sz w:val="20"/>
          <w:szCs w:val="20"/>
          <w:lang w:val="en-US" w:eastAsia="zh-CN"/>
        </w:rPr>
      </w:pPr>
      <w:r>
        <w:rPr>
          <w:rFonts w:ascii="Times New Roman" w:hAnsi="Times New Roman"/>
          <w:b/>
          <w:bCs/>
          <w:sz w:val="20"/>
          <w:szCs w:val="20"/>
        </w:rPr>
        <w:t>Moderation</w:t>
      </w:r>
      <w:r>
        <w:rPr>
          <w:rFonts w:ascii="Times New Roman" w:hAnsi="Times New Roman"/>
          <w:sz w:val="20"/>
          <w:szCs w:val="20"/>
        </w:rPr>
        <w:t xml:space="preserve"> components represent the food groups and dietary elements for which there are recommended limits to consumption. For moderation components, higher scores reflect lower intakes, because lower intakes are more desirable</w:t>
      </w:r>
    </w:p>
    <w:p w14:paraId="6C81E01A">
      <w:pPr>
        <w:ind w:firstLine="354"/>
        <w:jc w:val="left"/>
        <w:rPr>
          <w:rFonts w:ascii="Times New Roman" w:hAnsi="Times New Roman"/>
          <w:b/>
          <w:bCs/>
        </w:rPr>
      </w:pPr>
      <w:r>
        <w:rPr>
          <w:rFonts w:ascii="Times New Roman" w:hAnsi="Times New Roman"/>
          <w:sz w:val="20"/>
          <w:szCs w:val="20"/>
        </w:rPr>
        <w:br w:type="page"/>
      </w:r>
    </w:p>
    <w:p w14:paraId="61D64DA3">
      <w:pPr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References</w:t>
      </w:r>
    </w:p>
    <w:p w14:paraId="7534F429">
      <w:pPr>
        <w:pStyle w:val="12"/>
        <w:numPr>
          <w:ilvl w:val="0"/>
          <w:numId w:val="1"/>
        </w:numPr>
        <w:spacing w:line="480" w:lineRule="auto"/>
        <w:ind w:firstLineChars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Krebs-Smith SM, Pannucci TE, Subar AF, Kirkpatrick SI, Lerman JL, Tooze JA,</w:t>
      </w:r>
      <w:r>
        <w:rPr>
          <w:rFonts w:hint="eastAsia"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Wilson MM, Reedy J. Update of the Healthy Eating Index: HEI-2015.</w:t>
      </w:r>
      <w:r>
        <w:rPr>
          <w:rFonts w:ascii="Times New Roman" w:hAnsi="Times New Roman"/>
          <w:i w:val="0"/>
          <w:iCs w:val="0"/>
          <w:sz w:val="20"/>
          <w:szCs w:val="20"/>
        </w:rPr>
        <w:t xml:space="preserve"> J Ac</w:t>
      </w:r>
      <w:bookmarkStart w:id="0" w:name="_GoBack"/>
      <w:bookmarkEnd w:id="0"/>
      <w:r>
        <w:rPr>
          <w:rFonts w:ascii="Times New Roman" w:hAnsi="Times New Roman"/>
          <w:i w:val="0"/>
          <w:iCs w:val="0"/>
          <w:sz w:val="20"/>
          <w:szCs w:val="20"/>
        </w:rPr>
        <w:t>ad Nutr Diet.</w:t>
      </w:r>
      <w:r>
        <w:rPr>
          <w:rFonts w:ascii="Times New Roman" w:hAnsi="Times New Roman"/>
          <w:sz w:val="20"/>
          <w:szCs w:val="20"/>
        </w:rPr>
        <w:t xml:space="preserve"> 2018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>;</w:t>
      </w:r>
      <w:r>
        <w:rPr>
          <w:rFonts w:ascii="Times New Roman" w:hAnsi="Times New Roman"/>
          <w:sz w:val="20"/>
          <w:szCs w:val="20"/>
        </w:rPr>
        <w:t xml:space="preserve">118(9):1591-602. </w:t>
      </w:r>
    </w:p>
    <w:p w14:paraId="2A57FAF6">
      <w:pPr>
        <w:pStyle w:val="12"/>
        <w:numPr>
          <w:ilvl w:val="0"/>
          <w:numId w:val="1"/>
        </w:numPr>
        <w:spacing w:line="480" w:lineRule="auto"/>
        <w:ind w:firstLineChars="0"/>
        <w:rPr>
          <w:rFonts w:hint="eastAsia"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National Cancer Institute. HEI Scoring Algorithm. Accessed August, 2022. </w:t>
      </w:r>
      <w:r>
        <w:fldChar w:fldCharType="begin"/>
      </w:r>
      <w:r>
        <w:instrText xml:space="preserve"> HYPERLINK "https://epi.grants.cancer.gov/hei/hei-scoring-method.html" </w:instrText>
      </w:r>
      <w:r>
        <w:fldChar w:fldCharType="separate"/>
      </w:r>
      <w:r>
        <w:rPr>
          <w:rStyle w:val="9"/>
          <w:rFonts w:ascii="Times New Roman" w:hAnsi="Times New Roman"/>
          <w:sz w:val="20"/>
          <w:szCs w:val="20"/>
        </w:rPr>
        <w:t>https://epi.grants.cancer.gov/hei/hei-scoring-method.html</w:t>
      </w:r>
      <w:r>
        <w:rPr>
          <w:rStyle w:val="9"/>
          <w:rFonts w:ascii="Times New Roman" w:hAnsi="Times New Roman"/>
          <w:sz w:val="20"/>
          <w:szCs w:val="20"/>
        </w:rPr>
        <w:fldChar w:fldCharType="end"/>
      </w:r>
      <w:r>
        <w:rPr>
          <w:rFonts w:ascii="Times New Roman" w:hAnsi="Times New Roman"/>
          <w:sz w:val="20"/>
          <w:szCs w:val="20"/>
        </w:rPr>
        <w:t>.</w:t>
      </w:r>
    </w:p>
    <w:p w14:paraId="178F5C6A">
      <w:pPr>
        <w:pStyle w:val="12"/>
        <w:ind w:firstLine="0" w:firstLineChars="0"/>
        <w:rPr>
          <w:sz w:val="20"/>
          <w:szCs w:val="2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3F205E"/>
    <w:multiLevelType w:val="multilevel"/>
    <w:tmpl w:val="0B3F205E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U2YzUzYjAwNTFhYmFhZWJiYzdhYWU2ZmFiYmY5MTkifQ=="/>
  </w:docVars>
  <w:rsids>
    <w:rsidRoot w:val="0083066F"/>
    <w:rsid w:val="00057A8F"/>
    <w:rsid w:val="00113B2B"/>
    <w:rsid w:val="001D3676"/>
    <w:rsid w:val="00201F85"/>
    <w:rsid w:val="0027689A"/>
    <w:rsid w:val="002F4233"/>
    <w:rsid w:val="00312DEA"/>
    <w:rsid w:val="0040559C"/>
    <w:rsid w:val="004F0DD4"/>
    <w:rsid w:val="006355D6"/>
    <w:rsid w:val="0073109B"/>
    <w:rsid w:val="0083066F"/>
    <w:rsid w:val="009C6CBF"/>
    <w:rsid w:val="00A81C2F"/>
    <w:rsid w:val="00B83CD6"/>
    <w:rsid w:val="00C41767"/>
    <w:rsid w:val="00F1266D"/>
    <w:rsid w:val="00F56DCD"/>
    <w:rsid w:val="03E83935"/>
    <w:rsid w:val="16ED0755"/>
    <w:rsid w:val="1BF72DDE"/>
    <w:rsid w:val="240E1066"/>
    <w:rsid w:val="254842B0"/>
    <w:rsid w:val="25E92311"/>
    <w:rsid w:val="2770713D"/>
    <w:rsid w:val="2C1125C1"/>
    <w:rsid w:val="388353F3"/>
    <w:rsid w:val="4DB93AE3"/>
    <w:rsid w:val="503E2AD7"/>
    <w:rsid w:val="5293278C"/>
    <w:rsid w:val="5E9360B4"/>
    <w:rsid w:val="65B31A18"/>
    <w:rsid w:val="6BB06F8C"/>
    <w:rsid w:val="740A314B"/>
    <w:rsid w:val="7AB21C05"/>
    <w:rsid w:val="7F3E1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99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" w:hAnsi="Times" w:eastAsia="宋体" w:cs="Times New Roman"/>
      <w:color w:val="000000" w:themeColor="text1"/>
      <w:sz w:val="24"/>
      <w:szCs w:val="24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auto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semiHidden/>
    <w:unhideWhenUsed/>
    <w:qFormat/>
    <w:uiPriority w:val="99"/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paragraph" w:customStyle="1" w:styleId="10">
    <w:name w:val="Table Paragraph"/>
    <w:basedOn w:val="1"/>
    <w:qFormat/>
    <w:uiPriority w:val="1"/>
    <w:pPr>
      <w:autoSpaceDE w:val="0"/>
      <w:autoSpaceDN w:val="0"/>
      <w:jc w:val="left"/>
    </w:pPr>
    <w:rPr>
      <w:rFonts w:ascii="Times New Roman" w:hAnsi="Times New Roman" w:eastAsia="Times New Roman"/>
      <w:color w:val="auto"/>
      <w:sz w:val="22"/>
      <w:szCs w:val="22"/>
      <w:lang w:eastAsia="en-US"/>
    </w:rPr>
  </w:style>
  <w:style w:type="table" w:customStyle="1" w:styleId="11">
    <w:name w:val="网格表 1 浅色1"/>
    <w:basedOn w:val="5"/>
    <w:qFormat/>
    <w:uiPriority w:val="46"/>
    <w:rPr>
      <w:rFonts w:ascii="Calibri" w:hAnsi="Calibri"/>
      <w:lang w:eastAsia="en-US"/>
    </w:rPr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12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3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4">
    <w:name w:val="title-copy"/>
    <w:basedOn w:val="7"/>
    <w:qFormat/>
    <w:uiPriority w:val="0"/>
  </w:style>
  <w:style w:type="character" w:customStyle="1" w:styleId="15">
    <w:name w:val="docsum-authors"/>
    <w:basedOn w:val="7"/>
    <w:qFormat/>
    <w:uiPriority w:val="0"/>
  </w:style>
  <w:style w:type="character" w:customStyle="1" w:styleId="16">
    <w:name w:val="docsum-journal-citation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BE11B3-DA2C-4533-95EA-BD75A8110A9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355</Words>
  <Characters>1897</Characters>
  <Lines>16</Lines>
  <Paragraphs>4</Paragraphs>
  <TotalTime>9</TotalTime>
  <ScaleCrop>false</ScaleCrop>
  <LinksUpToDate>false</LinksUpToDate>
  <CharactersWithSpaces>2185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2024-07-21T13:00:00Z</dcterms:created>
  <dc:creator>happy home</dc:creator>
  <cp:lastModifiedBy>Dr.Zhang</cp:lastModifiedBy>
  <dcterms:modified xsi:type="dcterms:W3CDTF">2024-10-18T09:22:06Z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BE66E0EFA6064F8EAE1F96B0F36670E2_13</vt:lpwstr>
  </property>
</Properties>
</file>